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F29746A-E7DD-48CD-A712-8EC59208A0B2" style="width:451.35pt;height:394.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Text1"/>
        <w:jc w:val="center"/>
        <w:rPr>
          <w:b/>
          <w:noProof/>
          <w:sz w:val="28"/>
          <w:szCs w:val="24"/>
        </w:rPr>
      </w:pPr>
      <w:bookmarkStart w:id="1" w:name="_GoBack"/>
      <w:bookmarkEnd w:id="1"/>
      <w:r>
        <w:rPr>
          <w:b/>
          <w:noProof/>
          <w:sz w:val="28"/>
        </w:rPr>
        <w:lastRenderedPageBreak/>
        <w:t xml:space="preserve">Liite – Päivitetty energiaunionin etenemissuunnitelma – </w:t>
      </w:r>
      <w:r>
        <w:rPr>
          <w:b/>
          <w:noProof/>
          <w:sz w:val="28"/>
          <w:szCs w:val="24"/>
        </w:rPr>
        <w:br/>
      </w:r>
      <w:r>
        <w:rPr>
          <w:b/>
          <w:noProof/>
          <w:sz w:val="28"/>
        </w:rPr>
        <w:t>Tilannekatsaus: 9. huhtikuuta 2019</w:t>
      </w:r>
    </w:p>
    <w:p>
      <w:pPr>
        <w:pStyle w:val="Text1"/>
        <w:ind w:left="0"/>
        <w:jc w:val="left"/>
        <w:rPr>
          <w:noProof/>
          <w:szCs w:val="24"/>
        </w:rPr>
      </w:pPr>
      <w:r>
        <w:rPr>
          <w:noProof/>
        </w:rPr>
        <w:t>Selitykset: TV: Toimitusvarmuus / ESM: Energian sisämarkkinat / ET: Energiatehokkuus / KHK: Kasvihuonekaasut / T&amp;I: Tutkimus ja innovointi</w:t>
      </w:r>
    </w:p>
    <w:p>
      <w:pPr>
        <w:pStyle w:val="Text1"/>
        <w:ind w:left="0"/>
        <w:rPr>
          <w:noProof/>
          <w:sz w:val="20"/>
        </w:rPr>
      </w:pPr>
      <w:r>
        <w:rPr>
          <w:noProof/>
        </w:rPr>
        <w:t>Tämä etenemissuunnitelma on sama kuin se, joka esitettiin 25. helmikuuta 2015 annetun komission tiedonannon ”Joustavaa energiaunionia ja tulevaisuuteen suuntautuvaa ilmastonmuutospolitiikkaa koskeva puitestrategia” (COM(2015) 80) liitteessä. Etenemissuunnitelmaa on päivitetty marraskuussa 2015 energiaunionin tilaa koskevan ensimmäisen katsauksen (COM(2015) 572) yhteydessä samoin kuin helmikuussa 2017 energiaunionin toisen tilannekatsauksen (COM(2017) 53) ja marraskuussa 2017 energiaunionin kolmannen tilannekatsauksen (COM(2017) 688) yhteydessä. Taulukossa on uutta viimeinen sarake. Siinä annetaan ajantasaistetut tiedot niistä aloitteista, jotka on jo hyväksytty tai joiden aikataulu on muuttunut.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81"/>
        <w:gridCol w:w="2446"/>
        <w:gridCol w:w="1915"/>
        <w:gridCol w:w="550"/>
        <w:gridCol w:w="858"/>
        <w:gridCol w:w="537"/>
        <w:gridCol w:w="777"/>
        <w:gridCol w:w="670"/>
        <w:gridCol w:w="3378"/>
      </w:tblGrid>
      <w:tr>
        <w:trPr>
          <w:tblHeader/>
        </w:trPr>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55"/>
              <w:jc w:val="left"/>
              <w:rPr>
                <w:b/>
                <w:noProof/>
                <w:szCs w:val="24"/>
              </w:rPr>
            </w:pPr>
            <w:r>
              <w:rPr>
                <w:b/>
                <w:noProof/>
              </w:rPr>
              <w:t>Toimet</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76"/>
              <w:jc w:val="left"/>
              <w:rPr>
                <w:noProof/>
                <w:szCs w:val="24"/>
              </w:rPr>
            </w:pPr>
            <w:r>
              <w:rPr>
                <w:b/>
                <w:noProof/>
              </w:rPr>
              <w:t>Vastuutaho</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32"/>
              <w:jc w:val="left"/>
              <w:rPr>
                <w:noProof/>
                <w:szCs w:val="24"/>
              </w:rPr>
            </w:pPr>
            <w:r>
              <w:rPr>
                <w:b/>
                <w:noProof/>
              </w:rPr>
              <w:t>Aikataulu</w:t>
            </w:r>
            <w:r>
              <w:rPr>
                <w:noProof/>
              </w:rPr>
              <w:t xml:space="preserve"> (esitetty asiakirjan COM(2015) 80 liitteessä)</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TV</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121"/>
              <w:jc w:val="center"/>
              <w:rPr>
                <w:noProof/>
                <w:szCs w:val="24"/>
              </w:rPr>
            </w:pPr>
            <w:r>
              <w:rPr>
                <w:b/>
                <w:noProof/>
              </w:rPr>
              <w:t>ESM</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ET</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b/>
                <w:noProof/>
                <w:szCs w:val="24"/>
              </w:rPr>
            </w:pPr>
            <w:r>
              <w:rPr>
                <w:b/>
                <w:noProof/>
              </w:rPr>
              <w:t>KHK</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0"/>
              <w:jc w:val="center"/>
              <w:rPr>
                <w:noProof/>
                <w:szCs w:val="24"/>
              </w:rPr>
            </w:pPr>
            <w:r>
              <w:rPr>
                <w:b/>
                <w:noProof/>
              </w:rPr>
              <w:t>T&amp;I</w:t>
            </w:r>
          </w:p>
        </w:tc>
        <w:tc>
          <w:tcPr>
            <w:tcW w:w="0" w:type="auto"/>
            <w:tcBorders>
              <w:top w:val="single" w:sz="12" w:space="0" w:color="auto"/>
              <w:left w:val="single" w:sz="12" w:space="0" w:color="auto"/>
              <w:bottom w:val="single" w:sz="12" w:space="0" w:color="auto"/>
              <w:right w:val="single" w:sz="12" w:space="0" w:color="auto"/>
            </w:tcBorders>
            <w:shd w:val="pct10" w:color="auto" w:fill="auto"/>
          </w:tcPr>
          <w:p>
            <w:pPr>
              <w:pStyle w:val="Text1"/>
              <w:spacing w:after="0"/>
              <w:ind w:left="33"/>
              <w:jc w:val="left"/>
              <w:rPr>
                <w:noProof/>
                <w:szCs w:val="24"/>
              </w:rPr>
            </w:pPr>
            <w:r>
              <w:rPr>
                <w:b/>
                <w:i/>
                <w:noProof/>
              </w:rPr>
              <w:t>Huomiot</w:t>
            </w:r>
            <w:r>
              <w:rPr>
                <w:noProof/>
              </w:rPr>
              <w:t>/</w:t>
            </w:r>
            <w:r>
              <w:rPr>
                <w:b/>
                <w:noProof/>
              </w:rPr>
              <w:t>Ajantasaistus</w:t>
            </w:r>
          </w:p>
        </w:tc>
      </w:tr>
      <w:tr>
        <w:tc>
          <w:tcPr>
            <w:tcW w:w="0" w:type="auto"/>
            <w:shd w:val="clear" w:color="auto" w:fill="auto"/>
            <w:vAlign w:val="bottom"/>
          </w:tcPr>
          <w:p>
            <w:pPr>
              <w:pStyle w:val="Text1"/>
              <w:spacing w:after="200"/>
              <w:ind w:left="55"/>
              <w:jc w:val="left"/>
              <w:rPr>
                <w:noProof/>
                <w:szCs w:val="24"/>
              </w:rPr>
            </w:pPr>
            <w:r>
              <w:rPr>
                <w:b/>
                <w:noProof/>
              </w:rPr>
              <w:t>Infrastruktuuri</w:t>
            </w:r>
          </w:p>
        </w:tc>
        <w:tc>
          <w:tcPr>
            <w:tcW w:w="0" w:type="auto"/>
            <w:shd w:val="clear" w:color="auto" w:fill="auto"/>
          </w:tcPr>
          <w:p>
            <w:pPr>
              <w:pStyle w:val="Text1"/>
              <w:ind w:left="176"/>
              <w:jc w:val="left"/>
              <w:rPr>
                <w:noProof/>
                <w:szCs w:val="24"/>
              </w:rPr>
            </w:pPr>
          </w:p>
        </w:tc>
        <w:tc>
          <w:tcPr>
            <w:tcW w:w="0" w:type="auto"/>
            <w:shd w:val="clear" w:color="auto" w:fill="auto"/>
          </w:tcPr>
          <w:p>
            <w:pPr>
              <w:pStyle w:val="Text1"/>
              <w:ind w:left="132"/>
              <w:jc w:val="left"/>
              <w:rPr>
                <w:noProof/>
                <w:szCs w:val="24"/>
              </w:rPr>
            </w:pPr>
          </w:p>
        </w:tc>
        <w:tc>
          <w:tcPr>
            <w:tcW w:w="0" w:type="auto"/>
          </w:tcPr>
          <w:p>
            <w:pPr>
              <w:pStyle w:val="Text1"/>
              <w:jc w:val="center"/>
              <w:rPr>
                <w:noProof/>
                <w:szCs w:val="24"/>
              </w:rPr>
            </w:pPr>
          </w:p>
        </w:tc>
        <w:tc>
          <w:tcPr>
            <w:tcW w:w="0" w:type="auto"/>
          </w:tcPr>
          <w:p>
            <w:pPr>
              <w:pStyle w:val="Text1"/>
              <w:ind w:left="121"/>
              <w:jc w:val="center"/>
              <w:rPr>
                <w:noProof/>
                <w:szCs w:val="24"/>
              </w:rPr>
            </w:pPr>
          </w:p>
        </w:tc>
        <w:tc>
          <w:tcPr>
            <w:tcW w:w="0" w:type="auto"/>
          </w:tcPr>
          <w:p>
            <w:pPr>
              <w:pStyle w:val="Text1"/>
              <w:jc w:val="center"/>
              <w:rPr>
                <w:noProof/>
                <w:szCs w:val="24"/>
              </w:rPr>
            </w:pPr>
          </w:p>
        </w:tc>
        <w:tc>
          <w:tcPr>
            <w:tcW w:w="0" w:type="auto"/>
          </w:tcPr>
          <w:p>
            <w:pPr>
              <w:pStyle w:val="Text1"/>
              <w:ind w:left="225"/>
              <w:jc w:val="center"/>
              <w:rPr>
                <w:noProof/>
                <w:szCs w:val="24"/>
              </w:rPr>
            </w:pPr>
          </w:p>
        </w:tc>
        <w:tc>
          <w:tcPr>
            <w:tcW w:w="0" w:type="auto"/>
          </w:tcPr>
          <w:p>
            <w:pPr>
              <w:pStyle w:val="Text1"/>
              <w:jc w:val="center"/>
              <w:rPr>
                <w:noProof/>
                <w:szCs w:val="24"/>
              </w:rPr>
            </w:pPr>
          </w:p>
        </w:tc>
        <w:tc>
          <w:tcPr>
            <w:tcW w:w="0" w:type="auto"/>
          </w:tcPr>
          <w:p>
            <w:pPr>
              <w:pStyle w:val="Text1"/>
              <w:ind w:left="33"/>
              <w:jc w:val="left"/>
              <w:rPr>
                <w:noProof/>
                <w:szCs w:val="24"/>
              </w:rPr>
            </w:pPr>
          </w:p>
        </w:tc>
      </w:tr>
      <w:tr>
        <w:tc>
          <w:tcPr>
            <w:tcW w:w="0" w:type="auto"/>
            <w:shd w:val="clear" w:color="auto" w:fill="auto"/>
          </w:tcPr>
          <w:p>
            <w:pPr>
              <w:pStyle w:val="Text1"/>
              <w:spacing w:after="200"/>
              <w:ind w:left="55"/>
              <w:jc w:val="left"/>
              <w:rPr>
                <w:noProof/>
                <w:szCs w:val="24"/>
              </w:rPr>
            </w:pPr>
            <w:r>
              <w:rPr>
                <w:noProof/>
              </w:rPr>
              <w:t>Sähköverkkojen yhteenliitäntöjen 10 %:n tavoitteen tehokas saavuttaminen</w:t>
            </w:r>
          </w:p>
        </w:tc>
        <w:tc>
          <w:tcPr>
            <w:tcW w:w="0" w:type="auto"/>
            <w:shd w:val="clear" w:color="auto" w:fill="auto"/>
          </w:tcPr>
          <w:p>
            <w:pPr>
              <w:pStyle w:val="Text1"/>
              <w:spacing w:after="120"/>
              <w:ind w:left="176"/>
              <w:jc w:val="left"/>
              <w:rPr>
                <w:noProof/>
                <w:szCs w:val="24"/>
              </w:rPr>
            </w:pPr>
            <w:r>
              <w:rPr>
                <w:noProof/>
              </w:rPr>
              <w:t>Komissio</w:t>
            </w:r>
          </w:p>
          <w:p>
            <w:pPr>
              <w:pStyle w:val="Text1"/>
              <w:spacing w:after="120"/>
              <w:ind w:left="176"/>
              <w:jc w:val="left"/>
              <w:rPr>
                <w:noProof/>
                <w:szCs w:val="24"/>
              </w:rPr>
            </w:pPr>
            <w:r>
              <w:rPr>
                <w:noProof/>
              </w:rPr>
              <w:t>Jäsenvaltiot</w:t>
            </w:r>
          </w:p>
          <w:p>
            <w:pPr>
              <w:pStyle w:val="Text1"/>
              <w:spacing w:after="120"/>
              <w:ind w:left="176"/>
              <w:jc w:val="left"/>
              <w:rPr>
                <w:noProof/>
                <w:szCs w:val="24"/>
              </w:rPr>
            </w:pPr>
            <w:r>
              <w:rPr>
                <w:noProof/>
              </w:rPr>
              <w:t>Kansalliset sääntelyviranomaiset</w:t>
            </w:r>
          </w:p>
          <w:p>
            <w:pPr>
              <w:pStyle w:val="Text1"/>
              <w:spacing w:after="120"/>
              <w:ind w:left="176"/>
              <w:jc w:val="left"/>
              <w:rPr>
                <w:noProof/>
                <w:szCs w:val="24"/>
              </w:rPr>
            </w:pPr>
            <w:r>
              <w:rPr>
                <w:noProof/>
              </w:rPr>
              <w:t>Siirtoverkonhaltijat</w:t>
            </w:r>
          </w:p>
        </w:tc>
        <w:tc>
          <w:tcPr>
            <w:tcW w:w="0" w:type="auto"/>
            <w:shd w:val="clear" w:color="auto" w:fill="auto"/>
          </w:tcPr>
          <w:p>
            <w:pPr>
              <w:pStyle w:val="Text1"/>
              <w:ind w:left="132"/>
              <w:jc w:val="left"/>
              <w:rPr>
                <w:noProof/>
                <w:szCs w:val="24"/>
              </w:rPr>
            </w:pPr>
            <w:r>
              <w:rPr>
                <w:noProof/>
              </w:rPr>
              <w:t>2015–2020</w:t>
            </w:r>
          </w:p>
        </w:tc>
        <w:tc>
          <w:tcPr>
            <w:tcW w:w="0" w:type="auto"/>
          </w:tcPr>
          <w:p>
            <w:pPr>
              <w:pStyle w:val="Text1"/>
              <w:ind w:left="0"/>
              <w:jc w:val="center"/>
              <w:rPr>
                <w:noProof/>
                <w:szCs w:val="24"/>
              </w:rPr>
            </w:pPr>
            <w:r>
              <w:rPr>
                <w:noProof/>
              </w:rPr>
              <w:t>X</w:t>
            </w:r>
          </w:p>
        </w:tc>
        <w:tc>
          <w:tcPr>
            <w:tcW w:w="0" w:type="auto"/>
          </w:tcPr>
          <w:p>
            <w:pPr>
              <w:pStyle w:val="Text1"/>
              <w:ind w:left="0"/>
              <w:jc w:val="center"/>
              <w:rPr>
                <w:noProof/>
                <w:szCs w:val="24"/>
              </w:rPr>
            </w:pPr>
            <w:r>
              <w:rPr>
                <w:noProof/>
              </w:rPr>
              <w:t>X</w:t>
            </w:r>
          </w:p>
        </w:tc>
        <w:tc>
          <w:tcPr>
            <w:tcW w:w="0" w:type="auto"/>
          </w:tcPr>
          <w:p>
            <w:pPr>
              <w:pStyle w:val="Text1"/>
              <w:jc w:val="center"/>
              <w:rPr>
                <w:noProof/>
                <w:szCs w:val="24"/>
              </w:rPr>
            </w:pPr>
          </w:p>
        </w:tc>
        <w:tc>
          <w:tcPr>
            <w:tcW w:w="0" w:type="auto"/>
          </w:tcPr>
          <w:p>
            <w:pPr>
              <w:pStyle w:val="Text1"/>
              <w:ind w:left="0"/>
              <w:jc w:val="center"/>
              <w:rPr>
                <w:noProof/>
                <w:szCs w:val="24"/>
              </w:rPr>
            </w:pPr>
            <w:r>
              <w:rPr>
                <w:noProof/>
              </w:rPr>
              <w:t>X</w:t>
            </w:r>
          </w:p>
        </w:tc>
        <w:tc>
          <w:tcPr>
            <w:tcW w:w="0" w:type="auto"/>
          </w:tcPr>
          <w:p>
            <w:pPr>
              <w:pStyle w:val="Text1"/>
              <w:jc w:val="center"/>
              <w:rPr>
                <w:noProof/>
                <w:szCs w:val="24"/>
              </w:rPr>
            </w:pPr>
          </w:p>
        </w:tc>
        <w:tc>
          <w:tcPr>
            <w:tcW w:w="0" w:type="auto"/>
          </w:tcPr>
          <w:p>
            <w:pPr>
              <w:pStyle w:val="Text1"/>
              <w:spacing w:after="0"/>
              <w:ind w:left="34"/>
              <w:jc w:val="left"/>
              <w:rPr>
                <w:i/>
                <w:noProof/>
                <w:sz w:val="20"/>
              </w:rPr>
            </w:pPr>
            <w:r>
              <w:rPr>
                <w:i/>
                <w:noProof/>
                <w:sz w:val="20"/>
              </w:rPr>
              <w:t>25.2.2015 annettu tiedonanto [COM(2015) 82]</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 xml:space="preserve">Toinen luettelo yhteistä etua koskevista hankkeista (PCI) – komission delegoitu säädös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Komissio</w:t>
            </w:r>
          </w:p>
          <w:p>
            <w:pPr>
              <w:pStyle w:val="Text1"/>
              <w:spacing w:after="120"/>
              <w:ind w:left="176"/>
              <w:jc w:val="left"/>
              <w:rPr>
                <w:noProof/>
                <w:szCs w:val="24"/>
              </w:rPr>
            </w:pPr>
            <w:r>
              <w:rPr>
                <w:noProof/>
              </w:rPr>
              <w:t>Jäsenvaltiot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18"/>
                <w:szCs w:val="18"/>
              </w:rPr>
            </w:pPr>
            <w:r>
              <w:rPr>
                <w:i/>
                <w:noProof/>
                <w:color w:val="000000" w:themeColor="text1"/>
                <w:sz w:val="18"/>
                <w:szCs w:val="18"/>
              </w:rPr>
              <w:t>18.11.2015 annettu delegoitu asetus [C(2015) 8052]</w:t>
            </w:r>
          </w:p>
          <w:p>
            <w:pPr>
              <w:pStyle w:val="Text1"/>
              <w:spacing w:after="60"/>
              <w:ind w:left="34"/>
              <w:jc w:val="left"/>
              <w:rPr>
                <w:i/>
                <w:noProof/>
                <w:color w:val="000000" w:themeColor="text1"/>
                <w:sz w:val="18"/>
                <w:szCs w:val="18"/>
              </w:rPr>
            </w:pPr>
            <w:r>
              <w:rPr>
                <w:i/>
                <w:noProof/>
                <w:color w:val="000000" w:themeColor="text1"/>
                <w:sz w:val="18"/>
                <w:szCs w:val="18"/>
              </w:rPr>
              <w:t>Komission delegoitu asetus (EU) 2016/89, annettu 18. marraskuuta 2015, Euroopan parlamentin ja neuvoston asetuksen (EU) N:o 347/2013 muuttamisesta vahvistamalla unionin luettelo yhteistä etua koskevista hankkeista (EUVL L 19, 27.1.2016, s. 1)</w:t>
            </w:r>
          </w:p>
          <w:p>
            <w:pPr>
              <w:pStyle w:val="Text1"/>
              <w:spacing w:after="60"/>
              <w:ind w:left="34"/>
              <w:jc w:val="left"/>
              <w:rPr>
                <w:i/>
                <w:noProof/>
                <w:color w:val="000000" w:themeColor="text1"/>
                <w:sz w:val="18"/>
                <w:szCs w:val="18"/>
              </w:rPr>
            </w:pPr>
            <w:r>
              <w:rPr>
                <w:i/>
                <w:noProof/>
                <w:color w:val="000000" w:themeColor="text1"/>
                <w:sz w:val="18"/>
                <w:szCs w:val="18"/>
              </w:rPr>
              <w:t>Vuonna 2017 suoritettiin yhteistä etua koskevien hankkeiden täytäntöönpanoa ja Euroopan laajuisten energiainfrastruktuurien suuntaviivoista annetun asetuksen täytäntöönpanoa koskeva arviointi.</w:t>
            </w:r>
          </w:p>
          <w:p>
            <w:pPr>
              <w:pStyle w:val="Text1"/>
              <w:spacing w:after="60"/>
              <w:ind w:left="34"/>
              <w:jc w:val="left"/>
              <w:rPr>
                <w:i/>
                <w:noProof/>
                <w:color w:val="000000" w:themeColor="text1"/>
                <w:sz w:val="18"/>
                <w:szCs w:val="18"/>
              </w:rPr>
            </w:pPr>
            <w:r>
              <w:rPr>
                <w:i/>
                <w:noProof/>
                <w:color w:val="000000" w:themeColor="text1"/>
                <w:sz w:val="18"/>
                <w:szCs w:val="18"/>
              </w:rPr>
              <w:t>Kolmas luettelo yhteistä etua koskevista hankkeista hyväksyttiin 23.11.2017 [C(2017) 7834] ja julkaistiin yhdessä energiaunionin kolmannen tilannekatsauksen kanssa</w:t>
            </w:r>
          </w:p>
          <w:p>
            <w:pPr>
              <w:pStyle w:val="Text1"/>
              <w:spacing w:after="60"/>
              <w:ind w:left="34"/>
              <w:jc w:val="left"/>
              <w:rPr>
                <w:i/>
                <w:noProof/>
                <w:color w:val="000000" w:themeColor="text1"/>
                <w:sz w:val="20"/>
              </w:rPr>
            </w:pPr>
            <w:r>
              <w:rPr>
                <w:i/>
                <w:noProof/>
                <w:color w:val="000000" w:themeColor="text1"/>
                <w:sz w:val="18"/>
                <w:szCs w:val="18"/>
              </w:rPr>
              <w:t>Komission delegoitu asetus (EU) 2018/540, annettu 23. marraskuuta 2017, Euroopan parlamentin ja neuvoston asetuksen (EU) N:o 347/2013 muuttamisesta vahvistamalla unionin luettelo yhteistä etua koskevista hankkeista (EUVL L 90, 6.4.2018, s. 38–58)</w:t>
            </w:r>
            <w:r>
              <w:rPr>
                <w:i/>
                <w:noProof/>
                <w:color w:val="000000" w:themeColor="text1"/>
                <w:sz w:val="20"/>
              </w:rPr>
              <w:t xml:space="preserve"> </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Tiedonanto kaikkein tärkeimpien energiainfrastruktuurien luettelon täydentämisen etenemisestä sekä toimenpiteistä, joita tarvitaan vuodeksi 2030 asetetun sähköverkkojen yhteenliitäntöjä koskevan 15 %:n tavoitteen saavuttamiseksi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color w:val="000000" w:themeColor="text1"/>
                <w:sz w:val="20"/>
              </w:rPr>
            </w:pPr>
            <w:r>
              <w:rPr>
                <w:i/>
                <w:noProof/>
                <w:color w:val="000000" w:themeColor="text1"/>
                <w:sz w:val="20"/>
              </w:rPr>
              <w:t xml:space="preserve">Sähköverkkojen yhteenliitäntätavoitteita käsittelevä komission asiantuntijaryhmä julkaisi marraskuussa 2017 raportin 10 %:n ja 15 %:n tavoitteiden saavuttamisesta. </w:t>
            </w:r>
          </w:p>
          <w:p>
            <w:pPr>
              <w:pStyle w:val="Text1"/>
              <w:spacing w:after="60"/>
              <w:ind w:left="34"/>
              <w:jc w:val="left"/>
              <w:rPr>
                <w:i/>
                <w:noProof/>
                <w:color w:val="000000" w:themeColor="text1"/>
                <w:sz w:val="20"/>
              </w:rPr>
            </w:pPr>
            <w:r>
              <w:rPr>
                <w:i/>
                <w:noProof/>
                <w:color w:val="000000" w:themeColor="text1"/>
                <w:sz w:val="20"/>
              </w:rPr>
              <w:t>Komissio julkaisi 23.11.2017 tiedonannon Euroopan energiaverkkojen vahvistamisesta [COM(2017) 718] sekä energiaunionin kolmannen tilannekatsauksen ja energiainfrastruktuureihin liittyvien yhteistä etua koskevien hankkeiden tarkistetun luettelon, joka voi auttaa näiden tavoitteiden saavuttamisessa.</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Energiainfrastruktuurifoorumin perustaminen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Komissio</w:t>
            </w:r>
          </w:p>
          <w:p>
            <w:pPr>
              <w:pStyle w:val="Text1"/>
              <w:spacing w:after="120"/>
              <w:ind w:left="176"/>
              <w:jc w:val="left"/>
              <w:rPr>
                <w:noProof/>
                <w:szCs w:val="24"/>
              </w:rPr>
            </w:pPr>
            <w:r>
              <w:rPr>
                <w:noProof/>
              </w:rPr>
              <w:t>Jäsenvaltiot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132"/>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Euroopan komissio järjestää vuosittain vuonna 2015 perustetun energiainfrastruktuurifoorumin kokouksen. Foorumi kokoontui neljännen kerran 24.–25. toukokuuta 2018 Kööpenhaminassa (</w:t>
            </w:r>
            <w:hyperlink r:id="rId19">
              <w:r>
                <w:rPr>
                  <w:rStyle w:val="Hyperlink"/>
                  <w:i/>
                  <w:noProof/>
                  <w:sz w:val="20"/>
                </w:rPr>
                <w:t>päätelmät</w:t>
              </w:r>
            </w:hyperlink>
            <w:r>
              <w:rPr>
                <w:noProof/>
              </w:rPr>
              <w:t>).</w:t>
            </w:r>
            <w:r>
              <w:rPr>
                <w:i/>
                <w:noProof/>
                <w:sz w:val="20"/>
              </w:rPr>
              <w:t xml:space="preserve"> </w:t>
            </w:r>
          </w:p>
          <w:p>
            <w:pPr>
              <w:pStyle w:val="Text1"/>
              <w:spacing w:after="60"/>
              <w:ind w:left="34"/>
              <w:jc w:val="left"/>
              <w:rPr>
                <w:i/>
                <w:noProof/>
                <w:sz w:val="20"/>
              </w:rPr>
            </w:pPr>
            <w:r>
              <w:rPr>
                <w:i/>
                <w:noProof/>
                <w:sz w:val="20"/>
                <w:u w:val="single"/>
              </w:rPr>
              <w:t>Aiemmat tapaamiset:</w:t>
            </w:r>
            <w:r>
              <w:rPr>
                <w:i/>
                <w:noProof/>
                <w:sz w:val="20"/>
              </w:rPr>
              <w:t xml:space="preserve"> 9.–10. marraskuuta 2015, 23.–24. kesäkuuta 2016; 1.–2. kesäkuuta 2017. </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Sähkö</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176"/>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132"/>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Markkinarakennetta ja alueellisia sähkömarkkinoita koskeva aloite sekä valmiuksien koordinointi toimitusvarmuuden varmistamiseksi, rajat ylittävän kaupan edistäminen ja uusiutuvien energialähteiden integroinnin helpottaminen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15.7.2015 annettu kuulemista koskeva tiedonanto [COM(2015) 340].</w:t>
            </w:r>
          </w:p>
          <w:p>
            <w:pPr>
              <w:pStyle w:val="Text1"/>
              <w:spacing w:after="0"/>
              <w:ind w:left="34"/>
              <w:jc w:val="left"/>
              <w:rPr>
                <w:i/>
                <w:noProof/>
                <w:sz w:val="20"/>
              </w:rPr>
            </w:pPr>
            <w:r>
              <w:rPr>
                <w:i/>
                <w:noProof/>
                <w:sz w:val="20"/>
              </w:rPr>
              <w:t>30.11.2016 annetut säädösehdotukset:</w:t>
            </w:r>
          </w:p>
          <w:p>
            <w:pPr>
              <w:pStyle w:val="Text1"/>
              <w:spacing w:after="0"/>
              <w:ind w:left="34"/>
              <w:jc w:val="left"/>
              <w:rPr>
                <w:i/>
                <w:noProof/>
                <w:sz w:val="20"/>
              </w:rPr>
            </w:pPr>
            <w:r>
              <w:rPr>
                <w:i/>
                <w:noProof/>
                <w:sz w:val="20"/>
              </w:rPr>
              <w:t xml:space="preserve">– sähkön sisämarkkinoita koskeva asetus [COM(2016) 861] ja </w:t>
            </w:r>
          </w:p>
          <w:p>
            <w:pPr>
              <w:pStyle w:val="Text1"/>
              <w:spacing w:after="60"/>
              <w:ind w:left="34"/>
              <w:jc w:val="left"/>
              <w:rPr>
                <w:i/>
                <w:noProof/>
                <w:sz w:val="20"/>
              </w:rPr>
            </w:pPr>
            <w:r>
              <w:rPr>
                <w:i/>
                <w:noProof/>
                <w:sz w:val="20"/>
              </w:rPr>
              <w:t>– sähkömarkkinadirektiivi [COM(2016) 864].</w:t>
            </w:r>
          </w:p>
          <w:p>
            <w:pPr>
              <w:pStyle w:val="Text1"/>
              <w:spacing w:after="60"/>
              <w:ind w:left="34"/>
              <w:jc w:val="left"/>
              <w:rPr>
                <w:i/>
                <w:noProof/>
                <w:sz w:val="20"/>
              </w:rPr>
            </w:pPr>
            <w:r>
              <w:rPr>
                <w:i/>
                <w:noProof/>
                <w:sz w:val="20"/>
              </w:rPr>
              <w:t>Toimielinten yhteinen menettely: Euroopan parlamentin on määrä äänestää säädöksistä maaliskuun 2019 loppuun mennessä, minkä jälkeen neuvosto hyväksyy säädökset virallisesti ja julkaisee ne EUVL:ssä.</w:t>
            </w:r>
          </w:p>
          <w:p>
            <w:pPr>
              <w:pStyle w:val="Text1"/>
              <w:spacing w:after="60"/>
              <w:ind w:left="34"/>
              <w:jc w:val="left"/>
              <w:rPr>
                <w:i/>
                <w:noProof/>
                <w:sz w:val="20"/>
              </w:rPr>
            </w:pPr>
            <w:r>
              <w:rPr>
                <w:i/>
                <w:noProof/>
                <w:sz w:val="20"/>
              </w:rPr>
              <w:t>30.11.2016 annettu kapasiteettimekanismeja koskevan toimialatutkinnan loppuraportti [COM(2016) 752]</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lastRenderedPageBreak/>
              <w:t>Sähkön toimitusvarmuuden turvaamiseksi toteutettavista toimenpiteistä annetun direktiivin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176"/>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Säädösehdotus asetukseksi riskeihin varautumisesta sähköalalla ja direktiivin 2005/89/EY kumoamisesta annettiin 30.11.2016 [COM(2016) 862].</w:t>
            </w:r>
          </w:p>
          <w:p>
            <w:pPr>
              <w:pStyle w:val="Text1"/>
              <w:spacing w:after="60"/>
              <w:ind w:left="34"/>
              <w:jc w:val="left"/>
              <w:rPr>
                <w:noProof/>
                <w:sz w:val="20"/>
              </w:rPr>
            </w:pPr>
            <w:r>
              <w:rPr>
                <w:i/>
                <w:noProof/>
                <w:sz w:val="20"/>
              </w:rPr>
              <w:t>Toimielinten yhteinen menettely: Euroopan parlamentin on määrä äänestää säädöksestä maaliskuun 2019 loppuun mennessä, minkä jälkeen neuvosto hyväksyy säädöksen virallisesti ja julkaisee sen EUVL:ssä.</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Vähittäiskauppa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Energian kuluttajien aseman vahvistaminen: kuluttajien toimintamahdollisuuksien lisääminen, kysyntäpuolen ohjauksen käyttöönotto, älykkään tekniikan käyttö, tukku- ja vähittäismarkkinoiden liittäminen toisiinsa, hintasäätelyn asteittainen poistaminen, rinnakkaistoimenpiteet heikossa asemassa olevien asiakkaiden suojelemiseksi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Jäsenvaltiot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p>
            <w:pPr>
              <w:pStyle w:val="Text1"/>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Tiedonanto ”Energian kuluttajien aseman vahvistaminen” hyväksyttiin 15.7.2015 [COM(2015) 339].</w:t>
            </w:r>
          </w:p>
          <w:p>
            <w:pPr>
              <w:pStyle w:val="Text1"/>
              <w:spacing w:after="60"/>
              <w:ind w:left="34"/>
              <w:jc w:val="left"/>
              <w:rPr>
                <w:i/>
                <w:noProof/>
                <w:sz w:val="20"/>
              </w:rPr>
            </w:pPr>
            <w:r>
              <w:rPr>
                <w:i/>
                <w:noProof/>
                <w:sz w:val="20"/>
              </w:rPr>
              <w:t>Kuluttajiin liittyviä kysymyksiä koskevat säädösehdotukset sisällytettiin sähkömarkkinoiden uutta markkinarakennetta koskeviin säädösehdotuksiin (ks. edellä)</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Kaasu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Kaasunsaannin turvaamista koskevan asetuksen tarkistaminen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16.2.2016 annettu säädösehdotus [COM(2016) 52]</w:t>
            </w:r>
          </w:p>
          <w:p>
            <w:pPr>
              <w:pStyle w:val="Text1"/>
              <w:spacing w:after="60"/>
              <w:ind w:left="34"/>
              <w:jc w:val="left"/>
              <w:rPr>
                <w:i/>
                <w:noProof/>
                <w:sz w:val="20"/>
              </w:rPr>
            </w:pPr>
            <w:r>
              <w:rPr>
                <w:i/>
                <w:noProof/>
                <w:sz w:val="20"/>
              </w:rPr>
              <w:t>25.10.2017 annettu asetus (EU) 2017/1938 toimista kaasun toimitusvarmuuden turvaamiseksi ja asetuksen (EU) N:o 994/2010 kumoamisesta julkaistiin EUVL:ssä L 198, 28.10.2017, s. 1–56.</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Nesteytettyä maakaasua ja sen varastointia koskeva strategia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Tiedonanto nesteytettyä maakaasua ja kaasun varastointia koskevasta EU:n strategiasta annettiin 16.2.2016 [COM(2016) 49].</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b/>
                <w:noProof/>
                <w:szCs w:val="24"/>
              </w:rPr>
            </w:pPr>
            <w:r>
              <w:rPr>
                <w:b/>
                <w:noProof/>
              </w:rPr>
              <w:lastRenderedPageBreak/>
              <w:t>Sääntelykehys</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Energia-alan sääntelyviranomaisten yhteistyöviraston (ACER) ja energia-alan sääntelykehyksen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b/>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Käsiteltiin 15.7.2015 annetussa kuulemista koskevassa tiedonannossa [COM(2015) 340] (ks. edellä).</w:t>
            </w:r>
          </w:p>
          <w:p>
            <w:pPr>
              <w:pStyle w:val="Text1"/>
              <w:spacing w:after="60"/>
              <w:ind w:left="34"/>
              <w:rPr>
                <w:i/>
                <w:noProof/>
                <w:sz w:val="20"/>
              </w:rPr>
            </w:pPr>
            <w:r>
              <w:rPr>
                <w:i/>
                <w:noProof/>
                <w:sz w:val="20"/>
              </w:rPr>
              <w:t>Ehdotus asetukseksi Euroopan unionin energia-alan sääntelyviranomaisten yhteistyöviraston perustamisesta annettiin 30.11.2016 [COM(2016) 863].</w:t>
            </w:r>
          </w:p>
          <w:p>
            <w:pPr>
              <w:pStyle w:val="Text1"/>
              <w:spacing w:after="60"/>
              <w:ind w:left="34"/>
              <w:jc w:val="left"/>
              <w:rPr>
                <w:i/>
                <w:noProof/>
                <w:sz w:val="20"/>
              </w:rPr>
            </w:pPr>
            <w:r>
              <w:rPr>
                <w:i/>
                <w:noProof/>
                <w:sz w:val="20"/>
              </w:rPr>
              <w:t>Toimielinten yhteinen menettely: Euroopan parlamentin on määrä äänestää säädöksestä maaliskuun 2019 loppuun mennessä, minkä jälkeen neuvosto hyväksyy säädöksen virallisesti ja julkaisee sen EUVL:ssä.</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Säädösehdotus energiaunionista ja ilmastotoimista ”Puhdasta energiaa kaikille eurooppalaisille” -aloitteen puitteissa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30.11.2016 annettu ehdotus asetukseksi energiaunionin hallinnosta, asetusten (EY) N:o 663/2009 ja 715/2009 sekä direktiivien 94/22/EY, 98/70/EY, 2009/31/EY, 2009/73/EY, 2010/31/EU, 2012/27/EU, 2013/30/EU, 2009/119/EY ja (EU) 2015/652 muuttamisesta sekä asetuksen (EU) N:o 525/2013 kumoamisesta [COM(2016) 759] – hyväksytty virallisesti Euroopan parlamentissa 13.11.2018 ja neuvostossa 4.12.2018 asetuksena (EU) 2018/1999 energiaunionin ja ilmastotoimien hallinnosta. Lopullinen säädös allekirjoitettiin 11.12.2018, ja asetus julkaistiin EUVL:ssä L 328, 21.12.2018, s. 1–77 (tuli voimaan 24.12.2018).</w:t>
            </w:r>
          </w:p>
          <w:p>
            <w:pPr>
              <w:pStyle w:val="Text1"/>
              <w:spacing w:after="60"/>
              <w:ind w:left="34"/>
              <w:jc w:val="left"/>
              <w:rPr>
                <w:i/>
                <w:noProof/>
                <w:sz w:val="20"/>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lastRenderedPageBreak/>
              <w:t>Uusiutuva energia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Uusiutuvaa energiaa koskeva lainsäädäntöpaketti: mukaan lukien uusi, vuoden 2030 tavoitteisiin tähtäävä uusiutuvia energialähteitä koskeva direktiivi; omaan käyttöön tuotettavan uusiutuvan energian parhaat käytännöt ja tukijärjestelmät; bioenergian käytön kestävyyttä koskeva politiikka.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3"/>
              <w:jc w:val="left"/>
              <w:rPr>
                <w:i/>
                <w:noProof/>
                <w:sz w:val="20"/>
              </w:rPr>
            </w:pPr>
            <w:r>
              <w:rPr>
                <w:i/>
                <w:noProof/>
                <w:sz w:val="20"/>
              </w:rPr>
              <w:t>Omaan käyttöön tuotettavan uusiutuvan energian parhaat käytännöt [SWD(2015) 141], jotka liittyvät tiedonantoon ”Energian kuluttajien aseman vahvistaminen” (ks. edellä), hyväksyttiin 15.7.2015.</w:t>
            </w:r>
          </w:p>
          <w:p>
            <w:pPr>
              <w:pStyle w:val="Text1"/>
              <w:spacing w:after="60"/>
              <w:ind w:left="33"/>
              <w:jc w:val="left"/>
              <w:rPr>
                <w:i/>
                <w:noProof/>
                <w:sz w:val="20"/>
              </w:rPr>
            </w:pPr>
            <w:r>
              <w:rPr>
                <w:i/>
                <w:noProof/>
                <w:sz w:val="20"/>
              </w:rPr>
              <w:t>Ehdotus direktiiviksi uusiutuvista lähteistä peräisin olevan energian käytön edistämisestä annettiin 30.11.2016 [COM(2016) 767].</w:t>
            </w:r>
          </w:p>
          <w:p>
            <w:pPr>
              <w:pStyle w:val="Text1"/>
              <w:spacing w:after="60"/>
              <w:ind w:left="34"/>
              <w:jc w:val="left"/>
              <w:rPr>
                <w:noProof/>
                <w:sz w:val="20"/>
              </w:rPr>
            </w:pPr>
            <w:r>
              <w:rPr>
                <w:i/>
                <w:noProof/>
                <w:sz w:val="20"/>
              </w:rPr>
              <w:t>Toimielinten yhteinen menettely: saatettu päätökseen; hyväksytty direktiivi julkaistiin EUVL:ssä L 328, 21.12.2018, s. 82–209: direktiivi (EU) 2018/2001, annettu 11. joulukuuta 2018, uusiutuvista lähteistä peräisin olevan energian käytön edistämisestä.</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Jätteen käyttöä energian tuottamiseen koskeva tiedonanto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i/>
                <w:noProof/>
                <w:sz w:val="20"/>
              </w:rPr>
              <w:t xml:space="preserve">Tiedonanto ”Energian hyödyntäminen kiertotaloudessa” hyväksyttiin 26.1.2017 [COM(2017) 34]. </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Ilmastotoimet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Säädösehdotus EU:n päästökauppajärjestelmän tarkistamiseksi, 2021–2030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15.7.2015 annettu ehdotus (COM(2015) 337)</w:t>
            </w:r>
          </w:p>
          <w:p>
            <w:pPr>
              <w:pStyle w:val="Text1"/>
              <w:ind w:left="33"/>
              <w:rPr>
                <w:i/>
                <w:noProof/>
                <w:sz w:val="20"/>
              </w:rPr>
            </w:pPr>
            <w:r>
              <w:rPr>
                <w:i/>
                <w:noProof/>
                <w:sz w:val="20"/>
              </w:rPr>
              <w:t xml:space="preserve">Toimielinten yhteinen menettely: </w:t>
            </w:r>
            <w:r>
              <w:rPr>
                <w:i/>
                <w:noProof/>
                <w:sz w:val="20"/>
              </w:rPr>
              <w:lastRenderedPageBreak/>
              <w:t>saatettu päätökseen; direktiivi 2018/410 hyväksytty 14.3.2018 ja julkaistu EUVL:ssä L 76, 19.3.2018, s. 3. Tuli voimaan 8.4.2018.</w:t>
            </w:r>
          </w:p>
          <w:p>
            <w:pPr>
              <w:pStyle w:val="Text1"/>
              <w:ind w:left="33"/>
              <w:jc w:val="left"/>
              <w:rPr>
                <w:i/>
                <w:noProof/>
                <w:sz w:val="20"/>
              </w:rPr>
            </w:pPr>
            <w:r>
              <w:rPr>
                <w:i/>
                <w:noProof/>
                <w:sz w:val="20"/>
              </w:rPr>
              <w:t>3.2.2017 annettu EU:n ilmailualan päästökauppajärjestelmän soveltamisalaa koskeva säädösehdotus (COM(2017) 54)</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Toimielinten yhteinen menettely: saatettu päätökseen; asetus 2017/2392 hyväksytty 13.12.2017 ja julkaistu EUVL:ssä L 350, 29.12.2017, s. 7. Tuli voimaan 29.12.2017.</w:t>
            </w:r>
          </w:p>
          <w:p>
            <w:pPr>
              <w:pStyle w:val="Text1"/>
              <w:ind w:left="33"/>
              <w:jc w:val="left"/>
              <w:rPr>
                <w:i/>
                <w:noProof/>
                <w:sz w:val="20"/>
              </w:rPr>
            </w:pPr>
          </w:p>
          <w:p>
            <w:pPr>
              <w:pStyle w:val="Text1"/>
              <w:ind w:left="33"/>
              <w:jc w:val="left"/>
              <w:rPr>
                <w:i/>
                <w:noProof/>
                <w:sz w:val="20"/>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lastRenderedPageBreak/>
              <w:t xml:space="preserve">Säädösehdotukset taakanjakoasetuksesta ja maankäyttöä, maankäytön muutoksia ja metsätaloutta (LULUCF) koskevan asetuksen sisällyttämisestä vuoteen 2030 ulottuviin ilmasto- ja energiapolitiikan puitteisiin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20.7.2016 annettiin kaksi säädösehdotusta:</w:t>
            </w:r>
          </w:p>
          <w:p>
            <w:pPr>
              <w:pStyle w:val="Text1"/>
              <w:spacing w:after="60"/>
              <w:ind w:left="34"/>
              <w:jc w:val="left"/>
              <w:rPr>
                <w:i/>
                <w:noProof/>
                <w:sz w:val="20"/>
              </w:rPr>
            </w:pPr>
            <w:r>
              <w:rPr>
                <w:b/>
                <w:i/>
                <w:noProof/>
                <w:sz w:val="20"/>
              </w:rPr>
              <w:t>1</w:t>
            </w:r>
            <w:r>
              <w:rPr>
                <w:i/>
                <w:noProof/>
                <w:sz w:val="20"/>
              </w:rPr>
              <w:t>) Ehdotus asetukseksi sitovista vuotuisista kasvihuonekaasupäästöjen vähennyksistä jäsenvaltioissa vuosina 2021–2030 joustavaa energiaunionia varten ja Pariisin sopimuksen sitoumusten täyttämiseksi (päästökauppaan kuulumattomat alat) [COM(2016) 482] – Euroopan parlamentti hyväksyi ehdotuksen virallisesti 17.4.2018 ja neuvosto 14.5.2018. Lopullinen säädös allekirjoitettiin 30.5.2018, ja asetus (EU) 2018/842 julkaistiin EUVL:ssä L 156, 19.6.2018, s. 26–42 (tuli voimaan 9.7.2018).</w:t>
            </w:r>
          </w:p>
          <w:p>
            <w:pPr>
              <w:pStyle w:val="Text1"/>
              <w:spacing w:after="60"/>
              <w:ind w:left="34"/>
              <w:jc w:val="left"/>
              <w:rPr>
                <w:noProof/>
                <w:sz w:val="20"/>
              </w:rPr>
            </w:pPr>
            <w:r>
              <w:rPr>
                <w:b/>
                <w:i/>
                <w:noProof/>
                <w:sz w:val="20"/>
              </w:rPr>
              <w:t>2</w:t>
            </w:r>
            <w:r>
              <w:rPr>
                <w:i/>
                <w:noProof/>
                <w:sz w:val="20"/>
              </w:rPr>
              <w:t>) Ehdotus asetukseksi maankäytöstä, maankäytön muutoksesta ja metsätaloudesta aiheutuvien kasvihuonekaasujen päästöjen ja poistumien sisällyttämisestä vuoteen 2030 ulottuviin EU:n ilmasto- ja energiapolitiikan puitteisiin (LULUCF) [COM(2016) 479] – Euroopan parlamentti hyväksyi ehdotuksen virallisesti 17.4.2018 ja neuvosto 14.5.2018. – Lopullinen säädös allekirjoitettiin 30.5.2018, ja asetus (EU) 2018/841 julkaistiin EUVL:ssä L 156, 19.6.2018, s. 1–25 (tuli voimaan 9.7.2018).</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Liikenteen alan toimet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Kestävän liikenteen oikeudenmukainen ja tehokas hinnoittelu – eurovinjettidirektiivin tarkistaminen ja puitteet eurooppalaisen sähköisen tiemaksujärjestelmän edistämiseksi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Annettu 31.5.2017 (COM(2017) 275 ja COM(2017) 280) </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Maantieliikenteen markkinoille pääsyä koskevien sääntöjen uudelleentarkastelu maantieliikenteen energiatehokkuuden parantamiseksi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 xml:space="preserve">Annettu 31.5.2017 (COM(2017) 281) </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Yleissuunnitelma vuorovaikutteisten älykkäiden liikennejärjestelmien käyttöön ottamiseksi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Jäsenvaltiot</w:t>
            </w:r>
          </w:p>
          <w:p>
            <w:pPr>
              <w:pStyle w:val="Text1"/>
              <w:spacing w:after="120"/>
              <w:ind w:left="55"/>
              <w:jc w:val="left"/>
              <w:rPr>
                <w:noProof/>
                <w:szCs w:val="24"/>
              </w:rPr>
            </w:pPr>
            <w:r>
              <w:rPr>
                <w:noProof/>
              </w:rPr>
              <w:t>Teollisuus</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30.11.2016 annettu tiedonanto (COM(2016) 766)</w:t>
            </w:r>
          </w:p>
          <w:p>
            <w:pPr>
              <w:pStyle w:val="Text1"/>
              <w:ind w:left="33"/>
              <w:jc w:val="left"/>
              <w:rPr>
                <w:i/>
                <w:noProof/>
                <w:sz w:val="20"/>
              </w:rPr>
            </w:pPr>
            <w:r>
              <w:rPr>
                <w:i/>
                <w:noProof/>
                <w:sz w:val="20"/>
              </w:rPr>
              <w:t>Säännöt yhteistoiminnallisten älyliikennejärjestelmien käyttöönotosta ja operatiivisesta käytöstä hyväksyttiin yleissuunnitelman pohjalta vuonna 2019 – komission delegoitu säädös C(2019) 1789 final, jolla täydennetään Euroopan parlamentin ja neuvoston direktiiviä 2010/40/EU yhteistoiminnallisten älyliikennejärjestelmien käyttöönoton ja operatiivisen käytön osalta (hyväksytty 13.3.2019)</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Päästönormien asettamisesta annettujen asetusten uudelleentarkastelu kevyitä hyötyajoneuvoja koskevien vuoden 2020 jälkeisten tavoitteiden vahvistamiseksi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8.11.2017 annettu ehdotus asetukseksi päästönormien asettamisesta uusille henkilöautoille ja uusille kevyille kuljetusajoneuvoille osana unionin kokonaisvaltaista lähestymistapaa kevyiden hyötyajoneuvojen hiilidioksidipäästöjen vähentämiseksi [COM(2017) 676 final]</w:t>
            </w:r>
          </w:p>
          <w:p>
            <w:pPr>
              <w:spacing w:after="240" w:line="240" w:lineRule="auto"/>
              <w:ind w:left="33"/>
              <w:jc w:val="both"/>
              <w:rPr>
                <w:rFonts w:ascii="Times New Roman" w:eastAsia="Times New Roman" w:hAnsi="Times New Roman" w:cs="Times New Roman"/>
                <w:i/>
                <w:noProof/>
                <w:sz w:val="20"/>
                <w:szCs w:val="20"/>
              </w:rPr>
            </w:pPr>
            <w:r>
              <w:rPr>
                <w:rFonts w:ascii="Times New Roman" w:hAnsi="Times New Roman"/>
                <w:i/>
                <w:noProof/>
                <w:sz w:val="20"/>
              </w:rPr>
              <w:t>Toimielinten yhteinen menettely: poliittinen yhteisymmärrys saavutettiin joulukuussa 2018. Julkaistaan vuoden 2019 alkupuoliskolla.</w:t>
            </w:r>
          </w:p>
          <w:p>
            <w:pPr>
              <w:pStyle w:val="Text1"/>
              <w:ind w:left="33"/>
              <w:jc w:val="left"/>
              <w:rPr>
                <w:i/>
                <w:noProof/>
                <w:sz w:val="20"/>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Säädösehdotus asetukseksi päästönormien asettamisesta raskaita hyötyajoneuvoja koskevien vuoden 2020 jälkeisten tavoitteiden vahvistamiseksi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 </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Ehdotus asetukseksi hiilidioksidipäästönormien asettamisesta uusille raskaille hyötyajoneuvoille [COM(2018) 284 final], 17.5.2018, sellaisena kuin se on oikaistuna [COM(2018) 284 final/2], 3.7.2018</w:t>
            </w:r>
          </w:p>
          <w:p>
            <w:pPr>
              <w:pStyle w:val="Text1"/>
              <w:ind w:left="33"/>
              <w:jc w:val="left"/>
              <w:rPr>
                <w:i/>
                <w:noProof/>
                <w:sz w:val="20"/>
              </w:rPr>
            </w:pPr>
            <w:r>
              <w:rPr>
                <w:i/>
                <w:noProof/>
                <w:sz w:val="20"/>
              </w:rPr>
              <w:t xml:space="preserve">Toimielinten yhteinen menettely: poliittinen yhteisymmärrys saavutettiin helmikuussa 2019. Julkaistaan vuoden 2019 alkupuoliskolla. </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Raskaita hyötyajoneuvoja (kuorma- ja linja-autoja) koskevan seuranta- ja raportointijärjestelmän luominen ostajille tarjottavien tietojen parantamiseksi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Annettu 31.5.2017 (COM(2017) 279) Euroopan parlamentti hyväksyi virallisesti 12.6.2018 ja neuvosto 21.6.2018. Lopullinen säädös allekirjoitettiin 28.6.2018, ja asetus (EU) 2018/956 julkaistiin EUVL:ssä L 173, 9.7.2018, s. 1–15 (tuli voimaan 29.7.2018).</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tabs>
                <w:tab w:val="left" w:pos="960"/>
              </w:tabs>
              <w:spacing w:after="200"/>
              <w:ind w:left="55"/>
              <w:jc w:val="left"/>
              <w:rPr>
                <w:noProof/>
                <w:szCs w:val="24"/>
              </w:rPr>
            </w:pPr>
            <w:r>
              <w:rPr>
                <w:noProof/>
              </w:rPr>
              <w:t>Puhtaiden ja energiatehokkaiden tieliikenteen moottoriajoneuvojen edistämisestä annetun direktiivin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Ehdotus Euroopan parlamentin ja neuvoston direktiiviksi puhtaiden ja energiatehokkaiden tieliikenteen moottoriajoneuvojen edistämisestä annetun direktiivin 2009/33/EY muuttamisesta (COM(2017) 653, 8.11.2017)</w:t>
            </w:r>
          </w:p>
          <w:p>
            <w:pPr>
              <w:pStyle w:val="Text1"/>
              <w:ind w:left="33"/>
              <w:jc w:val="left"/>
              <w:rPr>
                <w:i/>
                <w:noProof/>
                <w:sz w:val="20"/>
              </w:rPr>
            </w:pPr>
            <w:r>
              <w:rPr>
                <w:i/>
                <w:noProof/>
                <w:sz w:val="20"/>
              </w:rPr>
              <w:t>Toimielinten yhteinen menettely: poliittinen yhteisymmärrys saavutettiin helmikuussa 2019. Julkaistaan vuoden 2019 alkupuoliskolla.</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Liikenteen hiilipäästöjen vähentämistä koskeva tiedonanto, johon sisältyy toisen ja kolmannen sukupolven biopolttoaineita ja muita vaihtoehtoisia, kestäviä polttoaineita koskeva toimintasuunnitelma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i/>
                <w:noProof/>
                <w:sz w:val="20"/>
              </w:rPr>
            </w:pPr>
            <w:r>
              <w:rPr>
                <w:i/>
                <w:noProof/>
                <w:sz w:val="20"/>
              </w:rPr>
              <w:t>20.7.2016 annettu vähäpäästöistä liikkuvuutta koskevaa eurooppalaista strategiaa koskeva tiedonanto (COM(2016) 501)</w:t>
            </w:r>
          </w:p>
          <w:p>
            <w:pPr>
              <w:pStyle w:val="Text1"/>
              <w:ind w:left="33"/>
              <w:jc w:val="left"/>
              <w:rPr>
                <w:i/>
                <w:noProof/>
                <w:sz w:val="20"/>
              </w:rPr>
            </w:pPr>
            <w:r>
              <w:rPr>
                <w:i/>
                <w:noProof/>
                <w:sz w:val="20"/>
              </w:rPr>
              <w:t>30.11.2016 annettu säädösehdotus kattaa osan polttoaineista (COM(2016) 767 (uusiutuvia energialähteitä koskeva direktiivi))</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Energiatehokkuus</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Energiatehokkuusdirektiivin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Ehdotus direktiiviksi energiatehokkuudesta annetun direktiivin 2012/27/EU muuttamisesta annettiin 30.11.2016 [COM(2016) 761], johon liittyy energiatehokkuuden hyviä käytäntöjä käsittelevä komission yksiköiden valmisteluasiakirja [SWD(2016) 404].</w:t>
            </w:r>
          </w:p>
          <w:p>
            <w:pPr>
              <w:pStyle w:val="Text1"/>
              <w:spacing w:after="60"/>
              <w:ind w:left="34"/>
              <w:jc w:val="left"/>
              <w:rPr>
                <w:i/>
                <w:noProof/>
                <w:sz w:val="20"/>
              </w:rPr>
            </w:pPr>
            <w:r>
              <w:rPr>
                <w:i/>
                <w:noProof/>
                <w:sz w:val="20"/>
              </w:rPr>
              <w:t xml:space="preserve">Toimielinten yhteinen menettely: parlamentti hyväksyi virallisesti 13.11.2018 ja neuvosto 4.12.2018. – Allekirjoitettiin laiksi 10.12.2018. Julkaistiin EUVL:ssä L 328, 21.12.2018, s. 210–230 (tuli voimaan kolme päivää myöhemmin). </w:t>
            </w:r>
          </w:p>
          <w:p>
            <w:pPr>
              <w:pStyle w:val="Text1"/>
              <w:spacing w:after="60"/>
              <w:ind w:left="34"/>
              <w:jc w:val="left"/>
              <w:rPr>
                <w:i/>
                <w:noProof/>
                <w:sz w:val="20"/>
              </w:rPr>
            </w:pPr>
            <w:r>
              <w:rPr>
                <w:i/>
                <w:noProof/>
                <w:sz w:val="20"/>
              </w:rPr>
              <w:t>Komissio hyväksyi 13.11.2018 päätöksen COM(2018) 744, jolla alennetaan energiatehokkuusdirektiivin mukaisesti sallittua EU:n energiankulutuksen enimmäistasoa vuoteen 2030 mennessä 1273 Mtoesta 1128 Mtoeen (primäärikulutus) ja 956 Mtoesta 846 Mtoeen (loppukulutus), jotta voidaan ottaa huomioon Yhdistyneen kuningaskunnan odotettu lähtö EU:sta vuonna 2019.</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Rakennusten energiatehokkuutta koskevan direktiivin uudelleentarkastelu ja ”Älykästä rahoitusta älykkäille rakennuksille” -aloite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 xml:space="preserve">Rakennusten energiatehokkuutta koskevan direktiivin 2010/31/EU tarkistamista koskeva ehdotus annettiin 30.11.2016 [COM(2016) 765] osana puhdasta energiaa koskevaa pakettia. </w:t>
            </w:r>
          </w:p>
          <w:p>
            <w:pPr>
              <w:pStyle w:val="Text1"/>
              <w:spacing w:after="60"/>
              <w:ind w:left="34"/>
              <w:jc w:val="left"/>
              <w:rPr>
                <w:i/>
                <w:noProof/>
                <w:sz w:val="20"/>
              </w:rPr>
            </w:pPr>
            <w:r>
              <w:rPr>
                <w:i/>
                <w:noProof/>
                <w:sz w:val="20"/>
              </w:rPr>
              <w:t>Tarkistetun rakennusten energiatehokkuusdirektiivin yhteydessä esitettiin ”Älykästä rahoitusta älykkäille rakennuksille” -aloite, jossa analysoidaan, miten rakennusten energiatehokkuuteen tehtäviä julkisia ja yksityisiä investointeja voidaan edistää (paketin kehystiedonannon COM(2016) 860 liite 1).</w:t>
            </w:r>
          </w:p>
          <w:p>
            <w:pPr>
              <w:pStyle w:val="Text1"/>
              <w:spacing w:after="60"/>
              <w:ind w:left="34"/>
              <w:jc w:val="left"/>
              <w:rPr>
                <w:i/>
                <w:noProof/>
                <w:sz w:val="20"/>
              </w:rPr>
            </w:pPr>
            <w:r>
              <w:rPr>
                <w:i/>
                <w:noProof/>
                <w:sz w:val="20"/>
              </w:rPr>
              <w:t xml:space="preserve">Toimielinten välinen menettely saatettu päätökseen – tarkistettu rakennusten energiatehokkuusdirektiivi (EU) 2018/844 julkaistiin EUVL:ssä L 156, 19.6.2018, s. 75–91 (tuli voimaan 9.7.2018). </w:t>
            </w:r>
          </w:p>
          <w:p>
            <w:pPr>
              <w:pStyle w:val="Text1"/>
              <w:spacing w:after="60"/>
              <w:ind w:left="34"/>
              <w:jc w:val="left"/>
              <w:rPr>
                <w:noProof/>
                <w:sz w:val="20"/>
              </w:rPr>
            </w:pPr>
            <w:r>
              <w:rPr>
                <w:i/>
                <w:noProof/>
                <w:sz w:val="20"/>
              </w:rPr>
              <w:t>Komission olisi tarkasteltava perusteellisesti koko direktiivin toimintaa ennen vuotta 2026.</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Tuotteiden energiatehokkuutta koskevien puitteiden (energiamerkintädirektiivi ja ekosuunnitteludirektiivi)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Ehdotus asetukseksi energiatehokkuusmerkintää koskevan kehyksen vahvistamisesta ja direktiivin 2010/30/EU kumoamisesta annettiin 15.7.2015 [COM(2015) 341].</w:t>
            </w:r>
          </w:p>
          <w:p>
            <w:pPr>
              <w:pStyle w:val="Text1"/>
              <w:spacing w:after="60"/>
              <w:ind w:left="34"/>
              <w:jc w:val="left"/>
              <w:rPr>
                <w:i/>
                <w:noProof/>
                <w:sz w:val="20"/>
              </w:rPr>
            </w:pPr>
            <w:r>
              <w:rPr>
                <w:i/>
                <w:noProof/>
                <w:sz w:val="20"/>
              </w:rPr>
              <w:t>Toimielinten yhteinen menettely: saatettu päätökseen – 4.7.2017 annettu asetus (EU) 2017/1369 julkaistiin EUVL:ssä L 198, 28.7.2017, s. 1–23 (tuli voimaan 1.8.2017).</w:t>
            </w:r>
          </w:p>
          <w:p>
            <w:pPr>
              <w:pStyle w:val="Text1"/>
              <w:spacing w:after="60"/>
              <w:ind w:left="34"/>
              <w:jc w:val="left"/>
              <w:rPr>
                <w:i/>
                <w:noProof/>
                <w:sz w:val="20"/>
              </w:rPr>
            </w:pPr>
            <w:r>
              <w:rPr>
                <w:i/>
                <w:noProof/>
                <w:sz w:val="20"/>
              </w:rPr>
              <w:t>30.11.2016 hyväksytty ekosuunnittelun toimintasuunnitelma [COM(2016) 773]; samalla hyväksyttiin 8 toimenpidettä.</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Rahoitusvälineiden kohdennetun käytön tehostaminen energiatehokkuutta parantavien investointien tukemiseksi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1.6.2016 annettu tiedonanto ”Euroopassa investoidaan taas – Tilannekatsaus Euroopan investointiohjelmaan ja seuraavat toimet” (COM(2016) 359)</w:t>
            </w:r>
          </w:p>
          <w:p>
            <w:pPr>
              <w:pStyle w:val="Text1"/>
              <w:spacing w:after="60"/>
              <w:ind w:left="34"/>
              <w:jc w:val="left"/>
              <w:rPr>
                <w:i/>
                <w:noProof/>
                <w:sz w:val="20"/>
              </w:rPr>
            </w:pPr>
            <w:r>
              <w:rPr>
                <w:i/>
                <w:noProof/>
                <w:sz w:val="20"/>
              </w:rPr>
              <w:t>14.9.2016 annettu tiedonanto ”Lisätään Euroopan investointeja kasvuun ja työllisyyteen: Euroopan strategisten investointien rahaston toinen toimintakausi ja uusi Euroopan ulkoinen investointiohjelma” (COM(2016) 581)</w:t>
            </w:r>
          </w:p>
          <w:p>
            <w:pPr>
              <w:pStyle w:val="Text1"/>
              <w:spacing w:after="60"/>
              <w:ind w:left="34"/>
              <w:jc w:val="left"/>
              <w:rPr>
                <w:i/>
                <w:noProof/>
                <w:sz w:val="20"/>
              </w:rPr>
            </w:pPr>
            <w:r>
              <w:rPr>
                <w:i/>
                <w:noProof/>
                <w:sz w:val="20"/>
              </w:rPr>
              <w:t>Euroopan strategisten investointien rahastoa (ESIR) koskevan asetuksen laajentamista koskeva säädösehdotus (COM(2016) 597)</w:t>
            </w:r>
          </w:p>
          <w:p>
            <w:pPr>
              <w:pStyle w:val="Text1"/>
              <w:spacing w:after="60"/>
              <w:ind w:left="34"/>
              <w:jc w:val="left"/>
              <w:rPr>
                <w:i/>
                <w:noProof/>
                <w:sz w:val="20"/>
              </w:rPr>
            </w:pPr>
            <w:r>
              <w:rPr>
                <w:i/>
                <w:noProof/>
                <w:sz w:val="20"/>
              </w:rPr>
              <w:t>Varainhoitoasetuksen ja erinäisten muiden alakohtaisten asetusten yksinkertaistamiseen ja joustavoittamiseen, mukaan lukien rahoitusvälineiden tehokkaampaan käyttöön, tähtäävää uudelleentarkastelua koskeva säädösehdotus (COM(2016) 605)</w:t>
            </w:r>
          </w:p>
          <w:p>
            <w:pPr>
              <w:pStyle w:val="Text1"/>
              <w:spacing w:after="60"/>
              <w:ind w:left="34"/>
              <w:jc w:val="left"/>
              <w:rPr>
                <w:noProof/>
                <w:sz w:val="20"/>
              </w:rPr>
            </w:pPr>
            <w:r>
              <w:rPr>
                <w:i/>
                <w:noProof/>
                <w:sz w:val="20"/>
              </w:rPr>
              <w:t>Katso myös tukitoimet, mukaan lukien 30.11.2016 annettuun ”Puhdasta energiaa kaikille eurooppalaisille” -pakettiin sisältyvä rakennuksia koskeva aloite (COM(2016) 860, liite I)</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Lämmitys ja jäähdytys</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Lämmitystä ja jäähdytystä koskeva EU:n strategia – lämmityksen ja jäähdytyksen mahdollisuudet pyrittäessä saavuttamaan EU:n energia- ja ilmastotavoitteet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 xml:space="preserve">2015 </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16.2.2016 annettu tiedonanto (COM(2016) 51)</w:t>
            </w:r>
          </w:p>
          <w:p>
            <w:pPr>
              <w:pStyle w:val="Text1"/>
              <w:spacing w:after="60"/>
              <w:ind w:left="34"/>
              <w:jc w:val="left"/>
              <w:rPr>
                <w:i/>
                <w:noProof/>
                <w:sz w:val="20"/>
              </w:rPr>
            </w:pPr>
            <w:r>
              <w:rPr>
                <w:i/>
                <w:noProof/>
                <w:sz w:val="20"/>
              </w:rPr>
              <w:t>Osana puhtaan energian pakettia tarkistetussa uusiutuvia energialähteitä koskevassa direktiivissä, energiatehokkuusdirektiivissä ja energiaunionin ja ilmastotoimien hallinnosta annetussa asetuksessa asetetaan uudet tavoitteet ja määritellään raportointikehys energiaunionin keskeisille indikaattoreille vuoteen 2030 mennessä.</w:t>
            </w:r>
          </w:p>
          <w:p>
            <w:pPr>
              <w:pStyle w:val="Text1"/>
              <w:spacing w:after="60"/>
              <w:ind w:left="34"/>
              <w:jc w:val="left"/>
              <w:rPr>
                <w:i/>
                <w:noProof/>
                <w:sz w:val="20"/>
              </w:rPr>
            </w:pPr>
            <w:r>
              <w:rPr>
                <w:i/>
                <w:noProof/>
                <w:sz w:val="20"/>
              </w:rPr>
              <w:t xml:space="preserve">Niissä tarkennetaan myös yksityiskohtaisia seikkoja, jotka on sisällytettävä kattavaan arvioon lämmityksen ja jäähdytyksen tehostamismahdollisuuksista ennen toista kierrosta. </w:t>
            </w:r>
          </w:p>
          <w:p>
            <w:pPr>
              <w:pStyle w:val="Text1"/>
              <w:spacing w:after="60"/>
              <w:ind w:left="34"/>
              <w:jc w:val="left"/>
              <w:rPr>
                <w:i/>
                <w:noProof/>
                <w:sz w:val="20"/>
              </w:rPr>
            </w:pPr>
            <w:r>
              <w:rPr>
                <w:i/>
                <w:noProof/>
                <w:sz w:val="20"/>
              </w:rPr>
              <w:t>Tämä on edellyttänyt energiatehokkuusdirektiivin [direktiivi 2012/27/EU] liitteissä VIII ja IX säädettyjen menetelmien päivittämistä, mikä tapahtui 4.3.2019 hyväksytyllä komission delegoidulla asetuksella (C(2019) 1616).</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Ulkoinen energia- ja ilmastopolitiikka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spacing w:after="200"/>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EU:n energia- ja ilmastodiplomatia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 xml:space="preserve">Komissio </w:t>
            </w:r>
          </w:p>
          <w:p>
            <w:pPr>
              <w:pStyle w:val="Text1"/>
              <w:spacing w:after="120"/>
              <w:ind w:left="55"/>
              <w:jc w:val="left"/>
              <w:rPr>
                <w:noProof/>
                <w:szCs w:val="24"/>
              </w:rPr>
            </w:pPr>
            <w:r>
              <w:rPr>
                <w:noProof/>
              </w:rPr>
              <w:t>Korkea edustaja / varapuheenjohtaja</w:t>
            </w:r>
          </w:p>
          <w:p>
            <w:pPr>
              <w:pStyle w:val="Text1"/>
              <w:spacing w:after="120"/>
              <w:ind w:left="55"/>
              <w:jc w:val="left"/>
              <w:rPr>
                <w:noProof/>
                <w:szCs w:val="24"/>
              </w:rPr>
            </w:pPr>
            <w:r>
              <w:rPr>
                <w:noProof/>
              </w:rPr>
              <w:t>Jäsenvaltiot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200"/>
              <w:ind w:left="33"/>
              <w:jc w:val="left"/>
              <w:rPr>
                <w:i/>
                <w:noProof/>
                <w:sz w:val="20"/>
              </w:rPr>
            </w:pPr>
            <w:r>
              <w:rPr>
                <w:i/>
                <w:noProof/>
                <w:sz w:val="20"/>
              </w:rPr>
              <w:t>20.7.2015 ulkoasiainneuvostossa annetut neuvoston päätelmät ilmastodiplomatiasta (11029/15)</w:t>
            </w:r>
          </w:p>
          <w:p>
            <w:pPr>
              <w:pStyle w:val="Text1"/>
              <w:spacing w:after="200"/>
              <w:ind w:left="33"/>
              <w:jc w:val="left"/>
              <w:rPr>
                <w:i/>
                <w:noProof/>
                <w:sz w:val="20"/>
              </w:rPr>
            </w:pPr>
            <w:r>
              <w:rPr>
                <w:i/>
                <w:noProof/>
                <w:sz w:val="20"/>
              </w:rPr>
              <w:t>20.7.2015 ulkoasiainneuvostossa annetut neuvoston päätelmät energiadiplomatiasta (10995/15)</w:t>
            </w:r>
          </w:p>
          <w:p>
            <w:pPr>
              <w:pStyle w:val="Text1"/>
              <w:spacing w:after="200"/>
              <w:ind w:left="33"/>
              <w:jc w:val="left"/>
              <w:rPr>
                <w:i/>
                <w:noProof/>
                <w:sz w:val="20"/>
              </w:rPr>
            </w:pPr>
            <w:r>
              <w:rPr>
                <w:i/>
                <w:noProof/>
                <w:sz w:val="20"/>
              </w:rPr>
              <w:t>15.2.2016 ulkoasiainneuvostossa annetut neuvoston päätelmät eurooppalaisesta ilmastodiplomatiasta COP21:n jälkeen (6061/16)</w:t>
            </w:r>
          </w:p>
          <w:p>
            <w:pPr>
              <w:pStyle w:val="Text1"/>
              <w:spacing w:after="200"/>
              <w:ind w:left="33"/>
              <w:jc w:val="left"/>
              <w:rPr>
                <w:i/>
                <w:noProof/>
                <w:sz w:val="20"/>
              </w:rPr>
            </w:pPr>
            <w:r>
              <w:rPr>
                <w:i/>
                <w:noProof/>
                <w:sz w:val="20"/>
              </w:rPr>
              <w:t>28.11.2016 ulkoasiainneuvostossa (kehitys) annetut neuvoston päätelmät energiasta ja kehityksestä (14839/16)</w:t>
            </w:r>
          </w:p>
          <w:p>
            <w:pPr>
              <w:pStyle w:val="Text1"/>
              <w:spacing w:after="200"/>
              <w:ind w:left="33"/>
              <w:jc w:val="left"/>
              <w:rPr>
                <w:i/>
                <w:noProof/>
                <w:sz w:val="20"/>
              </w:rPr>
            </w:pPr>
            <w:r>
              <w:rPr>
                <w:i/>
                <w:noProof/>
                <w:sz w:val="20"/>
              </w:rPr>
              <w:t>6.3.2017 ulkoasiainneuvostossa annetut neuvoston päätelmät EU:n energia- ja ilmastodiplomatioiden välisten synergioiden vahvistamisesta (6981/17)</w:t>
            </w:r>
          </w:p>
          <w:p>
            <w:pPr>
              <w:pStyle w:val="Text1"/>
              <w:spacing w:after="200"/>
              <w:ind w:left="33"/>
              <w:jc w:val="left"/>
              <w:rPr>
                <w:i/>
                <w:noProof/>
                <w:sz w:val="20"/>
              </w:rPr>
            </w:pPr>
            <w:r>
              <w:rPr>
                <w:i/>
                <w:noProof/>
                <w:sz w:val="20"/>
              </w:rPr>
              <w:t>18.2.2019 ulkoasiainneuvostossa annetut neuvoston päätelmät ilmastodiplomatiasta (6153/19)</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Energia-alalla tehtyjä jäsenvaltioiden ja kolmansien maiden hallitustenvälisiä sopimuksia koskevan tietojenvaihtomekanismin perustamisesta annetun päätöksen uudelleentarkastelu</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99"/>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75"/>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16.2.2016 annettu ehdotus Euroopan parlamentin ja neuvoston asetukseksi [COM(2016) 53]</w:t>
            </w:r>
          </w:p>
          <w:p>
            <w:pPr>
              <w:pStyle w:val="Text1"/>
              <w:spacing w:after="60"/>
              <w:ind w:left="34"/>
              <w:jc w:val="left"/>
              <w:rPr>
                <w:i/>
                <w:noProof/>
                <w:sz w:val="20"/>
              </w:rPr>
            </w:pPr>
            <w:r>
              <w:rPr>
                <w:i/>
                <w:noProof/>
                <w:sz w:val="20"/>
              </w:rPr>
              <w:t>Päätös (EU) 2017/684 hyväksytty ja julkaistu EUVL:ssä L 99, 12.4.2017, s. 1–9.</w:t>
            </w:r>
          </w:p>
          <w:p>
            <w:pPr>
              <w:pStyle w:val="Text1"/>
              <w:spacing w:after="60"/>
              <w:ind w:left="34"/>
              <w:jc w:val="left"/>
              <w:rPr>
                <w:i/>
                <w:noProof/>
                <w:sz w:val="20"/>
              </w:rPr>
            </w:pPr>
            <w:r>
              <w:rPr>
                <w:i/>
                <w:noProof/>
                <w:sz w:val="20"/>
              </w:rPr>
              <w:t>Komission päätöksellä C(2019) 125 hyväksyttiin 9.1.2019 päätöksen (EU) 2017/684 9 artiklan 2 kohdan mukaisesti laaditut valinnaiset vakiolausekkeet ja ohjeet.</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Uusi, tehostettu energia-alan vuoropuhelu EU:n energiapolitiikan kannalta merkittävien maiden kanssa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Meneillään</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Yhteisymmärryspöytäkirja tehostetusta strategisesta kumppanuudesta Ukrainan kanssa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p>
            <w:pPr>
              <w:pStyle w:val="Text1"/>
              <w:spacing w:after="120"/>
              <w:ind w:left="55"/>
              <w:jc w:val="left"/>
              <w:rPr>
                <w:noProof/>
                <w:szCs w:val="24"/>
              </w:rPr>
            </w:pPr>
            <w:r>
              <w:rPr>
                <w:noProof/>
              </w:rPr>
              <w:t>Euroopan parlamentti</w:t>
            </w:r>
          </w:p>
          <w:p>
            <w:pPr>
              <w:pStyle w:val="Text1"/>
              <w:spacing w:after="120"/>
              <w:ind w:left="55"/>
              <w:jc w:val="left"/>
              <w:rPr>
                <w:noProof/>
                <w:szCs w:val="24"/>
              </w:rPr>
            </w:pPr>
            <w:r>
              <w:rPr>
                <w:noProof/>
              </w:rPr>
              <w:t>Neuvosto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Allekirjoitettu EU–Ukraina-huippukokouksessa 24.11.2016</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Kolmenvälinen yhteisymmärryspöytäkirja Kaspianmeren alueen putkistoista Azerbaidžanin ja Turkmenistanin kanssa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p>
            <w:pPr>
              <w:pStyle w:val="Text1"/>
              <w:spacing w:after="120"/>
              <w:ind w:left="55"/>
              <w:jc w:val="left"/>
              <w:rPr>
                <w:noProof/>
                <w:szCs w:val="24"/>
              </w:rPr>
            </w:pPr>
            <w:r>
              <w:rPr>
                <w:noProof/>
              </w:rPr>
              <w:t>Euroopan parlamentti</w:t>
            </w:r>
          </w:p>
          <w:p>
            <w:pPr>
              <w:pStyle w:val="Text1"/>
              <w:spacing w:after="120"/>
              <w:ind w:left="55"/>
              <w:jc w:val="left"/>
              <w:rPr>
                <w:noProof/>
                <w:szCs w:val="24"/>
              </w:rPr>
            </w:pPr>
            <w:r>
              <w:rPr>
                <w:noProof/>
              </w:rPr>
              <w:t>Neuvosto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Turkmenistanin, Turkin, Azerbaidžanin ja Georgian 1.5.2015 allekirjoittama Ashgabatin julkilausuma; kolmenvälistä yhteisymmärryspöytäkirjaa koskevat neuvottelut saatettu päätökseen</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Aloite energiayhteisön vahvistamiseksi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Energiayhteisön sopimuspuolet</w:t>
            </w:r>
          </w:p>
          <w:p>
            <w:pPr>
              <w:pStyle w:val="Text1"/>
              <w:spacing w:after="120"/>
              <w:ind w:left="55"/>
              <w:jc w:val="left"/>
              <w:rPr>
                <w:noProof/>
                <w:szCs w:val="24"/>
              </w:rPr>
            </w:pPr>
            <w:r>
              <w:rPr>
                <w:noProof/>
              </w:rPr>
              <w:t>Korkea edustaja / varapuheenjohtaja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Energiayhteisön ministerikokouksessa lokakuussa 2015 ja syyskuussa 2016 tehdyt keskeiset päätökset</w:t>
            </w:r>
          </w:p>
          <w:p>
            <w:pPr>
              <w:pStyle w:val="Text1"/>
              <w:spacing w:after="60"/>
              <w:ind w:left="34"/>
              <w:jc w:val="left"/>
              <w:rPr>
                <w:i/>
                <w:noProof/>
                <w:sz w:val="20"/>
              </w:rPr>
            </w:pPr>
            <w:r>
              <w:rPr>
                <w:i/>
                <w:noProof/>
                <w:sz w:val="20"/>
              </w:rPr>
              <w:t>Neuvoston ylimääräinen ministerikokous (v. 2018 1. puolisko), myös vastavuoroisuutta koskeva kysymys</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Euromed-yhteistyön vahvistaminen kaasun, sähkön, energiatehokkuuden ja uusiutuvan energian alalla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Kaasufoorumi käynnistettiin kesäkuussa 2015</w:t>
            </w:r>
          </w:p>
          <w:p>
            <w:pPr>
              <w:pStyle w:val="Text1"/>
              <w:spacing w:after="60"/>
              <w:ind w:left="34"/>
              <w:jc w:val="left"/>
              <w:rPr>
                <w:i/>
                <w:noProof/>
                <w:sz w:val="20"/>
              </w:rPr>
            </w:pPr>
            <w:r>
              <w:rPr>
                <w:i/>
                <w:noProof/>
                <w:sz w:val="20"/>
              </w:rPr>
              <w:t>Alueellinen sähkömarkkinafoorumi käynnistettiin lokakuussa 2015</w:t>
            </w:r>
          </w:p>
          <w:p>
            <w:pPr>
              <w:pStyle w:val="Text1"/>
              <w:spacing w:after="60"/>
              <w:ind w:left="34"/>
              <w:jc w:val="left"/>
              <w:rPr>
                <w:i/>
                <w:noProof/>
                <w:sz w:val="20"/>
              </w:rPr>
            </w:pPr>
            <w:r>
              <w:rPr>
                <w:i/>
                <w:noProof/>
                <w:sz w:val="20"/>
              </w:rPr>
              <w:t>Uusiutuvien energialähteiden ja energiatehokkuuden foorumi käynnistettiin vuonna 2016</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Uuden kansainvälisen energiaperuskirjan hyväksyminen ja allekirjoittaminen EU:n ja Euratomin puolesta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p>
            <w:pPr>
              <w:pStyle w:val="Text1"/>
              <w:spacing w:after="120"/>
              <w:ind w:left="55"/>
              <w:jc w:val="left"/>
              <w:rPr>
                <w:noProof/>
                <w:szCs w:val="24"/>
              </w:rPr>
            </w:pPr>
            <w:r>
              <w:rPr>
                <w:noProof/>
              </w:rPr>
              <w:t>Korkea edustaja / varapuheenjohtaja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Euroopan komissio allekirjoitti kansainvälisen energiaperuskirjan Haagissa 20.–21. toukokuuta 2015 pidetyssä konferenssissa.</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200"/>
              <w:ind w:left="55"/>
              <w:jc w:val="left"/>
              <w:rPr>
                <w:noProof/>
                <w:szCs w:val="24"/>
              </w:rPr>
            </w:pPr>
            <w:r>
              <w:rPr>
                <w:b/>
                <w:noProof/>
              </w:rPr>
              <w:t>Teollisuuden kilpailukyky</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keepNext/>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keepNext/>
              <w:ind w:left="33"/>
              <w:jc w:val="left"/>
              <w:rPr>
                <w:noProof/>
                <w:szCs w:val="24"/>
              </w:rPr>
            </w:pP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Uusi eurooppalainen energia-alan tutkimusta ja innovointia koskeva lähestymistapa, joka vauhdittaa energiajärjestelmän muutosta ja johon sisältyy </w:t>
            </w:r>
          </w:p>
          <w:p>
            <w:pPr>
              <w:pStyle w:val="Text1"/>
              <w:spacing w:after="200"/>
              <w:ind w:left="55"/>
              <w:jc w:val="left"/>
              <w:rPr>
                <w:noProof/>
                <w:szCs w:val="24"/>
              </w:rPr>
            </w:pPr>
            <w:r>
              <w:rPr>
                <w:noProof/>
              </w:rPr>
              <w:t>– integroitu strateginen energiateknologiasuunnitelma (SET-suunnitelma)</w:t>
            </w:r>
          </w:p>
          <w:p>
            <w:pPr>
              <w:pStyle w:val="Text1"/>
              <w:spacing w:after="200"/>
              <w:ind w:left="55"/>
              <w:jc w:val="left"/>
              <w:rPr>
                <w:noProof/>
                <w:szCs w:val="24"/>
              </w:rPr>
            </w:pPr>
            <w:r>
              <w:rPr>
                <w:noProof/>
              </w:rPr>
              <w:t>– liikennealan strateginen tutkimus- ja innovointiohjelma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2015–2017</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15.9.2015 annettu integroitua strategista energiateknologiasuunnitelmaa koskeva tiedonanto (C(2015) 6317)</w:t>
            </w:r>
          </w:p>
          <w:p>
            <w:pPr>
              <w:pStyle w:val="Text1"/>
              <w:spacing w:after="60"/>
              <w:ind w:left="34"/>
              <w:jc w:val="left"/>
              <w:rPr>
                <w:i/>
                <w:noProof/>
                <w:sz w:val="20"/>
              </w:rPr>
            </w:pPr>
            <w:r>
              <w:rPr>
                <w:i/>
                <w:noProof/>
                <w:sz w:val="20"/>
              </w:rPr>
              <w:t>Energia-alan älykkään erikoistumisen foorumi käynnistettiin vuonna 2015</w:t>
            </w:r>
          </w:p>
          <w:p>
            <w:pPr>
              <w:pStyle w:val="Text1"/>
              <w:spacing w:after="60"/>
              <w:ind w:left="34"/>
              <w:jc w:val="left"/>
              <w:rPr>
                <w:i/>
                <w:noProof/>
                <w:sz w:val="20"/>
              </w:rPr>
            </w:pPr>
            <w:r>
              <w:rPr>
                <w:i/>
                <w:noProof/>
                <w:sz w:val="20"/>
              </w:rPr>
              <w:t>30.11.2016 annettu tiedonanto ”Nopeampaan puhtaan energian innovointiin” (COM(2016) 763)</w:t>
            </w:r>
          </w:p>
          <w:p>
            <w:pPr>
              <w:pStyle w:val="Text1"/>
              <w:spacing w:after="60"/>
              <w:ind w:left="34"/>
              <w:jc w:val="left"/>
              <w:rPr>
                <w:noProof/>
                <w:sz w:val="20"/>
              </w:rPr>
            </w:pPr>
            <w:r>
              <w:rPr>
                <w:i/>
                <w:noProof/>
              </w:rPr>
              <w:t>Komission yksiköiden valmisteluasiakirja (SWD(2017) 223) ”Towards clean, competitive and connected mobility:</w:t>
            </w:r>
            <w:r>
              <w:rPr>
                <w:i/>
                <w:noProof/>
                <w:sz w:val="20"/>
              </w:rPr>
              <w:t xml:space="preserve"> the contribution of Transport Research and Innovation to the Mobility package”, annettu 31.5.2017 osana EU:n liikkuvuuspakettia ”Eurooppa liikkeellä” (COM(2017) 283)</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Energian hintojen ja kustannusten (verot ja tuet mukaan luettuina) analysointi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2016 ja sen jälkeen joka toinen vuosi</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30.11.2016 annettu ensimmäinen kertomus [COM(2016) 769]</w:t>
            </w:r>
          </w:p>
          <w:p>
            <w:pPr>
              <w:pStyle w:val="Text1"/>
              <w:spacing w:after="60"/>
              <w:ind w:left="34"/>
              <w:jc w:val="left"/>
              <w:rPr>
                <w:noProof/>
                <w:sz w:val="20"/>
              </w:rPr>
            </w:pPr>
            <w:r>
              <w:rPr>
                <w:i/>
                <w:noProof/>
                <w:sz w:val="20"/>
              </w:rPr>
              <w:t>9.1.2019 annettu toinen kertomus [COM(2019) 1]</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EU:n maailmanlaajuista teknologian ja innovoinnin johtoasemaa energia- ja ilmastokysymyksissä koskeva aloite kasvun ja työllisyyden edistämiseksi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Liittyy nopeampaan puhtaan energian innovointiin: ks. edellä tiedonanto COM(2016) 763; ks. myös ”Puhdasta energiaa kaikille eurooppalaisille” -paketista 30.11.2016 annetun johdantotiedonannon (COM(2016) 860) liite 2: Toimet puhtaaseen energiaan siirtymisen tueksi</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Kauppapolitiikan tehostaminen EU:n teknologiaviennin helpottamiseksi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2015–2019</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noProof/>
                <w:sz w:val="20"/>
              </w:rPr>
            </w:pPr>
            <w:r>
              <w:rPr>
                <w:noProof/>
                <w:sz w:val="20"/>
              </w:rPr>
              <w:t>Meneillään</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b/>
                <w:noProof/>
              </w:rPr>
              <w:t>Monialaiset toimenpiteet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 xml:space="preserve">Ympäristönsuojelulle ja energia-alalle tarkoitetusta valtiontuesta annettujen suuntaviivojen uudelleentarkastelu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2017–2019</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Euroopan energiaturvallisuusstrategiaa koskeva kertomus; Euromed-foorumi ja -etenemissuunnitelma sekä nesteytettyä maakaasua, energian varastointia ja eteläistä kaasukäytävää koskevat strategiat</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2015–2016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18.11.2015 hyväksytty kertomus (yksiköiden valmisteluasiakirja) (SWD(2015) 404)</w:t>
            </w:r>
          </w:p>
          <w:p>
            <w:pPr>
              <w:pStyle w:val="Text1"/>
              <w:spacing w:after="60"/>
              <w:ind w:left="34"/>
              <w:jc w:val="left"/>
              <w:rPr>
                <w:i/>
                <w:noProof/>
                <w:sz w:val="20"/>
              </w:rPr>
            </w:pPr>
            <w:r>
              <w:rPr>
                <w:i/>
                <w:noProof/>
                <w:sz w:val="20"/>
              </w:rPr>
              <w:t>16.2.2016 annettu nesteytettyä maakaasua ja sen varastointia koskeva tiedonanto [C(2016) 49]</w:t>
            </w:r>
          </w:p>
          <w:p>
            <w:pPr>
              <w:pStyle w:val="Text1"/>
              <w:spacing w:after="60"/>
              <w:ind w:left="34"/>
              <w:jc w:val="left"/>
              <w:rPr>
                <w:i/>
                <w:noProof/>
                <w:sz w:val="20"/>
              </w:rPr>
            </w:pPr>
            <w:r>
              <w:rPr>
                <w:i/>
                <w:noProof/>
                <w:sz w:val="20"/>
              </w:rPr>
              <w:t>1.2.2017 hyväksytty komission yksiköiden valmisteluasiakirja energian varastoinnista sähköjärjestelmässä [SWD(2017) 61]</w:t>
            </w:r>
          </w:p>
        </w:tc>
      </w:tr>
      <w:tr>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55"/>
              <w:jc w:val="left"/>
              <w:rPr>
                <w:noProof/>
                <w:szCs w:val="24"/>
              </w:rPr>
            </w:pPr>
            <w:r>
              <w:rPr>
                <w:noProof/>
              </w:rPr>
              <w:t>Tiedot, analyysit ja tiedustelutiedot energiaunionia varten: aloite kaikkien olennaisten tietojen yhteen kokoamiseksi ja niiden asettamiseksi helposti saataville komissiossa ja jäsenvaltioissa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252"/>
              <w:jc w:val="left"/>
              <w:rPr>
                <w:noProof/>
                <w:szCs w:val="24"/>
              </w:rPr>
            </w:pPr>
            <w:r>
              <w:rPr>
                <w:noProof/>
              </w:rPr>
              <w:t>2016</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Meneillään</w:t>
            </w:r>
          </w:p>
          <w:p>
            <w:pPr>
              <w:pStyle w:val="Text1"/>
              <w:spacing w:after="60"/>
              <w:ind w:left="34"/>
              <w:jc w:val="left"/>
              <w:rPr>
                <w:i/>
                <w:noProof/>
                <w:sz w:val="20"/>
              </w:rPr>
            </w:pPr>
            <w:r>
              <w:rPr>
                <w:i/>
                <w:noProof/>
                <w:sz w:val="20"/>
              </w:rPr>
              <w:t>Asetus (EU) 2016/1952 maakaasun ja sähkön hintoja koskevista Euroopan tilastoista annettu</w:t>
            </w:r>
          </w:p>
          <w:p>
            <w:pPr>
              <w:pStyle w:val="Text1"/>
              <w:spacing w:after="60"/>
              <w:ind w:left="34"/>
              <w:jc w:val="left"/>
              <w:rPr>
                <w:i/>
                <w:noProof/>
                <w:sz w:val="20"/>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b/>
                <w:noProof/>
              </w:rPr>
              <w:t>Ydinvoima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b/>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99"/>
              <w:jc w:val="center"/>
              <w:rPr>
                <w:b/>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225"/>
              <w:jc w:val="center"/>
              <w:rPr>
                <w:b/>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175"/>
              <w:jc w:val="center"/>
              <w:rPr>
                <w:b/>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33"/>
              <w:jc w:val="left"/>
              <w:rPr>
                <w:noProof/>
                <w:szCs w:val="24"/>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Neuvoston asetus Euratomin perustamissopimuksen 41 artiklan mukaisten tietovaatimusten päivittämiseksi Euroopan energiaturvallisuusstrategian perusteella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Aloitetta lykätty</w:t>
            </w:r>
          </w:p>
        </w:tc>
      </w:tr>
      <w:tr>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200"/>
              <w:ind w:left="120"/>
              <w:jc w:val="left"/>
              <w:rPr>
                <w:noProof/>
                <w:szCs w:val="24"/>
              </w:rPr>
            </w:pPr>
            <w:r>
              <w:rPr>
                <w:noProof/>
              </w:rPr>
              <w:t>Euratomin perustamissopimuksen 40 artiklan mukainen ohjeellista ydinohjelmaa (PINC) koskeva tiedonanto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spacing w:after="120"/>
              <w:ind w:left="55"/>
              <w:jc w:val="left"/>
              <w:rPr>
                <w:noProof/>
                <w:szCs w:val="24"/>
              </w:rPr>
            </w:pPr>
            <w:r>
              <w:rPr>
                <w:noProof/>
              </w:rPr>
              <w:t>Komissio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ext1"/>
              <w:ind w:left="55"/>
              <w:jc w:val="left"/>
              <w:rPr>
                <w:noProof/>
                <w:szCs w:val="24"/>
              </w:rPr>
            </w:pPr>
            <w:r>
              <w:rPr>
                <w:noProof/>
              </w:rPr>
              <w:t>2015</w:t>
            </w: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ind w:left="12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ind w:left="0"/>
              <w:jc w:val="center"/>
              <w:rPr>
                <w:noProof/>
                <w:szCs w:val="24"/>
              </w:rPr>
            </w:pPr>
            <w:r>
              <w:rPr>
                <w:noProof/>
              </w:rPr>
              <w:t>X</w:t>
            </w:r>
          </w:p>
        </w:tc>
        <w:tc>
          <w:tcPr>
            <w:tcW w:w="0" w:type="auto"/>
            <w:tcBorders>
              <w:top w:val="single" w:sz="4" w:space="0" w:color="auto"/>
              <w:left w:val="single" w:sz="4" w:space="0" w:color="auto"/>
              <w:bottom w:val="single" w:sz="4" w:space="0" w:color="auto"/>
              <w:right w:val="single" w:sz="4" w:space="0" w:color="auto"/>
            </w:tcBorders>
          </w:tcPr>
          <w:p>
            <w:pPr>
              <w:pStyle w:val="Text1"/>
              <w:jc w:val="center"/>
              <w:rPr>
                <w:noProof/>
                <w:szCs w:val="24"/>
              </w:rPr>
            </w:pPr>
          </w:p>
        </w:tc>
        <w:tc>
          <w:tcPr>
            <w:tcW w:w="0" w:type="auto"/>
            <w:tcBorders>
              <w:top w:val="single" w:sz="4" w:space="0" w:color="auto"/>
              <w:left w:val="single" w:sz="4" w:space="0" w:color="auto"/>
              <w:bottom w:val="single" w:sz="4" w:space="0" w:color="auto"/>
              <w:right w:val="single" w:sz="4" w:space="0" w:color="auto"/>
            </w:tcBorders>
          </w:tcPr>
          <w:p>
            <w:pPr>
              <w:pStyle w:val="Text1"/>
              <w:spacing w:after="60"/>
              <w:ind w:left="34"/>
              <w:jc w:val="left"/>
              <w:rPr>
                <w:i/>
                <w:noProof/>
                <w:sz w:val="20"/>
              </w:rPr>
            </w:pPr>
            <w:r>
              <w:rPr>
                <w:i/>
                <w:noProof/>
                <w:sz w:val="20"/>
              </w:rPr>
              <w:t>Euroopan talous- ja sosiaalikomitealle (ETSK) lausuntoa varten 4.4.2016 annettu tiedonanto (COM(2016) 177)</w:t>
            </w:r>
          </w:p>
          <w:p>
            <w:pPr>
              <w:pStyle w:val="Text1"/>
              <w:spacing w:after="60"/>
              <w:ind w:left="34"/>
              <w:jc w:val="left"/>
              <w:rPr>
                <w:i/>
                <w:noProof/>
                <w:sz w:val="20"/>
              </w:rPr>
            </w:pPr>
            <w:r>
              <w:rPr>
                <w:i/>
                <w:noProof/>
                <w:sz w:val="20"/>
              </w:rPr>
              <w:t>Lopullinen versio, jossa otetaan huomioon Euroopan talous- ja sosiaalikomitean (ETSK) lausunto, annettu 12.5.2017 (COM(2017) 237)</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6838" w:h="11906" w:orient="landscape"/>
      <w:pgMar w:top="1134" w:right="1021" w:bottom="1134" w:left="1021"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8</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7AF5"/>
    <w:multiLevelType w:val="hybridMultilevel"/>
    <w:tmpl w:val="EF5C285C"/>
    <w:lvl w:ilvl="0" w:tplc="D43A4720">
      <w:numFmt w:val="bullet"/>
      <w:lvlText w:val="-"/>
      <w:lvlJc w:val="left"/>
      <w:pPr>
        <w:ind w:left="394" w:hanging="360"/>
      </w:pPr>
      <w:rPr>
        <w:rFonts w:ascii="Times New Roman" w:eastAsia="Times New Roman"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
    <w:docVar w:name="LW_ANNEX_NBR_FIRST" w:val="1"/>
    <w:docVar w:name="LW_ANNEX_NBR_LAST" w:val="1"/>
    <w:docVar w:name="LW_ANNEX_UNIQUE" w:val="1"/>
    <w:docVar w:name="LW_CORRIGENDUM" w:val="&lt;UNUSED&gt;"/>
    <w:docVar w:name="LW_COVERPAGE_EXISTS" w:val="True"/>
    <w:docVar w:name="LW_COVERPAGE_GUID" w:val="CF29746A-E7DD-48CD-A712-8EC59208A0B2"/>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yssel "/>
    <w:docVar w:name="LW_EMISSION_SUFFIX" w:val=" "/>
    <w:docVar w:name="LW_ID_DOCTYPE_NONLW" w:val="CP-039"/>
    <w:docVar w:name="LW_LANGUE" w:val="FI"/>
    <w:docVar w:name="LW_LEVEL_OF_SENSITIVITY" w:val="Standard treatment"/>
    <w:docVar w:name="LW_NOM.INST" w:val="EUROOPAN KOMISSIO"/>
    <w:docVar w:name="LW_NOM.INST_JOINTDOC" w:val="&lt;EMPTY&gt;"/>
    <w:docVar w:name="LW_OBJETACTEPRINCIPAL.CP" w:val="Energiaunionin neljäs tilannekatsaus"/>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ITE_x000b_"/>
    <w:docVar w:name="LW_TYPEACTEPRINCIPAL.CP" w:val="KOMISSION KERTOMUS EUROOPAN PARLAMENTILLE, NEUVOSTOLLE, EUROOPAN TALOUS- JA SOSIAALIKOMITEALLE, ALUEIDEN KOMITEALLE JA EUROOPAN INVESTOINTIPANKI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9979">
      <w:bodyDiv w:val="1"/>
      <w:marLeft w:val="0"/>
      <w:marRight w:val="0"/>
      <w:marTop w:val="0"/>
      <w:marBottom w:val="0"/>
      <w:divBdr>
        <w:top w:val="none" w:sz="0" w:space="0" w:color="auto"/>
        <w:left w:val="none" w:sz="0" w:space="0" w:color="auto"/>
        <w:bottom w:val="none" w:sz="0" w:space="0" w:color="auto"/>
        <w:right w:val="none" w:sz="0" w:space="0" w:color="auto"/>
      </w:divBdr>
    </w:div>
    <w:div w:id="256326094">
      <w:bodyDiv w:val="1"/>
      <w:marLeft w:val="0"/>
      <w:marRight w:val="0"/>
      <w:marTop w:val="0"/>
      <w:marBottom w:val="0"/>
      <w:divBdr>
        <w:top w:val="none" w:sz="0" w:space="0" w:color="auto"/>
        <w:left w:val="none" w:sz="0" w:space="0" w:color="auto"/>
        <w:bottom w:val="none" w:sz="0" w:space="0" w:color="auto"/>
        <w:right w:val="none" w:sz="0" w:space="0" w:color="auto"/>
      </w:divBdr>
    </w:div>
    <w:div w:id="367612219">
      <w:bodyDiv w:val="1"/>
      <w:marLeft w:val="0"/>
      <w:marRight w:val="0"/>
      <w:marTop w:val="0"/>
      <w:marBottom w:val="0"/>
      <w:divBdr>
        <w:top w:val="none" w:sz="0" w:space="0" w:color="auto"/>
        <w:left w:val="none" w:sz="0" w:space="0" w:color="auto"/>
        <w:bottom w:val="none" w:sz="0" w:space="0" w:color="auto"/>
        <w:right w:val="none" w:sz="0" w:space="0" w:color="auto"/>
      </w:divBdr>
    </w:div>
    <w:div w:id="1016271014">
      <w:bodyDiv w:val="1"/>
      <w:marLeft w:val="0"/>
      <w:marRight w:val="0"/>
      <w:marTop w:val="0"/>
      <w:marBottom w:val="0"/>
      <w:divBdr>
        <w:top w:val="none" w:sz="0" w:space="0" w:color="auto"/>
        <w:left w:val="none" w:sz="0" w:space="0" w:color="auto"/>
        <w:bottom w:val="none" w:sz="0" w:space="0" w:color="auto"/>
        <w:right w:val="none" w:sz="0" w:space="0" w:color="auto"/>
      </w:divBdr>
    </w:div>
    <w:div w:id="2064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ec.europa.eu/energy/sites/ener/files/energy_infrastructure_forum_2018_con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1F74-606D-4500-B976-A712D6753FD9}">
  <ds:schemaRefs>
    <ds:schemaRef ds:uri="http://schemas.microsoft.com/sharepoint/v3/contenttype/forms"/>
  </ds:schemaRefs>
</ds:datastoreItem>
</file>

<file path=customXml/itemProps2.xml><?xml version="1.0" encoding="utf-8"?>
<ds:datastoreItem xmlns:ds="http://schemas.openxmlformats.org/officeDocument/2006/customXml" ds:itemID="{4C8DA093-1190-4E86-873C-0BD5F8E9F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D8391-4EC1-4A78-AF4C-E4A76731B58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0A7450C-76E1-4977-9EC3-26B40515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2568</Words>
  <Characters>21940</Characters>
  <Application>Microsoft Office Word</Application>
  <DocSecurity>0</DocSecurity>
  <Lines>1290</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2019-04-08T07:14:00Z</dcterms:created>
  <dcterms:modified xsi:type="dcterms:W3CDTF">2019-04-10T06:38:00Z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DocStatus">
    <vt:lpwstr>Green</vt:lpwstr>
  </property>
  <property fmtid="{D5CDD505-2E9C-101B-9397-08002B2CF9AE}" pid="4" name="Last edited using">
    <vt:lpwstr>LW 6.0.1, Build 20180503</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y fmtid="{D5CDD505-2E9C-101B-9397-08002B2CF9AE}" pid="11" name="ContentTypeId">
    <vt:lpwstr>0x010100C336B5F2374A61429F33911337CF2393</vt:lpwstr>
  </property>
  <property fmtid="{D5CDD505-2E9C-101B-9397-08002B2CF9AE}" pid="12" name="IsMyDocuments">
    <vt:bool>true</vt:bool>
  </property>
</Properties>
</file>