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6861556F-251F-44E8-AD34-52AA93031CA5" style="width:450.75pt;height:348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  <w:bookmarkStart w:id="1" w:name="_GoBack"/>
      <w:bookmarkEnd w:id="1"/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RAPPORT TAL-KUMMISSJONI LILL-PARLAMENT EWROPEW U LILL-KUNSILL</w:t>
      </w: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Eżenzjonijiet mogħtija mill-Istati Membri skont ir-Regolament (UE) Nru 181/2011 dwar id-drittijiet tal-passiġġieri fit-trasport bix-xarabank u bil-kowċ u li jemenda r-Regolament (KE) Nru 2006/2004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b/>
          <w:noProof/>
          <w:color w:val="222222"/>
          <w:spacing w:val="5"/>
          <w:sz w:val="24"/>
        </w:rPr>
        <w:t>1. INTRODUZZJONI 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b/>
          <w:noProof/>
          <w:color w:val="222222"/>
          <w:spacing w:val="5"/>
          <w:sz w:val="24"/>
        </w:rPr>
        <w:t xml:space="preserve">1.1. Sfond 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Ir-Regolament (UE) Nru 181/2011</w:t>
      </w:r>
      <w:r>
        <w:rPr>
          <w:rStyle w:val="FootnoteReference"/>
          <w:rFonts w:ascii="Times New Roman" w:hAnsi="Times New Roman"/>
          <w:noProof/>
          <w:color w:val="222222"/>
          <w:spacing w:val="5"/>
          <w:sz w:val="24"/>
        </w:rPr>
        <w:footnoteReference w:id="1"/>
      </w:r>
      <w:r>
        <w:rPr>
          <w:rFonts w:ascii="Times New Roman" w:hAnsi="Times New Roman"/>
          <w:noProof/>
          <w:color w:val="222222"/>
          <w:spacing w:val="5"/>
          <w:sz w:val="24"/>
        </w:rPr>
        <w:t xml:space="preserve"> (“ir-Regolament”) jistipula serje ta’ drittijiet għall-passiġġieri li jivvjaġġaw bix-xarabank u bil-kowċ fl-Unjoni Ewropea. Dan sar applikabbli fl-1 ta’ Marzu 2013. 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Il-Kummissjoni qiegħda tippreżenta dan ir-rapport skont l-Artikoli 2(6) u 18(2) tar-Regolament, li jobbligaha tirrapporta lill-Parlament Ewropew u lill-Kunsill dwar l-eżenzjonijiet mogħtija skont l-Artikoli 2(4), 2(5) u 18(1).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b/>
          <w:noProof/>
          <w:color w:val="222222"/>
          <w:spacing w:val="5"/>
          <w:sz w:val="24"/>
        </w:rPr>
        <w:t>1.2 Kamp ta’ applikazzjoni tar-Regolament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0D0D0D"/>
          <w:spacing w:val="5"/>
          <w:sz w:val="24"/>
        </w:rPr>
        <w:t>Ir-Regolament japplika, b’mod ġenerali, għal “servizzi regolari” (servizzi pprovduti f’intervalli speċifikati matul rotot speċifikati, fejn il-passiġġieri jitilgħu u jinżlu f’postijiet ta’ waqfien determinati minn qabel) għal kategoriji mhux speċifikati ta’ passiġġieri, fejn il-punt tal-imbark jew tal-iżbark tal-passiġġieri jkun jinsab fit-territorju ta’ Stat Membru</w:t>
      </w:r>
      <w:r>
        <w:rPr>
          <w:rStyle w:val="FootnoteReference"/>
          <w:rFonts w:ascii="Times New Roman" w:hAnsi="Times New Roman"/>
          <w:noProof/>
          <w:color w:val="0D0D0D"/>
          <w:spacing w:val="5"/>
          <w:sz w:val="24"/>
        </w:rPr>
        <w:footnoteReference w:id="2"/>
      </w:r>
      <w:r>
        <w:rPr>
          <w:rFonts w:ascii="Times New Roman" w:hAnsi="Times New Roman"/>
          <w:noProof/>
          <w:color w:val="0D0D0D"/>
          <w:spacing w:val="5"/>
          <w:sz w:val="24"/>
        </w:rPr>
        <w:t>.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b/>
          <w:noProof/>
          <w:color w:val="0D0D0D"/>
          <w:spacing w:val="5"/>
          <w:sz w:val="24"/>
        </w:rPr>
        <w:t> 1.3 Kontenut tar-Regolament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Il-passiġġieri li jkunu qegħdin jivvjaġġaw fuq kwalunkwe tip ta’ servizz regolari, irrispettivament mid-distanza skedata tas-servizz, jibbenefikaw mid-drittijiet ewlenin li ġejjin: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 1) kundizzjonijiet mhux diskriminatorji tat-trasport (partikolarment tariffi mhux diskriminatorji);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 xml:space="preserve">2) aċċess għat-trasport għal persuni b’diżabbiltà jew b’mobbiltà mnaqqsa mingħajr l-ebda ħlas addizzjonali (it-trasportaturi jistgħu jirrifjutaw li jittrasportaw passiġġieri b’diżabbiltà biss jekk il-ġarr tagħhom ikun fiżikament impossibbli minħabba d-disinn tal-vettura, il-post ta’ waqfien tax-xarabank jew l-infrastruttura tat-terminal, jew jekk il-ġarr tagħhom ikun jikser ir-rekwiżiti tas-saħħa u tas-sikurezza); 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 xml:space="preserve">3) regoli minimi dwar l-informazzjoni dwar l-ivvjaġġar ipprovduta lill-passiġġieri kollha qabel u matul il-vjaġġ tagħhom, inkluż informazzjoni dwar id-drittijiet tagħhom; 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 xml:space="preserve">4) mekkaniżmu għall-ġestjoni tal-ilmenti li t-trasportaturi jridu jaraw li jkun disponibbli għall-passiġġieri kollha; u 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5) korpi nazzjonali indipendenti tal-infurzar f’kull Stat Membru, li jkollhom il-mandat li jinfurzaw ir-Regolament u, fejn ikun xieraq, li jimponu l-penali</w:t>
      </w:r>
      <w:r>
        <w:rPr>
          <w:rStyle w:val="FootnoteReference"/>
          <w:rFonts w:ascii="Times New Roman" w:hAnsi="Times New Roman"/>
          <w:noProof/>
          <w:color w:val="222222"/>
          <w:spacing w:val="5"/>
          <w:sz w:val="24"/>
        </w:rPr>
        <w:footnoteReference w:id="3"/>
      </w:r>
      <w:r>
        <w:rPr>
          <w:rFonts w:ascii="Times New Roman" w:hAnsi="Times New Roman"/>
          <w:noProof/>
          <w:color w:val="222222"/>
          <w:spacing w:val="5"/>
          <w:sz w:val="24"/>
        </w:rPr>
        <w:t xml:space="preserve">. 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 xml:space="preserve">Il-passiġġieri jibbenefikaw ukoll mid-drittijiet addizzjonali li ġejjin meta jivvjaġġaw fuq servizzi regolari fejn id-distanza skedata tas-servizz tkun ta’ 250 km jew iktar: 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 xml:space="preserve">6) provvista ta’ biljetti (elettroniċi jew tal-karti) jew kwalunkwe dokument ieħor li jagħti intitolament għat-trasport; 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 xml:space="preserve">7) kumpens u assistenza fil-każ ta’ mewt, korriment, telf jew ħsara lill-bagalji kkawżati minn aċċident; 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 xml:space="preserve">8) informazzjoni jekk is-servizz jiġi kkanċellat jew ikun hemm dewmien fit-tluq; 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 xml:space="preserve">9) dritt għal rimborż tal-prezz sħiħ tal-biljett jew riprogrammar tar-rotta fil-każ ta’ kanċellazzjoni jew dewmien twil fit-tluq; 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 xml:space="preserve">10) assistenza adegwata fil-każ ta’ kanċellazzjoni jew dewmien twil (applikabbli biss meta t-tul skedat tal-vjaġġ ikun iktar minn tliet sigħat); 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 xml:space="preserve">11) kumpens li jammonta għal 50 % tal-prezz tal-biljett jekk it-trasportatur jonqos milli joffri lill-passiġġier l-għażla bejn rimborż tal-prezz tal-biljett u riprogrammar tar-rotta meta jkun hemm kanċellazzjoni jew dewmien twil; u 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 xml:space="preserve">12) assistenza speċifika mingħajr l-ebda ħlas addizzjonali għal persuni b’diżabbiltà jew b’mobbiltà mnaqqsa kemm fit-terminals tax-xarabank kif ukoll abbord. </w:t>
      </w:r>
    </w:p>
    <w:p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b/>
          <w:noProof/>
          <w:color w:val="222222"/>
          <w:spacing w:val="5"/>
          <w:sz w:val="24"/>
        </w:rPr>
        <w:t>2. Eżenzjonijiet mill-kamp ta’ applikazzjoni tar-Regolament</w:t>
      </w:r>
      <w:r>
        <w:rPr>
          <w:rStyle w:val="FootnoteReference"/>
          <w:rFonts w:ascii="Times New Roman" w:hAnsi="Times New Roman"/>
          <w:b/>
          <w:noProof/>
          <w:color w:val="222222"/>
          <w:spacing w:val="5"/>
          <w:sz w:val="24"/>
        </w:rPr>
        <w:footnoteReference w:id="4"/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noProof/>
        </w:rPr>
      </w:pPr>
      <w:r>
        <w:rPr>
          <w:rFonts w:ascii="Times New Roman" w:hAnsi="Times New Roman"/>
          <w:b/>
          <w:noProof/>
          <w:color w:val="222222"/>
          <w:spacing w:val="5"/>
          <w:sz w:val="24"/>
        </w:rPr>
        <w:t>2.1 Eżenzjoni ta’ servizzi regolari domestiċi mill-kamp ta’ applikazzjoni tar-Regolament f’konformità mal-Artikolu 2(4) tar-Regolament</w:t>
      </w:r>
      <w:r>
        <w:rPr>
          <w:noProof/>
        </w:rPr>
        <w:t xml:space="preserve"> 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L-Istati Membri setgħu, fuq bażi trasparenti u mhux diskriminatorja, jeżentaw dawk is-servizzi regolari purament domestiċi fejn id-distanza skedata kienet ugwali jew iktar minn 250 km mill-applikazzjoni tad-drittijiet mhux ewlenin sat-28 ta’ Frar 2017. Din l-eżenzjoni setgħet tiġġedded darba, għal perjodu ta’ mhux iktar minn erba’ snin (li jintemm mhux iktar tard mit-28 ta’ Frar 2021).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Fl-2013, meta r-Regolament sar applikabbli, total ta’ 13-il Stat Membru (l-Estonja, Franza, il-Greċja, il-Kroazja, il-Latvja, in-Netherlands, il-Portugall, ir-Renju Unit, ir-Repubblika Ċeka</w:t>
      </w:r>
      <w:r>
        <w:rPr>
          <w:rStyle w:val="FootnoteReference"/>
          <w:rFonts w:ascii="Times New Roman" w:hAnsi="Times New Roman"/>
          <w:noProof/>
          <w:color w:val="222222"/>
          <w:spacing w:val="5"/>
          <w:sz w:val="24"/>
        </w:rPr>
        <w:footnoteReference w:id="5"/>
      </w:r>
      <w:r>
        <w:rPr>
          <w:rFonts w:ascii="Times New Roman" w:hAnsi="Times New Roman"/>
          <w:noProof/>
          <w:color w:val="222222"/>
          <w:spacing w:val="5"/>
          <w:sz w:val="24"/>
        </w:rPr>
        <w:t>, ir-Rumanija, is-Slovakkja, is-Slovenja u l-Ungerija</w:t>
      </w:r>
      <w:r>
        <w:rPr>
          <w:rStyle w:val="FootnoteReference"/>
          <w:rFonts w:ascii="Times New Roman" w:hAnsi="Times New Roman"/>
          <w:noProof/>
          <w:color w:val="222222"/>
          <w:spacing w:val="5"/>
          <w:sz w:val="24"/>
        </w:rPr>
        <w:footnoteReference w:id="6"/>
      </w:r>
      <w:r>
        <w:rPr>
          <w:rFonts w:ascii="Times New Roman" w:hAnsi="Times New Roman"/>
          <w:noProof/>
          <w:color w:val="222222"/>
          <w:spacing w:val="5"/>
          <w:sz w:val="24"/>
        </w:rPr>
        <w:t xml:space="preserve">) applikaw eżenzjonijiet ta’ dan it-tip. 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Fl-2017, total ta’ tmien Stati Membri (l-Estonja, il-Kroazja, il-Latvja, il-Portugall, ir-Renju Unit, is-Slovakkja, is-Slovenja u l-Ungerija) iddeċidew li jġeddu din l-eżenzjoni</w:t>
      </w:r>
      <w:r>
        <w:rPr>
          <w:rStyle w:val="FootnoteReference"/>
          <w:rFonts w:ascii="Times New Roman" w:hAnsi="Times New Roman"/>
          <w:noProof/>
          <w:color w:val="222222"/>
          <w:spacing w:val="5"/>
          <w:sz w:val="24"/>
        </w:rPr>
        <w:footnoteReference w:id="7"/>
      </w:r>
      <w:r>
        <w:rPr>
          <w:rFonts w:ascii="Times New Roman" w:hAnsi="Times New Roman"/>
          <w:noProof/>
          <w:color w:val="222222"/>
          <w:spacing w:val="5"/>
          <w:sz w:val="24"/>
        </w:rPr>
        <w:t>.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b/>
          <w:noProof/>
          <w:color w:val="222222"/>
          <w:spacing w:val="5"/>
          <w:sz w:val="24"/>
        </w:rPr>
        <w:t xml:space="preserve">2.2 Eżenzjoni ta’ servizzi regolari fejn parti sinifikanti tas-servizz (li jinkludi minn tal-inqas waqfa skedata waħda) hija operata barra mill-Unjoni Ewropea f’konformità mal-Artikolu 2(5) tar-Regolament 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L-Istati Membri setgħu wkoll jagħtu eżenzjonijiet mill-applikazzjoni tar-Regolament sħiħ għal servizzi regolari fejn parti sinifikanti tas-servizz (li jinkludi minn tal-inqas waqfa skedata waħda) hija operata barra mill-UE. Dawn l-eżenzjonijiet, li kellhom jingħataw ukoll fuq bażi trasparenti u mhux diskriminatorja, skadew fit-28 ta’ Frar 2017, iżda setgħu jiġġeddu darba għal perjodu ta’ mhux iktar minn erba’ snin (li jintemm mhux iktar tard mit-28 ta’ Frar 2021).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Fl-2013, total ta’ 14-il Stat Membru (l-Awstrija, l-Estonja, Franza, il-Finlandja, il-Ġermanja, il-Greċja, l-Italja, il-Kroazja, il-Latvja, in-Netherlands, ir-Renju Unit, is-Slovakkja, is-Slovenja u l-Ungerija) taw eżenzjonijiet ta’ dan it-tip.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Fl-2017, total ta’ disa’ Stati Membri (l-Estonja, il-Finlandja, il-Greċja, il-Kroazja, il-Latvja, ir-Renju Unit, is-Slovakkja, is-Slovenja u l-Ungerija) iddeċidew li jġeddu din l-eżenzjoni</w:t>
      </w:r>
      <w:r>
        <w:rPr>
          <w:rStyle w:val="FootnoteReference"/>
          <w:rFonts w:ascii="Times New Roman" w:hAnsi="Times New Roman"/>
          <w:noProof/>
          <w:color w:val="222222"/>
          <w:spacing w:val="5"/>
          <w:sz w:val="24"/>
        </w:rPr>
        <w:footnoteReference w:id="8"/>
      </w:r>
      <w:r>
        <w:rPr>
          <w:rFonts w:ascii="Times New Roman" w:hAnsi="Times New Roman"/>
          <w:noProof/>
          <w:color w:val="222222"/>
          <w:spacing w:val="5"/>
          <w:sz w:val="24"/>
        </w:rPr>
        <w:t>.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b/>
          <w:noProof/>
          <w:color w:val="222222"/>
          <w:spacing w:val="5"/>
          <w:sz w:val="24"/>
        </w:rPr>
        <w:t xml:space="preserve">2.3 Eżenzjoni ta’ servizzi regolari minn xi wħud mid-dispożizzjonijiet jew mid-dispożizzjonijiet kollha relatati mad-drittijiet tal-passiġġieri b’diżabbiltà jew b’mobbiltà mnaqqsa f’konformità mal-Artikolu 18(1) tar-Regolament 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L-Istati Membri jistgħu jeżentaw is-servizzi domestiċi tagħhom mill-applikazzjoni ta’ xi wħud mid-dispożizzjonijiet jew mid-dispożizzjonijiet kollha tal-Kapitolu III tar-Regolament dwar id-drittijiet tal-passiġġieri b’diżabbiltà jew b’mobbiltà mnaqqsa, diment li jiżguraw li l-livell ta’ protezzjoni tal-persuni b’diżabbiltà u tal-persuni b’mobbiltà mnaqqsa skont ir-regoli nazzjonali tagħhom ikun minn tal-inqas l-istess bħal dak skont ir-Regolament. L-Istati Membri għandhom jinfurmaw lill-Kummissjoni bit-tali eżenzjonijiet mogħtija. Il-Kummissjoni għandha tieħu azzjoni xierqa jekk tali eżenzjoni titqies li ma tkunx konformi mar-rekwiżit li l-livell ta’ protezzjoni tal-persuni b’diżabbiltà u tal-persuni b’mobbiltà mnaqqsa skont ir-regoli nazzjonali għandu jkun minn tal-inqas l-istess bħal dak skont ir-Regolament.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L-ebda wieħed mill-Istati Membri ma ta eżenzjonijiet abbażi tal-Artikolu 18(1) tar-Regolament.</w:t>
      </w:r>
    </w:p>
    <w:p>
      <w:pPr>
        <w:rPr>
          <w:rFonts w:ascii="Times New Roman" w:eastAsia="Times New Roman" w:hAnsi="Times New Roman" w:cs="Times New Roman"/>
          <w:b/>
          <w:noProof/>
          <w:color w:val="222222"/>
          <w:spacing w:val="5"/>
          <w:sz w:val="24"/>
          <w:szCs w:val="24"/>
        </w:rPr>
      </w:pPr>
      <w:r>
        <w:rPr>
          <w:noProof/>
        </w:rPr>
        <w:br w:type="page"/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b/>
          <w:noProof/>
          <w:color w:val="222222"/>
          <w:spacing w:val="5"/>
          <w:sz w:val="24"/>
        </w:rPr>
        <w:t>3. Konsultazzjoni mal-partijiet ikkonċernati u mal-korpi nazzjonali tal-infurzar dwar l-eżenzjonijiet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Qabel ma ppreżentat ir-Rapport tagħha dwar l-applikazzjoni tar-Regolament (UE) Nru 181/2011</w:t>
      </w:r>
      <w:r>
        <w:rPr>
          <w:rStyle w:val="FootnoteReference"/>
          <w:rFonts w:ascii="Times New Roman" w:hAnsi="Times New Roman"/>
          <w:noProof/>
          <w:color w:val="222222"/>
          <w:spacing w:val="5"/>
          <w:sz w:val="24"/>
        </w:rPr>
        <w:footnoteReference w:id="9"/>
      </w:r>
      <w:r>
        <w:rPr>
          <w:rFonts w:ascii="Times New Roman" w:hAnsi="Times New Roman"/>
          <w:noProof/>
          <w:color w:val="222222"/>
          <w:spacing w:val="5"/>
          <w:sz w:val="24"/>
        </w:rPr>
        <w:t xml:space="preserve"> lill-Parlament Ewropew u lill-Kunsill, fl-2016 il-Kummissjoni kkonsultat lill-partijiet ikkonċernati dwar l-applikazzjoni tar-Regolament. Matul din il-konsultazzjoni, l-organizzazzjonijiet tal-passiġġieri</w:t>
      </w:r>
      <w:r>
        <w:rPr>
          <w:rStyle w:val="FootnoteReference"/>
          <w:rFonts w:ascii="Times New Roman" w:hAnsi="Times New Roman"/>
          <w:noProof/>
          <w:color w:val="222222"/>
          <w:spacing w:val="5"/>
          <w:sz w:val="24"/>
        </w:rPr>
        <w:footnoteReference w:id="10"/>
      </w:r>
      <w:r>
        <w:rPr>
          <w:rFonts w:ascii="Times New Roman" w:hAnsi="Times New Roman"/>
          <w:noProof/>
          <w:color w:val="222222"/>
          <w:spacing w:val="5"/>
          <w:sz w:val="24"/>
        </w:rPr>
        <w:t xml:space="preserve"> kkritikaw lill-Istati Membri talli taw wisq eżenzjonijiet. Fl-opinjoni tagħhom, l-użu estensiv ta’ eżenzjonijiet iċaħħad lill-passiġġieri milli jgawdu għalkollox id-drittijiet tagħhom u milli jkollhom ċertezza legali (partikolarment peress li huwa diffiċli li l-passiġġieri jkunu jafu liema Stati Membri japplikaw liema eżenzjonijiet).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Konsegwentement, fl-istess Rapport il-Kummissjoni ħeġġet lill-Istati Membri, li taw eżenzjonijiet mir-Regolament, biex qabel it-28 ta’ Marzu 2017 jirrieżaminaw jekk, fid-dawl tal-esperjenzi tagħhom, huwiex meħtieġ li dawn l-eżenzjonijiet jitkomplew.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F’Settembru 2017, il-Kummissjoni għamlet stħarriġ mal-korpi nazzjonali tal-infurzar fejn talbithom jispjegaw għaliex l-Istat Membru tagħhom iddeċieda li japplika jew li ma japplikax dawn l-eżenzjonijiet</w:t>
      </w:r>
      <w:r>
        <w:rPr>
          <w:rStyle w:val="FootnoteReference"/>
          <w:rFonts w:ascii="Times New Roman" w:hAnsi="Times New Roman"/>
          <w:noProof/>
          <w:color w:val="222222"/>
          <w:spacing w:val="5"/>
          <w:sz w:val="24"/>
        </w:rPr>
        <w:footnoteReference w:id="11"/>
      </w:r>
      <w:r>
        <w:rPr>
          <w:rFonts w:ascii="Times New Roman" w:hAnsi="Times New Roman"/>
          <w:noProof/>
          <w:color w:val="222222"/>
          <w:spacing w:val="5"/>
          <w:sz w:val="24"/>
        </w:rPr>
        <w:t>.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L-Istati Membri spjegaw id-deċiżjonijiet tagħhom li jagħtu eżenzjonijiet kif ġej: In-Netherlands, ir-Repubblika Ċeka u l-Ungerija eżentaw servizzi regolari purament domestiċi biex jagħtu iktar żmien lill-operaturi nazzjonali biex iħejju għall-applikazzjoni tar-Regolament u biex jagħmlu l-investimenti meħtieġa (eż. l-aċċessibbiltà tal-flotta u l-infrastruttura). L-Estonja u l-Latvja eżentaw dawn is-servizzi minħabba li l-applikazzjoni sħiħa tar-Regolament għal servizzi domestiċi tkun piż sinifikanti għall-operaturi, li ma jibqgħux joperaw ċerti servizzi. Il-Kroazja tat din l-eżenzjoni fuq talba tat-trasportaturi nazzjonali. Ir-Renju Unit ta din l-eżenzjoni f’konformità mal-politika ġenerali tal-gvern li juża l-eżenzjonijiet kollha mil-leġiżlazzjoni tal-UE, li jnaqqsu l-ispejjeż għan-negozji.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L-Estonja, il-Ġermanja, il-Latvja u n-Netherlands spjegaw li huma eżentaw servizzi regolari b’parti sinifikanti tas-servizz operat barra mill-Unjoni Ewropea sabiex jinnegozjaw mill-ġdid ma’ pajjiżi terzi l-ftehimiet bilaterali tagħhom dwar it-trasport tal-passiġġieri bit-triq, u sabiex jintroduċu artikoli simili dwar id-drittijiet tal-passiġġieri f’tali ftehimiet.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noProof/>
          <w:color w:val="222222"/>
          <w:spacing w:val="5"/>
          <w:sz w:val="24"/>
          <w:szCs w:val="24"/>
        </w:rPr>
      </w:pPr>
      <w:r>
        <w:rPr>
          <w:rFonts w:ascii="Times New Roman" w:hAnsi="Times New Roman"/>
          <w:b/>
          <w:noProof/>
          <w:color w:val="222222"/>
          <w:spacing w:val="5"/>
          <w:sz w:val="24"/>
        </w:rPr>
        <w:t>4. Konklużjoni</w:t>
      </w:r>
    </w:p>
    <w:p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5"/>
          <w:sz w:val="24"/>
        </w:rPr>
        <w:t>Diversi Stati Membri taw eżenzjonijiet estensivi matul l-ewwel erba’ snin mill-applikazzjoni tar-Regolament sabiex it-trasportaturi tax-xarabank u tal-kowċ setgħu jħejju għall-applikazzjoni tiegħu. Fl-2017, meta kellhom jerġgħu jikkunsidraw jekk għandhomx ikomplu jużaw dawn l-eżenzjonijiet, xi wħud minn dawn l-Istati Membri kkunsidraw li t-trasportaturi bix-xarabank u bil-kowċ kienu lesti biex japplikaw għalkollox ir-Regolament u ma kienx hemm iktar bżonn li dawn l-eżenzjonijiet jiġu applikati. Madankollu, għad hemm għaxar Stati Membri li qegħdin jużaw eżenzjoni waħda jew tnejn minn dawn l-eżenzjonijiet.</w:t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2012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Ir-Regolament (UE) Nru 181/2011 tal-Parlament Ewropew u tal-Kunsill tas-16 ta’ Frar 2011 dwar id-drittijiet tal-passiġġieri fit-trasport bix-xarabank u bil-kowċ u li jemenda r-Regolament (KE) Nru 2006/2004 (ĠU L 55, 28.2.2011, p. 1).  </w:t>
      </w:r>
    </w:p>
  </w:footnote>
  <w:footnote w:id="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Barra minn hekk, għadd limitat ta’ dispożizzjonijiet (bl-iktar waħda importanti tkun dik dwar il-kumpens u l-assistenza li t-trasportaturi huma meħtieġa jipprovdu f’każ ta’ mewt, korriment, telf jew ħsara kkawżati minn aċċidenti fit-toroq) japplikaw ukoll għal “servizzi okkażjonali”, fejn il-grupp ta’ passiġġieri jkun ġie kkostitwit fuq l-inizjattiva tal-klijent jew tat-trasportatur innifsu.</w:t>
      </w:r>
    </w:p>
  </w:footnote>
  <w:footnote w:id="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Barra minn hekk, peress li r-Regolament huwa elenkat fl-Anness tar-Regolament (KE) Nru 2006/2004 dwar il-kooperazzjoni bejn l-awtoritajiet nazzjonali responsabbli għall-infurzar tal-liġijiet tal-protezzjoni tal-konsumaturi, l-awtoritajiet nazzjonali li jipparteċipaw fil-Kooperazzjoni għall-Protezzjoni tal-Konsumaturi tal-UE jistgħu jikkooperaw ma’ xulxin biex jinvestigaw il-ksur tad-drittijiet tal-passiġġieri bix-xarabank u bil-kowċ tal-UE u jużaw miżuri ta’ infurzar kooperattivi bħala deterrent għall-operaturi biex ma jiksrux dawk id-drittijiet.</w:t>
      </w:r>
    </w:p>
  </w:footnote>
  <w:footnote w:id="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Il-Kummissjoni tippubblika lista aġġornata dwar l-eżenzjonijiet mogħtija mill-Istati Membri abbażi tal-informazzjoni pprovduta mill-Istati Membri fuq:</w:t>
      </w:r>
    </w:p>
    <w:p>
      <w:pPr>
        <w:pStyle w:val="FootnoteText"/>
        <w:jc w:val="both"/>
        <w:rPr>
          <w:rFonts w:ascii="Times New Roman" w:hAnsi="Times New Roman" w:cs="Times New Roman"/>
        </w:rPr>
      </w:pPr>
      <w:hyperlink r:id="rId1">
        <w:r>
          <w:rPr>
            <w:rStyle w:val="Hyperlink"/>
            <w:rFonts w:ascii="Times New Roman" w:hAnsi="Times New Roman"/>
          </w:rPr>
          <w:t>https://ec.europa.eu/transport/sites/transport/files/themes/passengers/road/doc/exemptions-from-bus-coach-passengers-rights-and-obligations.pdf</w:t>
        </w:r>
      </w:hyperlink>
    </w:p>
  </w:footnote>
  <w:footnote w:id="5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Ir-Repubblika Ċeka tat biss eżenzjonijiet mill-Artikoli 8, 19 u 21 tar-Regolament.</w:t>
      </w:r>
    </w:p>
  </w:footnote>
  <w:footnote w:id="6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L-eżenzjoni mogħtija mill-Ungerija ma tkoprix l-Artikoli 7 u 16(1) tar-Regolament.</w:t>
      </w:r>
    </w:p>
  </w:footnote>
  <w:footnote w:id="7">
    <w:p>
      <w:pPr>
        <w:pStyle w:val="FootnoteText"/>
        <w:rPr>
          <w:rFonts w:ascii="Times New Roman" w:hAnsi="Times New Roman" w:cs="Times New Roman"/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Fl-20 ta’ Diċembru 2018, meta l-manuskritt tar-rapport ġie ffinalizzat, l-istess Stati Membri applikaw l-eżenzjoni.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Fl-20 ta’ Diċembru 2018, meta l-manuskritt tar-rapport ġie ffinalizzat, l-istess Stati Membri applikaw l-eżenzjoni.</w:t>
      </w:r>
    </w:p>
  </w:footnote>
  <w:footnote w:id="9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COM(2016) 619 final</w:t>
      </w:r>
    </w:p>
  </w:footnote>
  <w:footnote w:id="10">
    <w:p>
      <w:pPr>
        <w:pStyle w:val="FootnoteText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Il-Forum Ewropew dwar id-Diżabbiltà (EDF) u l-Federazzjoni Ewropea tal-Passiġġieri (EPF)</w:t>
      </w:r>
    </w:p>
  </w:footnote>
  <w:footnote w:id="11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2">
        <w:r>
          <w:rPr>
            <w:rStyle w:val="Hyperlink"/>
            <w:rFonts w:ascii="Times New Roman" w:hAnsi="Times New Roman"/>
          </w:rPr>
          <w:t>http://ec.europa.eu/transparency/regexpert/index.cfm?do=groupDetail.groupMeeting&amp;meetingId=2166&amp;Lang=MT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6861556F-251F-44E8-AD34-52AA93031CA5"/>
    <w:docVar w:name="LW_COVERPAGE_TYPE" w:val="1"/>
    <w:docVar w:name="LW_CROSSREFERENCE" w:val="&lt;UNUSED&gt;"/>
    <w:docVar w:name="LW_DocType" w:val="NORMAL"/>
    <w:docVar w:name="LW_EMISSION" w:val="12.4.2019"/>
    <w:docVar w:name="LW_EMISSION_ISODATE" w:val="2019-04-12"/>
    <w:docVar w:name="LW_EMISSION_LOCATION" w:val="BRX"/>
    <w:docVar w:name="LW_EMISSION_PREFIX" w:val="Brussell, "/>
    <w:docVar w:name="LW_EMISSION_SUFFIX" w:val="&lt;EMPTY&gt;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17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FMT:Bold&gt;E\u380?enzjonijiet mog\u295?tija mill-Istati Membri skont ir-Regolament (UE) Nru 181/2011 dwar id-drittijiet tal-passi\u289?\u289?ieri fit-trasport bix-xarabank u bil-kow\u267? u li jemenda r-Regolament (KE) Nru 2006/2004&lt;/FMT&gt;_x000d__x000d__x000d__x000b_"/>
    <w:docVar w:name="LW_TYPE.DOC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 w:firstLine="72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 w:firstLine="720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 w:firstLine="720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 w:firstLine="72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 w:firstLine="720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 w:firstLine="720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9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09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3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77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1722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2291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76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21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69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99578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99835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455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81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20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126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77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67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55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2161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2841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3507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6363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3863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11600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09596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70362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30493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2249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19230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8088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07314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50487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20472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072153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33601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1720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82899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83735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76074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transparency/regexpert/index.cfm?do=groupDetail.groupMeeting&amp;meetingId=2166&amp;Lang=MT" TargetMode="External"/><Relationship Id="rId1" Type="http://schemas.openxmlformats.org/officeDocument/2006/relationships/hyperlink" Target="https://ec.europa.eu/transport/sites/transport/files/themes/passengers/road/doc/exemptions-from-bus-coach-passengers-rights-and-oblig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D4E7-E9D8-4296-A754-FF02C2EA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1161</Words>
  <Characters>8605</Characters>
  <Application>Microsoft Office Word</Application>
  <DocSecurity>0</DocSecurity>
  <Lines>141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2019-02-15T15:29:00Z</dcterms:created>
  <dcterms:modified xsi:type="dcterms:W3CDTF">2019-04-12T07:46:00Z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rea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DocStatus">
    <vt:lpwstr>Green</vt:lpwstr>
  </property>
</Properties>
</file>