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8FF334A-FFEF-42C1-A863-7D049EBAE00E"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t>1.</w:t>
      </w:r>
      <w:r>
        <w:tab/>
      </w:r>
      <w:r>
        <w:rPr>
          <w:noProof/>
        </w:rPr>
        <w:t>Predmet urejanja predloga</w:t>
      </w:r>
    </w:p>
    <w:p>
      <w:pPr>
        <w:spacing w:before="0" w:after="200" w:line="276" w:lineRule="auto"/>
        <w:rPr>
          <w:noProof/>
          <w:szCs w:val="24"/>
        </w:rPr>
      </w:pPr>
      <w:r>
        <w:rPr>
          <w:noProof/>
        </w:rPr>
        <w:t xml:space="preserve">Ta predlog se nanaša na sklep o stališču, ki se v imenu Unije zastopa v Delovni skupini za geografske označbe, ustanovljeni s Sporazumom o prosti trgovini med Evropsko unijo in njenimi državami članicami na eni strani ter Republiko Korejo na drugi strani, v zvezi s predvidenim sprejetjem njenega poslovnika (v nadaljnjem besedilu: poslovnik). </w:t>
      </w:r>
    </w:p>
    <w:p>
      <w:pPr>
        <w:pStyle w:val="ManualHeading1"/>
        <w:rPr>
          <w:bCs/>
          <w:noProof/>
          <w:szCs w:val="24"/>
        </w:rPr>
      </w:pPr>
      <w:r>
        <w:t>2.</w:t>
      </w:r>
      <w:r>
        <w:tab/>
      </w:r>
      <w:r>
        <w:rPr>
          <w:noProof/>
        </w:rPr>
        <w:t>Ozadje predloga</w:t>
      </w:r>
    </w:p>
    <w:p>
      <w:pPr>
        <w:pStyle w:val="ManualHeading2"/>
        <w:rPr>
          <w:noProof/>
        </w:rPr>
      </w:pPr>
      <w:r>
        <w:t>2.1.</w:t>
      </w:r>
      <w:r>
        <w:tab/>
      </w:r>
      <w:r>
        <w:rPr>
          <w:noProof/>
        </w:rPr>
        <w:t xml:space="preserve">Sporazum o prosti trgovini med EU in Republiko Korejo </w:t>
      </w:r>
    </w:p>
    <w:p>
      <w:pPr>
        <w:tabs>
          <w:tab w:val="num" w:pos="850"/>
        </w:tabs>
        <w:spacing w:before="0" w:after="200" w:line="276" w:lineRule="auto"/>
        <w:rPr>
          <w:noProof/>
          <w:szCs w:val="24"/>
        </w:rPr>
      </w:pPr>
      <w:r>
        <w:rPr>
          <w:noProof/>
        </w:rPr>
        <w:t xml:space="preserve">Sporazum o prosti trgovini med Evropsko unijo in vsemi njenimi državami članicami na eni strani ter Republiko Korejo na drugi strani (v nadaljnjem besedilu: Sporazum) je prvi trgovinski sporazum nove generacije Evropske unije in tudi prvi sporazum, sklenjen z azijsko državo. Njegov cilj je spodbuditi dvostransko trgovino in gospodarsko rast tako v EU kot v Koreji. </w:t>
      </w:r>
    </w:p>
    <w:p>
      <w:pPr>
        <w:tabs>
          <w:tab w:val="num" w:pos="850"/>
        </w:tabs>
        <w:spacing w:before="0" w:after="200" w:line="276" w:lineRule="auto"/>
        <w:rPr>
          <w:noProof/>
          <w:szCs w:val="24"/>
        </w:rPr>
      </w:pPr>
      <w:r>
        <w:rPr>
          <w:noProof/>
        </w:rPr>
        <w:t>Sporazum je bil podpisan 6. oktobra 2010 in se začasno uporablja od 1. julija 2011</w:t>
      </w:r>
      <w:r>
        <w:rPr>
          <w:rStyle w:val="FootnoteReference"/>
          <w:noProof/>
        </w:rPr>
        <w:footnoteReference w:id="1"/>
      </w:r>
      <w:r>
        <w:rPr>
          <w:noProof/>
        </w:rPr>
        <w:t xml:space="preserve">. </w:t>
      </w:r>
    </w:p>
    <w:p>
      <w:pPr>
        <w:pStyle w:val="ManualHeading2"/>
        <w:rPr>
          <w:noProof/>
          <w:szCs w:val="24"/>
        </w:rPr>
      </w:pPr>
      <w:r>
        <w:t>2.2.</w:t>
      </w:r>
      <w:r>
        <w:tab/>
      </w:r>
      <w:r>
        <w:rPr>
          <w:noProof/>
        </w:rPr>
        <w:t xml:space="preserve">Delovna skupina za geografske označbe </w:t>
      </w:r>
    </w:p>
    <w:p>
      <w:pPr>
        <w:tabs>
          <w:tab w:val="num" w:pos="850"/>
        </w:tabs>
        <w:spacing w:before="0" w:after="200" w:line="276" w:lineRule="auto"/>
        <w:rPr>
          <w:noProof/>
          <w:szCs w:val="24"/>
        </w:rPr>
      </w:pPr>
      <w:r>
        <w:rPr>
          <w:noProof/>
        </w:rPr>
        <w:t xml:space="preserve">Člen 15.3 Sporazuma ustanavlja delovne skupine pod okriljem Odbora za trgovino, med drugim Delovno skupino za geografske označbe (člen 15.3.1(g)). V členih 10.18–10.26. Sporazuma so določena pravila za geografske označbe. Dejavnosti in delovanje Delovne skupine za geografske označbe ureja člen 10.25 Sporazuma. </w:t>
      </w:r>
    </w:p>
    <w:p>
      <w:pPr>
        <w:tabs>
          <w:tab w:val="num" w:pos="850"/>
        </w:tabs>
        <w:spacing w:before="0" w:after="200" w:line="276" w:lineRule="auto"/>
        <w:rPr>
          <w:noProof/>
          <w:szCs w:val="24"/>
        </w:rPr>
      </w:pPr>
      <w:r>
        <w:rPr>
          <w:noProof/>
        </w:rPr>
        <w:t>Za namene člena 10.25 Sporazuma spremembe Sporazuma na podlagi sklepov Delovne skupine za geografske označbe v imenu Evropske unije odobri Komisija</w:t>
      </w:r>
      <w:r>
        <w:rPr>
          <w:rStyle w:val="FootnoteReference"/>
          <w:noProof/>
        </w:rPr>
        <w:footnoteReference w:id="2"/>
      </w:r>
      <w:r>
        <w:rPr>
          <w:noProof/>
        </w:rPr>
        <w:t xml:space="preserve">. </w:t>
      </w:r>
    </w:p>
    <w:p>
      <w:pPr>
        <w:tabs>
          <w:tab w:val="num" w:pos="850"/>
        </w:tabs>
        <w:spacing w:before="0" w:after="200" w:line="276" w:lineRule="auto"/>
        <w:rPr>
          <w:noProof/>
          <w:szCs w:val="24"/>
        </w:rPr>
      </w:pPr>
      <w:r>
        <w:rPr>
          <w:noProof/>
        </w:rPr>
        <w:t xml:space="preserve">Delovna skupina za geografske označbe je forum in organ odločanja, ki se lahko odloči za spremembo prilog 10-A in 10-B k Sporazumu. V skladu s členom 10.25(1) lahko pripravlja priporočila in sprejema sklepe s soglasjem. </w:t>
      </w:r>
    </w:p>
    <w:p>
      <w:pPr>
        <w:pStyle w:val="ManualHeading2"/>
        <w:rPr>
          <w:noProof/>
          <w:szCs w:val="24"/>
        </w:rPr>
      </w:pPr>
      <w:r>
        <w:t>2.3.</w:t>
      </w:r>
      <w:r>
        <w:tab/>
      </w:r>
      <w:r>
        <w:rPr>
          <w:noProof/>
        </w:rPr>
        <w:t>Predvideni akt Delovne skupine za geografske označbe</w:t>
      </w:r>
    </w:p>
    <w:p>
      <w:pPr>
        <w:tabs>
          <w:tab w:val="num" w:pos="850"/>
        </w:tabs>
        <w:spacing w:before="0" w:after="200" w:line="276" w:lineRule="auto"/>
        <w:rPr>
          <w:bCs/>
          <w:noProof/>
          <w:szCs w:val="24"/>
        </w:rPr>
      </w:pPr>
      <w:r>
        <w:rPr>
          <w:noProof/>
        </w:rPr>
        <w:t>V skladu s Sklepom št. 1 Odbora za trgovino EU-Koreja z dne 23. decembra 2011 o sprejetju poslovnika Odbora za trgovino</w:t>
      </w:r>
      <w:r>
        <w:rPr>
          <w:rStyle w:val="FootnoteReference"/>
          <w:noProof/>
        </w:rPr>
        <w:footnoteReference w:id="3"/>
      </w:r>
      <w:r>
        <w:rPr>
          <w:noProof/>
        </w:rPr>
        <w:t xml:space="preserve"> in zlasti člena 15(4) Priloge vsak specializirani odbor in delovna skupina lahko sprejme svoj poslovnik, ki se sporoči Odboru za trgovino.</w:t>
      </w:r>
    </w:p>
    <w:p>
      <w:pPr>
        <w:tabs>
          <w:tab w:val="num" w:pos="850"/>
        </w:tabs>
        <w:spacing w:before="0" w:after="200" w:line="276" w:lineRule="auto"/>
        <w:rPr>
          <w:bCs/>
          <w:noProof/>
          <w:szCs w:val="24"/>
        </w:rPr>
      </w:pPr>
      <w:r>
        <w:rPr>
          <w:noProof/>
        </w:rPr>
        <w:t>Delovna skupina za geografske označbe se je 30. maja 2018 na svojem 6. srečanju dogovorila o sprejetju sklepa o svojem poslovniku (v nadaljnjem besedilu: predvideni akt).</w:t>
      </w:r>
    </w:p>
    <w:p>
      <w:pPr>
        <w:tabs>
          <w:tab w:val="num" w:pos="850"/>
        </w:tabs>
        <w:spacing w:before="0" w:after="200" w:line="276" w:lineRule="auto"/>
        <w:rPr>
          <w:bCs/>
          <w:noProof/>
          <w:szCs w:val="24"/>
        </w:rPr>
      </w:pPr>
      <w:r>
        <w:rPr>
          <w:noProof/>
        </w:rPr>
        <w:t>Namen predvidenega akta je urediti delovanje Delovne skupine za geografske označbe ter podrobno določiti zlasti njene pristojnosti in postopek odločanja.</w:t>
      </w:r>
    </w:p>
    <w:p>
      <w:pPr>
        <w:pStyle w:val="ManualHeading1"/>
        <w:rPr>
          <w:bCs/>
          <w:noProof/>
          <w:szCs w:val="24"/>
        </w:rPr>
      </w:pPr>
      <w:r>
        <w:t>3.</w:t>
      </w:r>
      <w:r>
        <w:tab/>
      </w:r>
      <w:r>
        <w:rPr>
          <w:noProof/>
        </w:rPr>
        <w:t>Stališče, ki naj se zastopa v imenu Unije</w:t>
      </w:r>
    </w:p>
    <w:p>
      <w:pPr>
        <w:spacing w:before="0" w:after="200" w:line="276" w:lineRule="auto"/>
        <w:rPr>
          <w:noProof/>
          <w:szCs w:val="24"/>
        </w:rPr>
      </w:pPr>
      <w:r>
        <w:rPr>
          <w:noProof/>
        </w:rPr>
        <w:t xml:space="preserve">V skladu s pogodbami ima Unija izključno pristojnost za skupno trgovinsko politiko, kar vključuje neodvisno trgovinsko politiko Unije in sklepanje mednarodnih trgovinskih sporazumov. Ker je predvideni akt pogoj za zadovoljivo delovanje Delovne skupine za geografske označbe in zato prispeva k učinkovitemu izvajanju Sporazuma o prosti trgovini med EU in Republiko Korejo, njegovo sprejetje ustreza ciljem trgovinske politike Unije. </w:t>
      </w:r>
    </w:p>
    <w:p>
      <w:pPr>
        <w:pStyle w:val="ManualHeading1"/>
        <w:rPr>
          <w:bCs/>
          <w:noProof/>
        </w:rPr>
      </w:pPr>
      <w:r>
        <w:t>4.</w:t>
      </w:r>
      <w:r>
        <w:tab/>
      </w:r>
      <w:r>
        <w:rPr>
          <w:noProof/>
        </w:rPr>
        <w:t>Pravna podlaga</w:t>
      </w:r>
    </w:p>
    <w:p>
      <w:pPr>
        <w:pStyle w:val="ManualHeading2"/>
        <w:rPr>
          <w:bCs/>
          <w:noProof/>
        </w:rPr>
      </w:pPr>
      <w:r>
        <w:t>4.1.</w:t>
      </w:r>
      <w:r>
        <w:tab/>
      </w:r>
      <w:r>
        <w:rPr>
          <w:noProof/>
        </w:rPr>
        <w:t>Postopkovna pravna podlaga</w:t>
      </w:r>
    </w:p>
    <w:p>
      <w:pPr>
        <w:pStyle w:val="ManualHeading3"/>
        <w:rPr>
          <w:noProof/>
        </w:rPr>
      </w:pPr>
      <w:r>
        <w:t>4.1.1.</w:t>
      </w:r>
      <w:r>
        <w:tab/>
      </w:r>
      <w:r>
        <w:rPr>
          <w:noProof/>
        </w:rPr>
        <w:t>Načela</w:t>
      </w:r>
    </w:p>
    <w:p>
      <w:pPr>
        <w:rPr>
          <w:noProof/>
        </w:rPr>
      </w:pPr>
      <w:r>
        <w:rPr>
          <w:noProof/>
        </w:rPr>
        <w:t>V členu 218(9) Pogodbe o delovanju Evropske unije (PDEU) so predvideni sklepi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Pojem „akti s pravnim učinkom“ vključuje akte, ki imajo pravni učinek po pravilih mednarodnega prava, ki urejajo zadevni organ. Vključuje tudi instrumente, ki nimajo zavezujočega učinka po mednarodnem pravu, vendar lahko „odločilno vpliva[jo] na vsebino ureditve, ki jo [sprejme] zakonodajalec Unije“</w:t>
      </w:r>
      <w:r>
        <w:rPr>
          <w:rStyle w:val="FootnoteReference"/>
          <w:noProof/>
        </w:rPr>
        <w:footnoteReference w:id="4"/>
      </w:r>
      <w:r>
        <w:rPr>
          <w:noProof/>
        </w:rPr>
        <w:t>.</w:t>
      </w:r>
    </w:p>
    <w:p>
      <w:pPr>
        <w:pStyle w:val="ManualHeading3"/>
        <w:rPr>
          <w:bCs/>
          <w:noProof/>
        </w:rPr>
      </w:pPr>
      <w:r>
        <w:t>4.1.2.</w:t>
      </w:r>
      <w:r>
        <w:tab/>
      </w:r>
      <w:r>
        <w:rPr>
          <w:noProof/>
        </w:rPr>
        <w:t>Uporaba v obravnavanem primeru</w:t>
      </w:r>
    </w:p>
    <w:p>
      <w:pPr>
        <w:rPr>
          <w:noProof/>
        </w:rPr>
      </w:pPr>
      <w:r>
        <w:rPr>
          <w:noProof/>
        </w:rPr>
        <w:t>Delovna skupina za geografske označbe je organ, ustanovljen s sporazumom, tj. Sporazumom o prosti trgovini med EU in Republiko Korejo.</w:t>
      </w:r>
    </w:p>
    <w:p>
      <w:pPr>
        <w:rPr>
          <w:noProof/>
          <w:color w:val="008000"/>
        </w:rPr>
      </w:pPr>
      <w:r>
        <w:rPr>
          <w:noProof/>
        </w:rPr>
        <w:t>Akt, k sprejetju katerega se poziva Delovna skupina za geografske označbe, je akt s pravnim učinkom. Predvideni akt bo v skladu s členom 10.25 Sporazuma o prosti trgovini med EU in Republiko Korejo zavezujoč po mednarodnem pravu.</w:t>
      </w:r>
      <w:r>
        <w:rPr>
          <w:noProof/>
          <w:color w:val="0000FF"/>
        </w:rPr>
        <w:t xml:space="preserve"> </w:t>
      </w:r>
    </w:p>
    <w:p>
      <w:pPr>
        <w:rPr>
          <w:noProof/>
        </w:rPr>
      </w:pPr>
      <w:r>
        <w:rPr>
          <w:noProof/>
        </w:rPr>
        <w:t>Predvideni akt ne dopolnjuje ali spreminja institucionalnega okvira Sporazuma.</w:t>
      </w:r>
    </w:p>
    <w:p>
      <w:pPr>
        <w:rPr>
          <w:noProof/>
        </w:rPr>
      </w:pPr>
      <w:r>
        <w:rPr>
          <w:noProof/>
        </w:rPr>
        <w:t>Postopkovna pravna podlaga za predlagani sklep je zato člen 218(9) PDEU.</w:t>
      </w:r>
    </w:p>
    <w:p>
      <w:pPr>
        <w:pStyle w:val="ManualHeading2"/>
        <w:rPr>
          <w:bCs/>
          <w:noProof/>
        </w:rPr>
      </w:pPr>
      <w:r>
        <w:t>4.2.</w:t>
      </w:r>
      <w:r>
        <w:tab/>
      </w:r>
      <w:r>
        <w:rPr>
          <w:noProof/>
        </w:rPr>
        <w:t>Materialna pravna podlaga</w:t>
      </w:r>
    </w:p>
    <w:p>
      <w:pPr>
        <w:pStyle w:val="ManualHeading3"/>
        <w:rPr>
          <w:bCs/>
          <w:noProof/>
        </w:rPr>
      </w:pPr>
      <w:r>
        <w:t>4.2.1.</w:t>
      </w:r>
      <w:r>
        <w:tab/>
      </w:r>
      <w:r>
        <w:rPr>
          <w:noProof/>
        </w:rPr>
        <w:t>Načela</w:t>
      </w:r>
    </w:p>
    <w:p>
      <w:pPr>
        <w:rPr>
          <w:noProof/>
        </w:rPr>
      </w:pPr>
      <w:r>
        <w:rPr>
          <w:noProof/>
        </w:rPr>
        <w:t>Materialna pravna podlaga za sklep po členu 218(9) PDEU je odvisna predvsem od cilja in vsebine predvidenega akta, glede katerega se v imenu Unije zastopa stališče. Če ima predvideni akt dva cilja ali elementa in če je eden od teh ciljev ali elementov glavni, drugi pa postranski, mora sklep po členu 218(9) PDEU temeljiti na samo eni materialni pravni podlagi, in sicer na tisti, ki se zahteva za glavni ali prevladujoči cilj ali element.</w:t>
      </w:r>
    </w:p>
    <w:p>
      <w:pPr>
        <w:rPr>
          <w:noProof/>
        </w:rPr>
      </w:pPr>
    </w:p>
    <w:p>
      <w:pPr>
        <w:pStyle w:val="ManualHeading3"/>
        <w:rPr>
          <w:bCs/>
          <w:noProof/>
        </w:rPr>
      </w:pPr>
      <w:r>
        <w:t>4.2.2.</w:t>
      </w:r>
      <w:r>
        <w:tab/>
      </w:r>
      <w:r>
        <w:rPr>
          <w:noProof/>
        </w:rPr>
        <w:t>Uporaba v obravnavanem primeru</w:t>
      </w:r>
    </w:p>
    <w:p>
      <w:pPr>
        <w:rPr>
          <w:noProof/>
        </w:rPr>
      </w:pPr>
      <w:r>
        <w:rPr>
          <w:noProof/>
        </w:rPr>
        <w:t xml:space="preserve">Glavni cilj in vsebina predvidenega akta se nanašata na skupno trgovinsko politiko. </w:t>
      </w:r>
    </w:p>
    <w:p>
      <w:pPr>
        <w:rPr>
          <w:noProof/>
        </w:rPr>
      </w:pPr>
      <w:r>
        <w:rPr>
          <w:noProof/>
        </w:rPr>
        <w:t>Materialna pravna podlaga za predlagani sklep je zato naslednja določba: člen 207 PDEU.</w:t>
      </w:r>
    </w:p>
    <w:p>
      <w:pPr>
        <w:pStyle w:val="ManualHeading2"/>
        <w:rPr>
          <w:noProof/>
        </w:rPr>
      </w:pPr>
      <w:r>
        <w:t>4.3.</w:t>
      </w:r>
      <w:r>
        <w:tab/>
      </w:r>
      <w:r>
        <w:rPr>
          <w:noProof/>
        </w:rPr>
        <w:t>Sklepna ugotovitev</w:t>
      </w:r>
    </w:p>
    <w:p>
      <w:pPr>
        <w:rPr>
          <w:noProof/>
        </w:rPr>
      </w:pPr>
      <w:r>
        <w:rPr>
          <w:noProof/>
        </w:rPr>
        <w:t>Pravna podlaga za predlagani sklep bi moral biti člen 207 PDEU v povezavi s členom 218(9) PDEU.</w:t>
      </w:r>
    </w:p>
    <w:p>
      <w:pPr>
        <w:pStyle w:val="ManualHeading1"/>
        <w:rPr>
          <w:noProof/>
        </w:rPr>
      </w:pPr>
      <w:r>
        <w:t>5.</w:t>
      </w:r>
      <w:r>
        <w:tab/>
      </w:r>
      <w:r>
        <w:rPr>
          <w:noProof/>
        </w:rPr>
        <w:t>Objava predvidenega akta</w:t>
      </w:r>
    </w:p>
    <w:p>
      <w:pPr>
        <w:rPr>
          <w:noProof/>
          <w:szCs w:val="24"/>
        </w:rPr>
      </w:pPr>
      <w:r>
        <w:rPr>
          <w:noProof/>
        </w:rPr>
        <w:t>Ni relevantno.</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2019/0093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se v imenu Evropske unije zastopa v Delovni skupini za geografske označbe, ustanovljeni s Sporazumom o prosti trgovini med Evropsko unijo in njenimi državami članicami na eni strani ter Republiko Korejo na drugi strani, v zvezi s sprejetjem njenega poslovnika</w:t>
      </w:r>
    </w:p>
    <w:p>
      <w:pPr>
        <w:pStyle w:val="Institutionquiagit"/>
        <w:rPr>
          <w:b/>
          <w:noProof/>
        </w:rPr>
      </w:pPr>
      <w:r>
        <w:rPr>
          <w:b/>
          <w:noProof/>
        </w:rPr>
        <w:t>SVET EVROPSKE UNIJE JE –</w:t>
      </w:r>
    </w:p>
    <w:p>
      <w:pPr>
        <w:rPr>
          <w:noProof/>
        </w:rPr>
      </w:pPr>
      <w:r>
        <w:rPr>
          <w:noProof/>
        </w:rPr>
        <w:t>ob upoštevanju Pogodbe o delovanju Evropske unije in zlasti prvega odstavka člena 207(4) Pogodbe v povezavi s členom 218(9) Pogodbe,</w:t>
      </w:r>
    </w:p>
    <w:p>
      <w:pPr>
        <w:rPr>
          <w:noProof/>
        </w:rPr>
      </w:pPr>
      <w:r>
        <w:rPr>
          <w:noProof/>
        </w:rPr>
        <w:t>ob upoštevanju predloga Evropske komisije,</w:t>
      </w:r>
    </w:p>
    <w:p>
      <w:pPr>
        <w:rPr>
          <w:noProof/>
        </w:rPr>
      </w:pPr>
      <w:r>
        <w:rPr>
          <w:noProof/>
        </w:rPr>
        <w:t xml:space="preserve">ob upoštevanju naslednjega: </w:t>
      </w:r>
    </w:p>
    <w:p>
      <w:pPr>
        <w:pStyle w:val="ManualConsidrant"/>
        <w:rPr>
          <w:i/>
          <w:noProof/>
        </w:rPr>
      </w:pPr>
      <w:r>
        <w:t>(1)</w:t>
      </w:r>
      <w:r>
        <w:tab/>
      </w:r>
      <w:r>
        <w:rPr>
          <w:noProof/>
        </w:rPr>
        <w:t>Sporazum o prosti trgovini med Evropsko unijo in njenimi državami članicami na eni strani ter Republiko Korejo na drugi strani</w:t>
      </w:r>
      <w:r>
        <w:rPr>
          <w:rStyle w:val="FootnoteReference"/>
          <w:noProof/>
        </w:rPr>
        <w:footnoteReference w:id="5"/>
      </w:r>
      <w:r>
        <w:rPr>
          <w:noProof/>
        </w:rPr>
        <w:t xml:space="preserve"> (v nadaljnjem besedilu: Sporazum) je Unija sklenila s Sklepom Sveta (EU) 2015/2169</w:t>
      </w:r>
      <w:r>
        <w:rPr>
          <w:rStyle w:val="FootnoteReference"/>
          <w:noProof/>
        </w:rPr>
        <w:footnoteReference w:id="6"/>
      </w:r>
      <w:r>
        <w:rPr>
          <w:noProof/>
        </w:rPr>
        <w:t>, veljati pa je začel 13. decembra 2015.</w:t>
      </w:r>
    </w:p>
    <w:p>
      <w:pPr>
        <w:pStyle w:val="ManualConsidrant"/>
        <w:rPr>
          <w:noProof/>
        </w:rPr>
      </w:pPr>
      <w:r>
        <w:t>(2)</w:t>
      </w:r>
      <w:r>
        <w:tab/>
      </w:r>
      <w:r>
        <w:rPr>
          <w:noProof/>
        </w:rPr>
        <w:t>Člen 15.3.1 Sporazuma ustanavlja Delovno skupino za geografske označbe pod okriljem Odbora za trgovino, ustanovljenega s členom 15.1.1 Sporazuma.</w:t>
      </w:r>
    </w:p>
    <w:p>
      <w:pPr>
        <w:pStyle w:val="ManualConsidrant"/>
        <w:rPr>
          <w:noProof/>
        </w:rPr>
      </w:pPr>
      <w:r>
        <w:t>(3)</w:t>
      </w:r>
      <w:r>
        <w:tab/>
      </w:r>
      <w:r>
        <w:rPr>
          <w:noProof/>
        </w:rPr>
        <w:t>V skladu s členom 15(4) poslovnika Odbora za trgovino EU-Koreja, sprejetega s Sklepom št. 1 Odbora za trgovino EU-Koreja z dne 23. decembra 2011</w:t>
      </w:r>
      <w:r>
        <w:rPr>
          <w:rStyle w:val="FootnoteReference"/>
          <w:noProof/>
        </w:rPr>
        <w:footnoteReference w:id="7"/>
      </w:r>
      <w:r>
        <w:rPr>
          <w:noProof/>
        </w:rPr>
        <w:t>, lahko vsaka delovna skupina sprejme svoj poslovnik, ki se sporoči Odboru za trgovino.</w:t>
      </w:r>
    </w:p>
    <w:p>
      <w:pPr>
        <w:pStyle w:val="ManualConsidrant"/>
        <w:rPr>
          <w:noProof/>
        </w:rPr>
      </w:pPr>
      <w:r>
        <w:t>(4)</w:t>
      </w:r>
      <w:r>
        <w:tab/>
      </w:r>
      <w:r>
        <w:rPr>
          <w:noProof/>
        </w:rPr>
        <w:t>Določiti bi bilo treba poslovnik Delovne skupine za geografske označbe.</w:t>
      </w:r>
    </w:p>
    <w:p>
      <w:pPr>
        <w:pStyle w:val="ManualConsidrant"/>
        <w:rPr>
          <w:noProof/>
        </w:rPr>
      </w:pPr>
      <w:r>
        <w:t>(5)</w:t>
      </w:r>
      <w:r>
        <w:tab/>
      </w:r>
      <w:r>
        <w:rPr>
          <w:noProof/>
        </w:rPr>
        <w:t xml:space="preserve">Primerno je, da se določi stališče, ki se v imenu Unije zastopa v Delovni skupini za geografske označbe glede njenega poslovnika, saj bo ta poslovnik za Unijo zavezujoč – </w:t>
      </w:r>
    </w:p>
    <w:p>
      <w:pPr>
        <w:rPr>
          <w:noProof/>
        </w:rPr>
      </w:pPr>
    </w:p>
    <w:p>
      <w:pPr>
        <w:pStyle w:val="Formuledadoption"/>
        <w:rPr>
          <w:noProof/>
        </w:rPr>
      </w:pPr>
      <w:r>
        <w:rPr>
          <w:noProof/>
        </w:rPr>
        <w:t>SPREJEL NASLEDNJI SKLEP:</w:t>
      </w:r>
    </w:p>
    <w:p>
      <w:pPr>
        <w:pStyle w:val="Titrearticle"/>
        <w:rPr>
          <w:noProof/>
        </w:rPr>
      </w:pPr>
      <w:r>
        <w:rPr>
          <w:noProof/>
        </w:rPr>
        <w:t>Člen 1</w:t>
      </w:r>
    </w:p>
    <w:p>
      <w:pPr>
        <w:rPr>
          <w:noProof/>
        </w:rPr>
      </w:pPr>
      <w:r>
        <w:rPr>
          <w:noProof/>
        </w:rPr>
        <w:t>Stališče, ki se v imenu Unije zastopa v Delovni skupini za geografske označbe glede sprejetja njenega poslovnika, temelji na osnutku sklepa navedene delovne skupine, ki je priložen temu sklepu.</w:t>
      </w:r>
    </w:p>
    <w:p>
      <w:pPr>
        <w:rPr>
          <w:noProof/>
        </w:rPr>
      </w:pPr>
    </w:p>
    <w:p>
      <w:pPr>
        <w:rPr>
          <w:noProof/>
        </w:rPr>
      </w:pPr>
    </w:p>
    <w:p>
      <w:pPr>
        <w:pStyle w:val="Titrearticle"/>
        <w:rPr>
          <w:noProof/>
        </w:rPr>
      </w:pPr>
      <w:r>
        <w:rPr>
          <w:noProof/>
        </w:rPr>
        <w:t>Člen 2</w:t>
      </w:r>
    </w:p>
    <w:p>
      <w:pPr>
        <w:rPr>
          <w:noProof/>
        </w:rPr>
      </w:pPr>
      <w:r>
        <w:rPr>
          <w:noProof/>
        </w:rPr>
        <w:t>Ta sklep je naslovljen na Komisijo.</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Sporazum o prosti trgovini med Evropsko unijo in njenimi državami članicami na eni strani ter Republiko Korejo na drugi strani (UL L 127, 14.5.2011, str. 1).</w:t>
      </w:r>
    </w:p>
  </w:footnote>
  <w:footnote w:id="2">
    <w:p>
      <w:pPr>
        <w:pStyle w:val="FootnoteText"/>
      </w:pPr>
      <w:r>
        <w:rPr>
          <w:rStyle w:val="FootnoteReference"/>
        </w:rPr>
        <w:footnoteRef/>
      </w:r>
      <w:r>
        <w:tab/>
        <w:t>2011/265/EU: Sklep Sveta z dne 16. septembra 2010 o podpisu Sporazuma o prosti trgovini med Evropsko unijo in njenimi državami članicami na eni strani ter Republiko Korejo na drugi strani v imenu Evropske unije in o njegovi začasni uporabi (UL L 127, 14.5.2011, str. 1).</w:t>
      </w:r>
    </w:p>
  </w:footnote>
  <w:footnote w:id="3">
    <w:p>
      <w:pPr>
        <w:pStyle w:val="FootnoteText"/>
      </w:pPr>
      <w:r>
        <w:rPr>
          <w:rStyle w:val="FootnoteReference"/>
        </w:rPr>
        <w:footnoteRef/>
      </w:r>
      <w:r>
        <w:tab/>
        <w:t>UL L 58, 1.3.2013, str. 9.</w:t>
      </w:r>
    </w:p>
  </w:footnote>
  <w:footnote w:id="4">
    <w:p>
      <w:pPr>
        <w:pStyle w:val="FootnoteText"/>
      </w:pPr>
      <w:r>
        <w:rPr>
          <w:rStyle w:val="FootnoteReference"/>
        </w:rPr>
        <w:footnoteRef/>
      </w:r>
      <w:r>
        <w:tab/>
        <w:t xml:space="preserve">Sodba Sodišča z dne 7. oktobra 2014, Nemčija proti Svetu, C-399/12, ECLI:EU:C:2014:2258, točke 61–64. </w:t>
      </w:r>
    </w:p>
  </w:footnote>
  <w:footnote w:id="5">
    <w:p>
      <w:pPr>
        <w:pStyle w:val="FootnoteText"/>
      </w:pPr>
      <w:r>
        <w:rPr>
          <w:rStyle w:val="FootnoteReference"/>
        </w:rPr>
        <w:footnoteRef/>
      </w:r>
      <w:r>
        <w:tab/>
        <w:t>UL L 127, 14.5.2011, str. 6.</w:t>
      </w:r>
    </w:p>
  </w:footnote>
  <w:footnote w:id="6">
    <w:p>
      <w:pPr>
        <w:pStyle w:val="FootnoteText"/>
      </w:pPr>
      <w:r>
        <w:rPr>
          <w:rStyle w:val="FootnoteReference"/>
        </w:rPr>
        <w:footnoteRef/>
      </w:r>
      <w:r>
        <w:tab/>
        <w:t>Sklep Sveta (EU) 2015/2169 z dne 1. oktobra 2015 o sklenitvi Sporazuma o prosti trgovini med Evropsko unijo in njenimi državami članicami na eni strani ter Republiko Korejo na drugi strani (UL L 307, 25.11.2015, str. 2).</w:t>
      </w:r>
    </w:p>
  </w:footnote>
  <w:footnote w:id="7">
    <w:p>
      <w:pPr>
        <w:pStyle w:val="FootnoteText"/>
      </w:pPr>
      <w:r>
        <w:rPr>
          <w:rStyle w:val="FootnoteReference"/>
        </w:rPr>
        <w:footnoteRef/>
      </w:r>
      <w:r>
        <w:tab/>
        <w:t xml:space="preserve">Sklep št. 1 Odbora za trgovino EU-Koreja z dne 23. decembra 2011 o sprejetju poslovnika Odbora za trgovino (UL L 58, 1.3.2013, str. 9).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C027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8F6351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EAA4D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8266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FDA83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CC10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E548D6E"/>
    <w:lvl w:ilvl="0">
      <w:start w:val="1"/>
      <w:numFmt w:val="decimal"/>
      <w:pStyle w:val="ListNumber"/>
      <w:lvlText w:val="%1."/>
      <w:lvlJc w:val="left"/>
      <w:pPr>
        <w:tabs>
          <w:tab w:val="num" w:pos="360"/>
        </w:tabs>
        <w:ind w:left="360" w:hanging="360"/>
      </w:pPr>
    </w:lvl>
  </w:abstractNum>
  <w:abstractNum w:abstractNumId="7">
    <w:nsid w:val="FFFFFF89"/>
    <w:multiLevelType w:val="singleLevel"/>
    <w:tmpl w:val="B2A023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22 10:36: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98FF334A-FFEF-42C1-A863-7D049EBAE00E"/>
    <w:docVar w:name="LW_COVERPAGE_TYPE" w:val="1"/>
    <w:docVar w:name="LW_CROSSREFERENCE" w:val="&lt;UNUSED&gt;"/>
    <w:docVar w:name="LW_DocType" w:val="COM"/>
    <w:docVar w:name="LW_EMISSION" w:val="12.4.2019"/>
    <w:docVar w:name="LW_EMISSION_ISODATE" w:val="2019-04-12"/>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93"/>
    <w:docVar w:name="LW_REF.II.NEW.CP_YEAR" w:val="2019"/>
    <w:docVar w:name="LW_REF.INST.NEW" w:val="COM"/>
    <w:docVar w:name="LW_REF.INST.NEW_ADOPTED" w:val="final"/>
    <w:docVar w:name="LW_REF.INST.NEW_TEXT" w:val="(2019)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Delovni skupini za geografske ozna\u269?be, ustanovljeni s Sporazumom o prosti trgovini med Evropsko unijo in njenimi dr\u382?avami \u269?lanicami na eni strani ter Republiko Korejo na drugi strani, v zvezi s sprejetjem njenega poslovnika"/>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3"/>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sl-SI"/>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A03F75-FCE7-4D43-AE63-EDF709D0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996</Words>
  <Characters>5613</Characters>
  <Application>Microsoft Office Word</Application>
  <DocSecurity>0</DocSecurity>
  <Lines>116</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2019-01-17T13:36:00Z</cp:lastPrinted>
  <dcterms:created xsi:type="dcterms:W3CDTF">2019-03-22T09:36:00Z</dcterms:created>
  <dcterms:modified xsi:type="dcterms:W3CDTF">2019-04-03T12:19:00Z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Yellow (DQC version 03)</vt:lpwstr>
  </property>
</Properties>
</file>