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3CC01907-D0AF-497C-8DED-CDB7729A1533" style="width:450.75pt;height:451.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ANEXĂ</w:t>
      </w:r>
    </w:p>
    <w:p>
      <w:pPr>
        <w:rPr>
          <w:b/>
          <w:noProof/>
        </w:rPr>
      </w:pPr>
      <w:r>
        <w:rPr>
          <w:b/>
          <w:noProof/>
        </w:rPr>
        <w:t xml:space="preserve">DECIZIA NR. 1 A GRUPULUI DE LUCRU UE-COREEA PRIVIND INDICAȚIILE GEOGRAFICE </w:t>
      </w:r>
    </w:p>
    <w:p>
      <w:pPr>
        <w:jc w:val="center"/>
        <w:rPr>
          <w:b/>
          <w:noProof/>
        </w:rPr>
      </w:pPr>
      <w:r>
        <w:rPr>
          <w:b/>
          <w:noProof/>
        </w:rPr>
        <w:t>din 30 mai 2018</w:t>
      </w:r>
    </w:p>
    <w:p>
      <w:pPr>
        <w:jc w:val="center"/>
        <w:rPr>
          <w:b/>
          <w:noProof/>
        </w:rPr>
      </w:pPr>
      <w:r>
        <w:rPr>
          <w:b/>
          <w:noProof/>
        </w:rPr>
        <w:t>de adoptare a regulamentului său de procedură</w:t>
      </w:r>
    </w:p>
    <w:p>
      <w:pPr>
        <w:rPr>
          <w:b/>
          <w:noProof/>
        </w:rPr>
      </w:pPr>
      <w:r>
        <w:rPr>
          <w:b/>
          <w:noProof/>
        </w:rPr>
        <w:t>GRUPUL DE LUCRU UE-COREEA PRIVIND INDICAȚIILE GEOGRAFICE,</w:t>
      </w:r>
    </w:p>
    <w:p>
      <w:pPr>
        <w:rPr>
          <w:noProof/>
        </w:rPr>
      </w:pPr>
      <w:r>
        <w:rPr>
          <w:noProof/>
        </w:rPr>
        <w:t>având în vedere Acordul de liber schimb dintre Uniunea Europeană și statele membre ale acesteia, pe de o parte, și Republica Coreea, pe de altă parte</w:t>
      </w:r>
      <w:r>
        <w:rPr>
          <w:rStyle w:val="FootnoteReference"/>
          <w:noProof/>
        </w:rPr>
        <w:footnoteReference w:id="1"/>
      </w:r>
      <w:r>
        <w:rPr>
          <w:noProof/>
        </w:rPr>
        <w:t xml:space="preserve"> (denumit în continuare „acordul”),</w:t>
      </w:r>
    </w:p>
    <w:p>
      <w:pPr>
        <w:rPr>
          <w:noProof/>
        </w:rPr>
      </w:pPr>
      <w:r>
        <w:rPr>
          <w:noProof/>
        </w:rPr>
        <w:t>având în vedere Decizia nr. 1 a Comitetului pentru comerț UE-Coreea din 23 decembrie 2011 privind adoptarea regulamentului de procedură al Comitetului pentru comerț</w:t>
      </w:r>
      <w:r>
        <w:rPr>
          <w:rStyle w:val="FootnoteReference"/>
          <w:noProof/>
        </w:rPr>
        <w:footnoteReference w:id="2"/>
      </w:r>
      <w:r>
        <w:rPr>
          <w:noProof/>
        </w:rPr>
        <w:t xml:space="preserve">, în special articolul 15 alineatul (4) din anexa la respectiva decizie, </w:t>
      </w:r>
    </w:p>
    <w:p>
      <w:pPr>
        <w:rPr>
          <w:noProof/>
        </w:rPr>
      </w:pPr>
      <w:r>
        <w:rPr>
          <w:noProof/>
        </w:rPr>
        <w:t>întrucât:</w:t>
      </w:r>
    </w:p>
    <w:p>
      <w:pPr>
        <w:rPr>
          <w:noProof/>
        </w:rPr>
      </w:pPr>
      <w:r>
        <w:rPr>
          <w:noProof/>
        </w:rPr>
        <w:t>(1)</w:t>
      </w:r>
      <w:r>
        <w:rPr>
          <w:noProof/>
        </w:rPr>
        <w:tab/>
        <w:t>În temeiul articolului 15 alineatul (4) din regulamentul de procedură al Comitetului pentru comerț UE-Coreea, adoptat prin Decizia nr. 1 a Comitetului pentru comerț UE-Coreea din 23 decembrie 2011, fiecare comitet și grup de lucru specializat poate stabili propriul regulament de procedură, care se raportează Comitetului pentru comerț.</w:t>
      </w:r>
    </w:p>
    <w:p>
      <w:pPr>
        <w:rPr>
          <w:noProof/>
        </w:rPr>
      </w:pPr>
      <w:r>
        <w:rPr>
          <w:noProof/>
        </w:rPr>
        <w:t>(2)</w:t>
      </w:r>
      <w:r>
        <w:rPr>
          <w:noProof/>
        </w:rPr>
        <w:tab/>
        <w:t>Ar trebui instituit regulamentul de procedură al Grupului de lucru privind indicațiile geografice,</w:t>
      </w:r>
    </w:p>
    <w:p>
      <w:pPr>
        <w:rPr>
          <w:noProof/>
        </w:rPr>
      </w:pPr>
    </w:p>
    <w:p>
      <w:pPr>
        <w:rPr>
          <w:noProof/>
        </w:rPr>
      </w:pPr>
      <w:r>
        <w:rPr>
          <w:noProof/>
        </w:rPr>
        <w:t>ADOPTĂ PREZENTA DECIZIE:</w:t>
      </w:r>
    </w:p>
    <w:p>
      <w:pPr>
        <w:rPr>
          <w:noProof/>
        </w:rPr>
      </w:pPr>
    </w:p>
    <w:p>
      <w:pPr>
        <w:jc w:val="center"/>
        <w:rPr>
          <w:i/>
          <w:noProof/>
        </w:rPr>
      </w:pPr>
      <w:r>
        <w:rPr>
          <w:i/>
          <w:noProof/>
        </w:rPr>
        <w:t>Articolul 1</w:t>
      </w:r>
    </w:p>
    <w:p>
      <w:pPr>
        <w:rPr>
          <w:noProof/>
        </w:rPr>
      </w:pPr>
    </w:p>
    <w:p>
      <w:pPr>
        <w:rPr>
          <w:noProof/>
        </w:rPr>
      </w:pPr>
      <w:r>
        <w:rPr>
          <w:noProof/>
        </w:rPr>
        <w:t>Se adoptă regulamentul de procedură al Grupului de lucru privind indicațiile geografice, astfel cum este prevăzut în anexă.</w:t>
      </w:r>
    </w:p>
    <w:p>
      <w:pPr>
        <w:rPr>
          <w:noProof/>
        </w:rPr>
      </w:pPr>
    </w:p>
    <w:p>
      <w:pPr>
        <w:jc w:val="center"/>
        <w:rPr>
          <w:i/>
          <w:noProof/>
        </w:rPr>
      </w:pPr>
      <w:r>
        <w:rPr>
          <w:i/>
          <w:noProof/>
        </w:rPr>
        <w:t>Articolul 2</w:t>
      </w:r>
    </w:p>
    <w:p>
      <w:pPr>
        <w:rPr>
          <w:noProof/>
        </w:rPr>
      </w:pPr>
    </w:p>
    <w:p>
      <w:pPr>
        <w:rPr>
          <w:noProof/>
        </w:rPr>
      </w:pPr>
      <w:r>
        <w:rPr>
          <w:noProof/>
        </w:rPr>
        <w:t>Prezenta decizie intră în vigoare la data adoptării.</w:t>
      </w:r>
    </w:p>
    <w:p>
      <w:pPr>
        <w:rPr>
          <w:noProof/>
        </w:rPr>
      </w:pPr>
    </w:p>
    <w:p>
      <w:pPr>
        <w:rPr>
          <w:noProof/>
        </w:rPr>
      </w:pPr>
    </w:p>
    <w:p>
      <w:pPr>
        <w:rPr>
          <w:noProof/>
        </w:rPr>
      </w:pPr>
      <w:r>
        <w:rPr>
          <w:noProof/>
        </w:rPr>
        <w:t>Adoptată la …,</w:t>
      </w:r>
    </w:p>
    <w:p>
      <w:pPr>
        <w:rPr>
          <w:noProof/>
        </w:rPr>
      </w:pPr>
    </w:p>
    <w:p>
      <w:pPr>
        <w:rPr>
          <w:i/>
          <w:noProof/>
        </w:rPr>
      </w:pPr>
      <w:r>
        <w:rPr>
          <w:i/>
          <w:noProof/>
        </w:rPr>
        <w:t>Pentru Grupul</w:t>
      </w:r>
      <w:r>
        <w:rPr>
          <w:noProof/>
        </w:rPr>
        <w:t xml:space="preserve"> de lucru</w:t>
      </w:r>
      <w:r>
        <w:rPr>
          <w:i/>
          <w:noProof/>
        </w:rPr>
        <w:t xml:space="preserve"> privind indicațiile geografice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4622"/>
      </w:tblGrid>
      <w:tr>
        <w:tc>
          <w:tcPr>
            <w:tcW w:w="4417" w:type="dxa"/>
            <w:shd w:val="clear" w:color="auto" w:fill="auto"/>
          </w:tcPr>
          <w:p>
            <w:pPr>
              <w:pStyle w:val="Institutionquiagit"/>
              <w:rPr>
                <w:i/>
                <w:iCs/>
                <w:noProof/>
              </w:rPr>
            </w:pPr>
            <w:r>
              <w:rPr>
                <w:i/>
                <w:noProof/>
              </w:rPr>
              <w:t xml:space="preserve">Lider de echipă </w:t>
            </w:r>
          </w:p>
          <w:p>
            <w:pPr>
              <w:pStyle w:val="Institutionquiagit"/>
              <w:rPr>
                <w:i/>
                <w:iCs/>
                <w:noProof/>
              </w:rPr>
            </w:pPr>
            <w:r>
              <w:rPr>
                <w:i/>
                <w:noProof/>
              </w:rPr>
              <w:t>Ministerul Comerțului, Industriei și Energiei din Republica Coreea</w:t>
            </w:r>
          </w:p>
          <w:p>
            <w:pPr>
              <w:pStyle w:val="Institutionquiagit"/>
              <w:rPr>
                <w:noProof/>
              </w:rPr>
            </w:pPr>
            <w:r>
              <w:rPr>
                <w:i/>
                <w:noProof/>
              </w:rPr>
              <w:t>Copreședinte al Grupului de lucru privind indicațiile geografice</w:t>
            </w:r>
          </w:p>
        </w:tc>
        <w:tc>
          <w:tcPr>
            <w:tcW w:w="4622" w:type="dxa"/>
            <w:shd w:val="clear" w:color="auto" w:fill="auto"/>
          </w:tcPr>
          <w:p>
            <w:pPr>
              <w:pStyle w:val="Institutionquiagit"/>
              <w:rPr>
                <w:i/>
                <w:iCs/>
                <w:noProof/>
              </w:rPr>
            </w:pPr>
            <w:r>
              <w:rPr>
                <w:i/>
                <w:noProof/>
              </w:rPr>
              <w:t xml:space="preserve">Șef de unitate </w:t>
            </w:r>
          </w:p>
          <w:p>
            <w:pPr>
              <w:pStyle w:val="Institutionquiagit"/>
              <w:rPr>
                <w:i/>
                <w:iCs/>
                <w:noProof/>
              </w:rPr>
            </w:pPr>
            <w:r>
              <w:rPr>
                <w:i/>
                <w:noProof/>
              </w:rPr>
              <w:t>Direcția Generală Agricultură și Dezvoltare Rurală a Comisiei Europene</w:t>
            </w:r>
          </w:p>
          <w:p>
            <w:pPr>
              <w:pStyle w:val="Institutionquiagit"/>
              <w:rPr>
                <w:i/>
                <w:iCs/>
                <w:noProof/>
              </w:rPr>
            </w:pPr>
            <w:r>
              <w:rPr>
                <w:i/>
                <w:noProof/>
              </w:rPr>
              <w:t>Copreședinte al Grupului de lucru privind indicațiile geografice</w:t>
            </w:r>
          </w:p>
        </w:tc>
      </w:tr>
    </w:tbl>
    <w:p>
      <w:pPr>
        <w:rPr>
          <w:noProof/>
        </w:rPr>
      </w:pPr>
    </w:p>
    <w:p>
      <w:pPr>
        <w:rPr>
          <w:noProof/>
        </w:rPr>
      </w:pPr>
    </w:p>
    <w:p>
      <w:pPr>
        <w:pStyle w:val="NormalCentered"/>
        <w:rPr>
          <w:b/>
          <w:noProof/>
        </w:rPr>
      </w:pPr>
      <w:r>
        <w:rPr>
          <w:b/>
          <w:noProof/>
        </w:rPr>
        <w:t>ANEXĂ</w:t>
      </w:r>
    </w:p>
    <w:p>
      <w:pPr>
        <w:rPr>
          <w:noProof/>
        </w:rPr>
      </w:pPr>
    </w:p>
    <w:p>
      <w:pPr>
        <w:spacing w:before="0" w:after="240"/>
        <w:jc w:val="center"/>
        <w:rPr>
          <w:rFonts w:eastAsia="Malgun Gothic"/>
          <w:noProof/>
          <w:szCs w:val="20"/>
        </w:rPr>
      </w:pPr>
    </w:p>
    <w:p>
      <w:pPr>
        <w:spacing w:before="0" w:after="240"/>
        <w:jc w:val="center"/>
        <w:rPr>
          <w:rFonts w:eastAsia="Malgun Gothic"/>
          <w:noProof/>
          <w:szCs w:val="20"/>
        </w:rPr>
      </w:pPr>
      <w:r>
        <w:rPr>
          <w:noProof/>
        </w:rPr>
        <w:t>REGULAMENTUL DE PROCEDURĂ AL GRUPULUI DE LUCRU PRIVIND INDICAȚIILE GEOGRAFICE</w:t>
      </w:r>
    </w:p>
    <w:p>
      <w:pPr>
        <w:keepNext/>
        <w:spacing w:before="360" w:line="360" w:lineRule="auto"/>
        <w:jc w:val="center"/>
        <w:rPr>
          <w:rFonts w:eastAsia="Malgun Gothic"/>
          <w:i/>
          <w:noProof/>
          <w:szCs w:val="24"/>
        </w:rPr>
      </w:pPr>
      <w:r>
        <w:rPr>
          <w:i/>
          <w:noProof/>
        </w:rPr>
        <w:t>Articolul 1</w:t>
      </w:r>
      <w:r>
        <w:rPr>
          <w:rFonts w:eastAsia="Malgun Gothic"/>
          <w:i/>
          <w:noProof/>
          <w:szCs w:val="24"/>
        </w:rPr>
        <w:br/>
      </w:r>
      <w:r>
        <w:rPr>
          <w:b/>
          <w:noProof/>
        </w:rPr>
        <w:t>Componență și președinție</w:t>
      </w:r>
    </w:p>
    <w:p>
      <w:pPr>
        <w:pStyle w:val="Point0number"/>
        <w:numPr>
          <w:ilvl w:val="0"/>
          <w:numId w:val="18"/>
        </w:numPr>
        <w:rPr>
          <w:noProof/>
        </w:rPr>
      </w:pPr>
      <w:r>
        <w:rPr>
          <w:noProof/>
        </w:rPr>
        <w:t>Grupul de lucru privind indicațiile geografice („grupul de lucru privind IG”), instituit în temeiul articolului 15.3 alineatul (1) litera (g) din Acordul de liber schimb dintre Uniunea Europeană și statele membre ale acesteia, pe de o parte, și Republica Coreea, pe de altă parte („acordul”) își exercită atribuțiile astfel cum se prevede la articolul 10.25 din acord.</w:t>
      </w:r>
    </w:p>
    <w:p>
      <w:pPr>
        <w:pStyle w:val="Point0number"/>
        <w:rPr>
          <w:noProof/>
        </w:rPr>
      </w:pPr>
      <w:r>
        <w:rPr>
          <w:noProof/>
        </w:rPr>
        <w:t>Grupul de lucru privind IG este alcătuit, pe de o parte, din reprezentanți ai Republicii Coreea („Coreea”) și, pe de altă parte, din reprezentanți ai Uniunii Europene.</w:t>
      </w:r>
    </w:p>
    <w:p>
      <w:pPr>
        <w:pStyle w:val="Point0number"/>
        <w:rPr>
          <w:noProof/>
        </w:rPr>
      </w:pPr>
      <w:r>
        <w:rPr>
          <w:noProof/>
        </w:rPr>
        <w:t xml:space="preserve">În temeiul articolului 15.3 alineatul (3) din acord, Grupul de lucru privind IG este coprezidat de reprezentanți ai Coreei și ai Uniunii Europene. </w:t>
      </w:r>
    </w:p>
    <w:p>
      <w:pPr>
        <w:pStyle w:val="Point0number"/>
        <w:rPr>
          <w:noProof/>
        </w:rPr>
      </w:pPr>
      <w:r>
        <w:rPr>
          <w:noProof/>
        </w:rPr>
        <w:t>Fiecare copreședinte poate delega toate sau oricare dintre funcțiile de copreședinte unui adjunct desemnat, caz în care toate trimiterile la copreședinte de mai jos se aplică în mod egal adjunctului desemnat.</w:t>
      </w:r>
    </w:p>
    <w:p>
      <w:pPr>
        <w:pStyle w:val="Point0number"/>
        <w:rPr>
          <w:noProof/>
        </w:rPr>
      </w:pPr>
      <w:r>
        <w:rPr>
          <w:noProof/>
        </w:rPr>
        <w:t>Fiecare copreședinte desemnează un punct de contact pentru toate aspectele legate de Grupul de lucru privind IG. Punctele de contact respective îndeplinesc în comun sarcinile de secretariat ale Grupului de lucru privind IG.</w:t>
      </w:r>
    </w:p>
    <w:p>
      <w:pPr>
        <w:keepNext/>
        <w:spacing w:before="360" w:line="360" w:lineRule="auto"/>
        <w:jc w:val="center"/>
        <w:rPr>
          <w:rFonts w:eastAsia="Malgun Gothic"/>
          <w:b/>
          <w:noProof/>
          <w:szCs w:val="24"/>
        </w:rPr>
      </w:pPr>
      <w:r>
        <w:rPr>
          <w:i/>
          <w:noProof/>
        </w:rPr>
        <w:t>Articolul 2</w:t>
      </w:r>
      <w:r>
        <w:rPr>
          <w:rFonts w:eastAsia="Malgun Gothic"/>
          <w:i/>
          <w:noProof/>
          <w:szCs w:val="24"/>
        </w:rPr>
        <w:br/>
      </w:r>
      <w:r>
        <w:rPr>
          <w:b/>
          <w:noProof/>
        </w:rPr>
        <w:t>Reuniuni</w:t>
      </w:r>
    </w:p>
    <w:p>
      <w:pPr>
        <w:spacing w:before="0" w:after="240"/>
        <w:ind w:left="720"/>
        <w:rPr>
          <w:rFonts w:eastAsia="Malgun Gothic"/>
          <w:noProof/>
          <w:szCs w:val="20"/>
        </w:rPr>
      </w:pPr>
      <w:r>
        <w:rPr>
          <w:noProof/>
        </w:rPr>
        <w:t xml:space="preserve">În temeiul articolului 10.25 alineatul (2) din acord, locul reuniunii alternează între părți. Grupul de lucru privind IG se întrunește la o dată, într-un loc și într-un mod, inclusiv, dacă este cazul, prin videoconferință, stabilite de părți de comun acord, dar nu mai târziu de 90 de zile de la formularea cererii de oricare dintre părți. </w:t>
      </w:r>
    </w:p>
    <w:p>
      <w:pPr>
        <w:keepNext/>
        <w:spacing w:before="360" w:line="360" w:lineRule="auto"/>
        <w:jc w:val="center"/>
        <w:rPr>
          <w:rFonts w:eastAsia="Malgun Gothic"/>
          <w:b/>
          <w:noProof/>
          <w:szCs w:val="24"/>
        </w:rPr>
      </w:pPr>
      <w:r>
        <w:rPr>
          <w:i/>
          <w:noProof/>
        </w:rPr>
        <w:t>Articolul 3</w:t>
      </w:r>
      <w:r>
        <w:rPr>
          <w:rFonts w:eastAsia="Malgun Gothic"/>
          <w:i/>
          <w:noProof/>
          <w:szCs w:val="24"/>
        </w:rPr>
        <w:br/>
      </w:r>
      <w:r>
        <w:rPr>
          <w:b/>
          <w:noProof/>
        </w:rPr>
        <w:t>Corespondența</w:t>
      </w:r>
    </w:p>
    <w:p>
      <w:pPr>
        <w:pStyle w:val="Point0number"/>
        <w:numPr>
          <w:ilvl w:val="0"/>
          <w:numId w:val="10"/>
        </w:numPr>
        <w:rPr>
          <w:noProof/>
        </w:rPr>
      </w:pPr>
      <w:r>
        <w:rPr>
          <w:noProof/>
        </w:rPr>
        <w:t xml:space="preserve">Corespondența către președinții Grupului de lucru privind IG este transmisă punctelor de contact pentru a fi difuzată membrilor grupului de lucru. </w:t>
      </w:r>
    </w:p>
    <w:p>
      <w:pPr>
        <w:pStyle w:val="Point0number"/>
        <w:numPr>
          <w:ilvl w:val="0"/>
          <w:numId w:val="10"/>
        </w:numPr>
        <w:rPr>
          <w:noProof/>
        </w:rPr>
      </w:pPr>
      <w:r>
        <w:rPr>
          <w:noProof/>
        </w:rPr>
        <w:t>Corespondența poate fi realizată prin orice mijloc scris, inclusiv prin poștă electronică.</w:t>
      </w:r>
    </w:p>
    <w:p>
      <w:pPr>
        <w:pStyle w:val="Point0number"/>
        <w:numPr>
          <w:ilvl w:val="0"/>
          <w:numId w:val="10"/>
        </w:numPr>
        <w:rPr>
          <w:noProof/>
        </w:rPr>
      </w:pPr>
      <w:r>
        <w:rPr>
          <w:noProof/>
        </w:rPr>
        <w:t>În temeiul articolului 15 din regulamentul de procedură al Comitetului pentru comerț, acesta din urmă este informat cu privire la punctele de contact desemnate de Grupul de lucru privind IG. Toată corespondența, toate documentele și comunicările, inclusiv schimbul de e-mailuri între punctele de contact ale Grupului de lucru privind IG, cu privire la punerea în aplicare a acordului se transmit simultan Secretariatului Comitetului pentru comerț, Delegației Uniunii Europene în Republica Coreea și Misiunii Republicii Coreea pe lângă Uniunea Europeană.</w:t>
      </w:r>
    </w:p>
    <w:p>
      <w:pPr>
        <w:keepNext/>
        <w:spacing w:before="360" w:line="360" w:lineRule="auto"/>
        <w:jc w:val="center"/>
        <w:rPr>
          <w:rFonts w:eastAsia="Malgun Gothic"/>
          <w:b/>
          <w:noProof/>
          <w:szCs w:val="24"/>
        </w:rPr>
      </w:pPr>
      <w:r>
        <w:rPr>
          <w:i/>
          <w:noProof/>
        </w:rPr>
        <w:t>Articolul 4</w:t>
      </w:r>
      <w:r>
        <w:rPr>
          <w:rFonts w:eastAsia="Malgun Gothic"/>
          <w:i/>
          <w:noProof/>
          <w:szCs w:val="24"/>
        </w:rPr>
        <w:br/>
      </w:r>
      <w:r>
        <w:rPr>
          <w:b/>
          <w:noProof/>
        </w:rPr>
        <w:t>Ordinea de zi pentru reuniuni</w:t>
      </w:r>
    </w:p>
    <w:p>
      <w:pPr>
        <w:pStyle w:val="Point0number"/>
        <w:numPr>
          <w:ilvl w:val="0"/>
          <w:numId w:val="11"/>
        </w:numPr>
        <w:rPr>
          <w:noProof/>
        </w:rPr>
      </w:pPr>
      <w:r>
        <w:rPr>
          <w:noProof/>
        </w:rPr>
        <w:t xml:space="preserve">Punctele de contact întocmesc o ordine de zi provizorie înainte de fiecare reuniune. Aceasta este transmisă, împreună cu documentele relevante, membrilor Grupului de lucru privind IG, inclusiv copreședinților Grupului de lucru privind IG, cel târziu cu șapte zile înainte de reuniune. Ordinea de zi provizorie poate include orice element care intră sub incidența articolului 10.25 din acord. </w:t>
      </w:r>
    </w:p>
    <w:p>
      <w:pPr>
        <w:pStyle w:val="Point0number"/>
        <w:numPr>
          <w:ilvl w:val="0"/>
          <w:numId w:val="11"/>
        </w:numPr>
        <w:rPr>
          <w:noProof/>
        </w:rPr>
      </w:pPr>
      <w:r>
        <w:rPr>
          <w:noProof/>
        </w:rPr>
        <w:t xml:space="preserve">Oricare dintre părți poate solicita ca elementele menționate la articolul 10.25 din acord să fie incluse pe ordinea de zi provizorie cu cel puțin 14 zile înainte de reuniune. Elementele respective sunt incluse pe ordinea de zi provizorie. </w:t>
      </w:r>
    </w:p>
    <w:p>
      <w:pPr>
        <w:pStyle w:val="Point0number"/>
        <w:numPr>
          <w:ilvl w:val="0"/>
          <w:numId w:val="11"/>
        </w:numPr>
        <w:rPr>
          <w:noProof/>
        </w:rPr>
      </w:pPr>
      <w:r>
        <w:rPr>
          <w:noProof/>
        </w:rPr>
        <w:t>O ultimă versiune a ordinii de zi provizorii este transmisă copreședinților cu cel puțin cinci zile înainte de reuniune.</w:t>
      </w:r>
    </w:p>
    <w:p>
      <w:pPr>
        <w:pStyle w:val="Point0number"/>
        <w:numPr>
          <w:ilvl w:val="0"/>
          <w:numId w:val="11"/>
        </w:numPr>
        <w:rPr>
          <w:noProof/>
        </w:rPr>
      </w:pPr>
      <w:r>
        <w:rPr>
          <w:noProof/>
        </w:rPr>
        <w:t>Copreședinții adoptă în mod unanim ordinea de zi la începutul fiecărei reuniuni. Un punct care nu figurează pe ordinea de zi provizorie poate fi înscris pe ordinea de zi dacă ambii copreședinți convin în acest sens.</w:t>
      </w:r>
    </w:p>
    <w:p>
      <w:pPr>
        <w:keepNext/>
        <w:spacing w:before="360" w:line="360" w:lineRule="auto"/>
        <w:jc w:val="center"/>
        <w:rPr>
          <w:rFonts w:eastAsia="Malgun Gothic"/>
          <w:b/>
          <w:noProof/>
          <w:szCs w:val="24"/>
        </w:rPr>
      </w:pPr>
      <w:r>
        <w:rPr>
          <w:i/>
          <w:noProof/>
        </w:rPr>
        <w:t>Articolul 5</w:t>
      </w:r>
      <w:r>
        <w:rPr>
          <w:rFonts w:eastAsia="Malgun Gothic"/>
          <w:i/>
          <w:noProof/>
          <w:szCs w:val="24"/>
        </w:rPr>
        <w:br/>
      </w:r>
      <w:r>
        <w:rPr>
          <w:b/>
          <w:noProof/>
        </w:rPr>
        <w:t>Cereri de modificare a anexei 10-A sau 10-B la acord</w:t>
      </w:r>
    </w:p>
    <w:p>
      <w:pPr>
        <w:pStyle w:val="Point0number"/>
        <w:numPr>
          <w:ilvl w:val="0"/>
          <w:numId w:val="12"/>
        </w:numPr>
        <w:rPr>
          <w:noProof/>
        </w:rPr>
      </w:pPr>
      <w:r>
        <w:rPr>
          <w:noProof/>
        </w:rPr>
        <w:t>Oricare dintre părți poate solicita adăugarea sau eliminarea indicațiilor geografice individuale din anexele 10-A sau 10-B la acord, printr-o scrisoare semnată de copreședintele părții în cauză.</w:t>
      </w:r>
    </w:p>
    <w:p>
      <w:pPr>
        <w:pStyle w:val="Point0number"/>
        <w:numPr>
          <w:ilvl w:val="0"/>
          <w:numId w:val="12"/>
        </w:numPr>
        <w:rPr>
          <w:noProof/>
        </w:rPr>
      </w:pPr>
      <w:r>
        <w:rPr>
          <w:noProof/>
        </w:rPr>
        <w:t>În temeiul articolului 10.25 alineatele (1) și (3) din acord, Grupul de lucru privind IG poate decide prin consens să modifice anexele 10-A și 10-B pentru a adăuga indicații geografice individuale ale Uniunii Europene sau ale Coreei după finalizarea procedurii relevante menționate în acord. Grupul de lucru privind IG poate decide, de asemenea, prin consens, să recomande adăugarea sau eliminarea indicațiilor geografice pentru luarea unei decizii finale în cadrul Comitetului pentru comerț, în conformitate cu articolul 10.21 alineatul (4), cu articolul 10.24 și cu articolul 10.25.</w:t>
      </w:r>
    </w:p>
    <w:p>
      <w:pPr>
        <w:pStyle w:val="Point0number"/>
        <w:numPr>
          <w:ilvl w:val="0"/>
          <w:numId w:val="12"/>
        </w:numPr>
        <w:rPr>
          <w:noProof/>
        </w:rPr>
      </w:pPr>
      <w:r>
        <w:rPr>
          <w:noProof/>
        </w:rPr>
        <w:t>În temeiul articolului 15.3 alineatul (5), Comitetul pentru comerț poate să își asume sarcina atribuită unui grup de lucru și poate decide să modifice anexele 10-A și 10-B menționate mai sus. În plus, în temeiul articolului 15.5 alineatul (2), Comitetul pentru comerț poate decide să modifice anexele 10-A și 10-B, iar părțile pot adopta decizia în funcție de cerințele și procedurile lor juridice aplicabile.</w:t>
      </w:r>
      <w:r>
        <w:rPr>
          <w:noProof/>
          <w:color w:val="000000"/>
        </w:rPr>
        <w:t xml:space="preserve"> </w:t>
      </w:r>
    </w:p>
    <w:p>
      <w:pPr>
        <w:pStyle w:val="Point0number"/>
        <w:numPr>
          <w:ilvl w:val="0"/>
          <w:numId w:val="12"/>
        </w:numPr>
        <w:rPr>
          <w:noProof/>
        </w:rPr>
      </w:pPr>
      <w:r>
        <w:rPr>
          <w:noProof/>
        </w:rPr>
        <w:t>Atunci când decid să modifice anexele 10-A și 10-B, părțile depun eforturi pentru a ține seama în mod corespunzător de interesele respective ale ambelor părți în ceea ce privește indicațiile geografice.</w:t>
      </w:r>
    </w:p>
    <w:p>
      <w:pPr>
        <w:keepNext/>
        <w:spacing w:before="360" w:line="360" w:lineRule="auto"/>
        <w:jc w:val="center"/>
        <w:rPr>
          <w:rFonts w:eastAsia="Malgun Gothic"/>
          <w:b/>
          <w:noProof/>
          <w:szCs w:val="24"/>
        </w:rPr>
      </w:pPr>
      <w:r>
        <w:rPr>
          <w:i/>
          <w:noProof/>
        </w:rPr>
        <w:t>Articolul 6</w:t>
      </w:r>
      <w:r>
        <w:rPr>
          <w:rFonts w:eastAsia="Malgun Gothic"/>
          <w:i/>
          <w:noProof/>
          <w:szCs w:val="24"/>
        </w:rPr>
        <w:br/>
      </w:r>
      <w:r>
        <w:rPr>
          <w:b/>
          <w:noProof/>
        </w:rPr>
        <w:t>Decizii și recomandări</w:t>
      </w:r>
    </w:p>
    <w:p>
      <w:pPr>
        <w:pStyle w:val="Point0number"/>
        <w:numPr>
          <w:ilvl w:val="0"/>
          <w:numId w:val="13"/>
        </w:numPr>
        <w:rPr>
          <w:noProof/>
        </w:rPr>
      </w:pPr>
      <w:r>
        <w:rPr>
          <w:noProof/>
        </w:rPr>
        <w:t xml:space="preserve">Grupul de lucru privind IG adoptă recomandări și decizii prin consens, astfel cum se prevede la articolul 10.25 din acord. </w:t>
      </w:r>
    </w:p>
    <w:p>
      <w:pPr>
        <w:pStyle w:val="Point0number"/>
        <w:numPr>
          <w:ilvl w:val="0"/>
          <w:numId w:val="13"/>
        </w:numPr>
        <w:rPr>
          <w:noProof/>
        </w:rPr>
      </w:pPr>
      <w:r>
        <w:rPr>
          <w:noProof/>
        </w:rPr>
        <w:t xml:space="preserve">Recomandările Grupului de lucru privind IG în sensul articolului 10.25 din acord se adresează părților și sunt semnate de copreședinți. </w:t>
      </w:r>
    </w:p>
    <w:p>
      <w:pPr>
        <w:pStyle w:val="Point0number"/>
        <w:numPr>
          <w:ilvl w:val="0"/>
          <w:numId w:val="13"/>
        </w:numPr>
        <w:rPr>
          <w:noProof/>
        </w:rPr>
      </w:pPr>
      <w:r>
        <w:rPr>
          <w:noProof/>
        </w:rPr>
        <w:t xml:space="preserve">Deciziile Grupului de lucru privind IG în sensul articolului 10.25 din acord sunt semnate de copreședinți. Fiecare decizie prevede data intrării sale în vigoare. </w:t>
      </w:r>
    </w:p>
    <w:p>
      <w:pPr>
        <w:pStyle w:val="Point0number"/>
        <w:numPr>
          <w:ilvl w:val="0"/>
          <w:numId w:val="13"/>
        </w:numPr>
        <w:rPr>
          <w:noProof/>
        </w:rPr>
      </w:pPr>
      <w:r>
        <w:rPr>
          <w:noProof/>
        </w:rPr>
        <w:t>Deciziile și recomandările adoptate de Grupul de lucru privind IG includ un număr de serie, data adoptării și o descriere a obiectului acestora.</w:t>
      </w:r>
    </w:p>
    <w:p>
      <w:pPr>
        <w:keepNext/>
        <w:spacing w:before="360" w:line="360" w:lineRule="auto"/>
        <w:jc w:val="center"/>
        <w:rPr>
          <w:rFonts w:eastAsia="Malgun Gothic"/>
          <w:b/>
          <w:noProof/>
          <w:szCs w:val="24"/>
        </w:rPr>
      </w:pPr>
      <w:r>
        <w:rPr>
          <w:i/>
          <w:noProof/>
        </w:rPr>
        <w:t>Articolul 7</w:t>
      </w:r>
      <w:r>
        <w:rPr>
          <w:rFonts w:eastAsia="Malgun Gothic"/>
          <w:i/>
          <w:noProof/>
          <w:szCs w:val="24"/>
        </w:rPr>
        <w:br/>
      </w:r>
      <w:r>
        <w:rPr>
          <w:b/>
          <w:noProof/>
        </w:rPr>
        <w:t>Procedura scrisă</w:t>
      </w:r>
    </w:p>
    <w:p>
      <w:pPr>
        <w:pStyle w:val="Point0number"/>
        <w:numPr>
          <w:ilvl w:val="0"/>
          <w:numId w:val="14"/>
        </w:numPr>
        <w:rPr>
          <w:noProof/>
        </w:rPr>
      </w:pPr>
      <w:r>
        <w:rPr>
          <w:noProof/>
        </w:rPr>
        <w:t>O recomandare sau o decizie a Grupului de lucru privind IG poate fi adoptată prin procedură scrisă, în cazul în care cele două părți sunt de acord. Procedura scrisă constă într-un schimb de note între copreședinții Grupului de lucru privind IG.</w:t>
      </w:r>
    </w:p>
    <w:p>
      <w:pPr>
        <w:pStyle w:val="Point0number"/>
        <w:numPr>
          <w:ilvl w:val="0"/>
          <w:numId w:val="14"/>
        </w:numPr>
        <w:rPr>
          <w:noProof/>
        </w:rPr>
      </w:pPr>
      <w:r>
        <w:rPr>
          <w:noProof/>
        </w:rPr>
        <w:t>Copreședintele părții care propune utilizarea procedurii scrise prezintă proiectul de recomandare sau de decizie copreședintelui celeilalte părți, iar acesta oferă un răspuns, indicând dacă acceptă sau nu acceptă proiectul de recomandare sau de decizie. Copreședintele celeilalte părți poate, de asemenea, să propună modificări sau să solicite mai mult timp de reflecție. Dacă se ajunge la un acord cu privire la proiect, el se adoptă în conformitate cu articolul 6.</w:t>
      </w:r>
    </w:p>
    <w:p>
      <w:pPr>
        <w:keepNext/>
        <w:spacing w:before="360" w:line="360" w:lineRule="auto"/>
        <w:jc w:val="center"/>
        <w:rPr>
          <w:rFonts w:eastAsia="Malgun Gothic"/>
          <w:b/>
          <w:noProof/>
          <w:szCs w:val="24"/>
        </w:rPr>
      </w:pPr>
      <w:r>
        <w:rPr>
          <w:i/>
          <w:noProof/>
        </w:rPr>
        <w:t>Articolul 8</w:t>
      </w:r>
      <w:r>
        <w:rPr>
          <w:rFonts w:eastAsia="Malgun Gothic"/>
          <w:i/>
          <w:noProof/>
          <w:szCs w:val="24"/>
        </w:rPr>
        <w:br/>
      </w:r>
      <w:r>
        <w:rPr>
          <w:b/>
          <w:noProof/>
        </w:rPr>
        <w:t>Procesul-verbal</w:t>
      </w:r>
    </w:p>
    <w:p>
      <w:pPr>
        <w:pStyle w:val="Point0number"/>
        <w:numPr>
          <w:ilvl w:val="0"/>
          <w:numId w:val="15"/>
        </w:numPr>
        <w:rPr>
          <w:noProof/>
        </w:rPr>
      </w:pPr>
      <w:r>
        <w:rPr>
          <w:noProof/>
        </w:rPr>
        <w:t xml:space="preserve">Proiectul de proces-verbal al fiecărei reuniuni este redactat de către punctele de contact în termen de 21 de zile de la reuniune. Proiectul de proces-verbal indică recomandările și deciziile adoptate și menționează orice alte concluzii formulate. </w:t>
      </w:r>
    </w:p>
    <w:p>
      <w:pPr>
        <w:pStyle w:val="Point0number"/>
        <w:numPr>
          <w:ilvl w:val="0"/>
          <w:numId w:val="15"/>
        </w:numPr>
        <w:rPr>
          <w:noProof/>
        </w:rPr>
      </w:pPr>
      <w:r>
        <w:rPr>
          <w:noProof/>
        </w:rPr>
        <w:t>Procesul-verbal se aprobă în scris de ambele părți în termen de 28 de zile de la data reuniunii sau până la orice altă dată convenită de părți. După aprobare, două exemplare originale sunt semnate de copreședinți. Fiecare copreședinte păstrează un exemplar original al procesului-verbal.</w:t>
      </w:r>
    </w:p>
    <w:p>
      <w:pPr>
        <w:keepNext/>
        <w:spacing w:before="360" w:line="360" w:lineRule="auto"/>
        <w:jc w:val="center"/>
        <w:rPr>
          <w:rFonts w:eastAsia="Malgun Gothic"/>
          <w:b/>
          <w:noProof/>
          <w:szCs w:val="24"/>
        </w:rPr>
      </w:pPr>
      <w:r>
        <w:rPr>
          <w:i/>
          <w:noProof/>
        </w:rPr>
        <w:t>Articolul 9</w:t>
      </w:r>
      <w:r>
        <w:rPr>
          <w:rFonts w:eastAsia="Malgun Gothic"/>
          <w:i/>
          <w:noProof/>
          <w:szCs w:val="24"/>
        </w:rPr>
        <w:br/>
      </w:r>
      <w:r>
        <w:rPr>
          <w:b/>
          <w:noProof/>
        </w:rPr>
        <w:t>Rapoarte</w:t>
      </w:r>
    </w:p>
    <w:p>
      <w:pPr>
        <w:spacing w:before="0" w:after="240"/>
        <w:ind w:left="720"/>
        <w:rPr>
          <w:rFonts w:eastAsia="Malgun Gothic"/>
          <w:noProof/>
          <w:szCs w:val="20"/>
        </w:rPr>
      </w:pPr>
      <w:r>
        <w:rPr>
          <w:noProof/>
        </w:rPr>
        <w:t>Grupul de lucru privind IG raportează Comitetului pentru comerț cu privire la activitățile sale în cadrul fiecărei reuniuni ordinare a Comitetului pentru comerț, astfel cum se prevede la articolul 15.3 alineatul (4) din acord.</w:t>
      </w:r>
    </w:p>
    <w:p>
      <w:pPr>
        <w:keepNext/>
        <w:spacing w:before="360" w:line="360" w:lineRule="auto"/>
        <w:jc w:val="center"/>
        <w:rPr>
          <w:rFonts w:eastAsia="Malgun Gothic"/>
          <w:b/>
          <w:noProof/>
          <w:szCs w:val="24"/>
        </w:rPr>
      </w:pPr>
      <w:r>
        <w:rPr>
          <w:i/>
          <w:noProof/>
        </w:rPr>
        <w:t>Articolul 10</w:t>
      </w:r>
      <w:r>
        <w:rPr>
          <w:rFonts w:eastAsia="Malgun Gothic"/>
          <w:i/>
          <w:noProof/>
          <w:szCs w:val="24"/>
        </w:rPr>
        <w:br/>
      </w:r>
      <w:r>
        <w:rPr>
          <w:b/>
          <w:noProof/>
        </w:rPr>
        <w:t>Cheltuieli</w:t>
      </w:r>
    </w:p>
    <w:p>
      <w:pPr>
        <w:pStyle w:val="Point0number"/>
        <w:numPr>
          <w:ilvl w:val="0"/>
          <w:numId w:val="16"/>
        </w:numPr>
        <w:rPr>
          <w:noProof/>
        </w:rPr>
      </w:pPr>
      <w:r>
        <w:rPr>
          <w:noProof/>
        </w:rPr>
        <w:t>Fiecare parte suportă cheltuielile aferente participării sale la reuniunile Grupului de lucru privind IG.</w:t>
      </w:r>
    </w:p>
    <w:p>
      <w:pPr>
        <w:pStyle w:val="Point0number"/>
        <w:numPr>
          <w:ilvl w:val="0"/>
          <w:numId w:val="16"/>
        </w:numPr>
        <w:rPr>
          <w:noProof/>
        </w:rPr>
      </w:pPr>
      <w:r>
        <w:rPr>
          <w:noProof/>
        </w:rPr>
        <w:t>Cheltuielile legate de organizarea reuniunilor și reproducerea documentelor sunt suportate de partea care organizează reuniunea.</w:t>
      </w:r>
    </w:p>
    <w:p>
      <w:pPr>
        <w:keepNext/>
        <w:spacing w:before="360" w:line="360" w:lineRule="auto"/>
        <w:jc w:val="center"/>
        <w:rPr>
          <w:rFonts w:eastAsia="Malgun Gothic"/>
          <w:b/>
          <w:noProof/>
          <w:szCs w:val="24"/>
        </w:rPr>
      </w:pPr>
      <w:r>
        <w:rPr>
          <w:i/>
          <w:noProof/>
        </w:rPr>
        <w:t>Articolul 11</w:t>
      </w:r>
      <w:r>
        <w:rPr>
          <w:rFonts w:eastAsia="Malgun Gothic"/>
          <w:i/>
          <w:noProof/>
          <w:szCs w:val="24"/>
        </w:rPr>
        <w:br/>
      </w:r>
      <w:r>
        <w:rPr>
          <w:b/>
          <w:noProof/>
        </w:rPr>
        <w:t>Publicitate și confidențialitate</w:t>
      </w:r>
    </w:p>
    <w:p>
      <w:pPr>
        <w:pStyle w:val="Point0number"/>
        <w:numPr>
          <w:ilvl w:val="0"/>
          <w:numId w:val="17"/>
        </w:numPr>
        <w:rPr>
          <w:noProof/>
        </w:rPr>
      </w:pPr>
      <w:r>
        <w:rPr>
          <w:noProof/>
        </w:rPr>
        <w:t>Cu excepția cazului în care copreședinții decid altfel, reuniunile Grupului de lucru privind IG nu sunt publice.</w:t>
      </w:r>
    </w:p>
    <w:p>
      <w:pPr>
        <w:pStyle w:val="Point0number"/>
        <w:numPr>
          <w:ilvl w:val="0"/>
          <w:numId w:val="17"/>
        </w:numPr>
        <w:rPr>
          <w:noProof/>
        </w:rPr>
      </w:pPr>
      <w:r>
        <w:rPr>
          <w:noProof/>
        </w:rPr>
        <w:t>Atunci când o parte transmite Grupului de lucru privind IG informații considerate confidențiale în temeiul legilor și reglementărilor sale, cealaltă parte tratează aceste informații ca fiind confidențiale, astfel cum se prevede la articolul 15.1 alineatul (7) din acord.</w:t>
      </w:r>
    </w:p>
    <w:p>
      <w:pPr>
        <w:pStyle w:val="Point0number"/>
        <w:numPr>
          <w:ilvl w:val="0"/>
          <w:numId w:val="17"/>
        </w:numPr>
        <w:rPr>
          <w:noProof/>
        </w:rPr>
      </w:pPr>
      <w:r>
        <w:rPr>
          <w:noProof/>
        </w:rPr>
        <w:t>Fiecare parte poate decide în legătură cu publicarea, în propria sa publicație oficială, a deciziilor și recomandărilor Grupului de lucru privind IG.</w:t>
      </w:r>
    </w:p>
    <w:p>
      <w:pPr>
        <w:spacing w:before="0" w:after="200" w:line="276" w:lineRule="auto"/>
        <w:jc w:val="left"/>
        <w:rPr>
          <w:rFonts w:asciiTheme="minorHAnsi" w:hAnsiTheme="minorHAnsi" w:cstheme="minorBidi"/>
          <w:noProof/>
          <w:sz w:val="22"/>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127, 14.5.2011, p. 6.</w:t>
      </w:r>
    </w:p>
  </w:footnote>
  <w:footnote w:id="2">
    <w:p>
      <w:pPr>
        <w:pStyle w:val="FootnoteText"/>
      </w:pPr>
      <w:r>
        <w:rPr>
          <w:rStyle w:val="FootnoteReference"/>
        </w:rPr>
        <w:footnoteRef/>
      </w:r>
      <w:r>
        <w:tab/>
        <w:t xml:space="preserve">JO L 58, 1.3.2013, p. 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B94318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1564130"/>
    <w:lvl w:ilvl="0">
      <w:start w:val="1"/>
      <w:numFmt w:val="decimal"/>
      <w:pStyle w:val="ListNumber3"/>
      <w:lvlText w:val="%1."/>
      <w:lvlJc w:val="left"/>
      <w:pPr>
        <w:tabs>
          <w:tab w:val="num" w:pos="926"/>
        </w:tabs>
        <w:ind w:left="926" w:hanging="360"/>
      </w:pPr>
    </w:lvl>
  </w:abstractNum>
  <w:abstractNum w:abstractNumId="2">
    <w:nsid w:val="FFFFFF7F"/>
    <w:multiLevelType w:val="singleLevel"/>
    <w:tmpl w:val="3B6621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C86D22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45C59B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D1854D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1D62F14"/>
    <w:lvl w:ilvl="0">
      <w:start w:val="1"/>
      <w:numFmt w:val="decimal"/>
      <w:pStyle w:val="ListNumber"/>
      <w:lvlText w:val="%1."/>
      <w:lvlJc w:val="left"/>
      <w:pPr>
        <w:tabs>
          <w:tab w:val="num" w:pos="360"/>
        </w:tabs>
        <w:ind w:left="360" w:hanging="360"/>
      </w:pPr>
    </w:lvl>
  </w:abstractNum>
  <w:abstractNum w:abstractNumId="7">
    <w:nsid w:val="FFFFFF89"/>
    <w:multiLevelType w:val="singleLevel"/>
    <w:tmpl w:val="0A3E530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21"/>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24"/>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27 15:32:5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0"/>
    <w:docVar w:name="DQCStatus" w:val="Yellow"/>
    <w:docVar w:name="DQCVersion" w:val="3"/>
    <w:docVar w:name="DQCWithWarnings" w:val="0"/>
    <w:docVar w:name="LW_ACCOMPAGNANT" w:val="la"/>
    <w:docVar w:name="LW_ACCOMPAGNANT.CP" w:val="la"/>
    <w:docVar w:name="LW_ANNEX_NBR_FIRST" w:val="1"/>
    <w:docVar w:name="LW_ANNEX_NBR_LAST" w:val="1"/>
    <w:docVar w:name="LW_ANNEX_UNIQUE" w:val="1"/>
    <w:docVar w:name="LW_CORRIGENDUM" w:val="&lt;UNUSED&gt;"/>
    <w:docVar w:name="LW_COVERPAGE_EXISTS" w:val="True"/>
    <w:docVar w:name="LW_COVERPAGE_GUID" w:val="3CC01907-D0AF-497C-8DED-CDB7729A1533"/>
    <w:docVar w:name="LW_COVERPAGE_TYPE" w:val="1"/>
    <w:docVar w:name="LW_CROSSREFERENCE" w:val="&lt;UNUSED&gt;"/>
    <w:docVar w:name="LW_DocType" w:val="ANNEX"/>
    <w:docVar w:name="LW_EMISSION" w:val="12.4.2019"/>
    <w:docVar w:name="LW_EMISSION_ISODATE" w:val="2019-04-12"/>
    <w:docVar w:name="LW_EMISSION_LOCATION" w:val="BRX"/>
    <w:docVar w:name="LW_EMISSION_PREFIX" w:val="Bruxelles, "/>
    <w:docVar w:name="LW_EMISSION_SUFFIX" w:val="&lt;EMPTY&gt;"/>
    <w:docVar w:name="LW_ID_DOCSTRUCTURE" w:val="COM/ANNEX"/>
    <w:docVar w:name="LW_ID_DOCTYPE" w:val="SG-017"/>
    <w:docVar w:name="LW_LANGUE" w:val="RO"/>
    <w:docVar w:name="LW_LEVEL_OF_SENSITIVITY" w:val="Standard treatment"/>
    <w:docVar w:name="LW_NOM.INST" w:val="COMISIA EUROPEAN\u258?"/>
    <w:docVar w:name="LW_NOM.INST_JOINTDOC" w:val="&lt;EMPTY&gt;"/>
    <w:docVar w:name="LW_OBJETACTEPRINCIPAL" w:val="privind pozi\u539?ia care urmeaz\u259? s\u259? fie adoptat\u259? în numele Uniunii Europene în cadrul Grupului de lucru privind indica\u539?iile geografice instituit prin Acordul de liber schimb dintre Uniunea European\u259? \u537?i statele membre ale acesteia, pe de o parte, \u537?i Republica Coreea, pe de alt\u259? parte, în ceea ce prive\u537?te adoptarea regulamentului s\u259?u de procedur\u259?_x000b_"/>
    <w:docVar w:name="LW_OBJETACTEPRINCIPAL.CP" w:val="privind pozi\u539?ia care urmeaz\u259? s\u259? fie adoptat\u259? în numele Uniunii Europene în cadrul Grupului de lucru privind indica\u539?iile geografice instituit prin Acordul de liber schimb dintre Uniunea European\u259? \u537?i statele membre ale acesteia, pe de o parte, \u537?i Republica Coreea, pe de alt\u259? parte, în ceea ce prive\u537?te adoptarea regulamentului s\u259?u de procedur\u259?_x000b_"/>
    <w:docVar w:name="LW_PART_NBR" w:val="1"/>
    <w:docVar w:name="LW_PART_NBR_TOTAL" w:val="1"/>
    <w:docVar w:name="LW_REF.INST.NEW" w:val="COM"/>
    <w:docVar w:name="LW_REF.INST.NEW_ADOPTED" w:val="final"/>
    <w:docVar w:name="LW_REF.INST.NEW_TEXT" w:val="(2019) 18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EX\u258?"/>
    <w:docVar w:name="LW_TYPE.DOC.CP" w:val="ANEX\u258?"/>
    <w:docVar w:name="LW_TYPEACTEPRINCIPAL" w:val="Propunerea de _x000b__x000b_DECIZIE A CONSILIULUI"/>
    <w:docVar w:name="LW_TYPEACTEPRINCIPAL.CP" w:val="Propunerea de _x000b__x000b_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ListDash1">
    <w:name w:val="List Dash 1"/>
    <w:basedOn w:val="Text1"/>
    <w:pPr>
      <w:numPr>
        <w:numId w:val="9"/>
      </w:numPr>
      <w:spacing w:before="0" w:after="240"/>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ListDash1">
    <w:name w:val="List Dash 1"/>
    <w:basedOn w:val="Text1"/>
    <w:pPr>
      <w:numPr>
        <w:numId w:val="9"/>
      </w:numPr>
      <w:spacing w:before="0" w:after="240"/>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196696">
      <w:bodyDiv w:val="1"/>
      <w:marLeft w:val="0"/>
      <w:marRight w:val="0"/>
      <w:marTop w:val="0"/>
      <w:marBottom w:val="0"/>
      <w:divBdr>
        <w:top w:val="none" w:sz="0" w:space="0" w:color="auto"/>
        <w:left w:val="none" w:sz="0" w:space="0" w:color="auto"/>
        <w:bottom w:val="none" w:sz="0" w:space="0" w:color="auto"/>
        <w:right w:val="none" w:sz="0" w:space="0" w:color="auto"/>
      </w:divBdr>
      <w:divsChild>
        <w:div w:id="978344342">
          <w:marLeft w:val="0"/>
          <w:marRight w:val="0"/>
          <w:marTop w:val="0"/>
          <w:marBottom w:val="0"/>
          <w:divBdr>
            <w:top w:val="none" w:sz="0" w:space="0" w:color="auto"/>
            <w:left w:val="none" w:sz="0" w:space="0" w:color="auto"/>
            <w:bottom w:val="none" w:sz="0" w:space="0" w:color="auto"/>
            <w:right w:val="none" w:sz="0" w:space="0" w:color="auto"/>
          </w:divBdr>
          <w:divsChild>
            <w:div w:id="1124735713">
              <w:marLeft w:val="0"/>
              <w:marRight w:val="0"/>
              <w:marTop w:val="0"/>
              <w:marBottom w:val="0"/>
              <w:divBdr>
                <w:top w:val="none" w:sz="0" w:space="0" w:color="auto"/>
                <w:left w:val="none" w:sz="0" w:space="0" w:color="auto"/>
                <w:bottom w:val="none" w:sz="0" w:space="0" w:color="auto"/>
                <w:right w:val="none" w:sz="0" w:space="0" w:color="auto"/>
              </w:divBdr>
              <w:divsChild>
                <w:div w:id="545995995">
                  <w:marLeft w:val="0"/>
                  <w:marRight w:val="0"/>
                  <w:marTop w:val="0"/>
                  <w:marBottom w:val="0"/>
                  <w:divBdr>
                    <w:top w:val="none" w:sz="0" w:space="0" w:color="auto"/>
                    <w:left w:val="none" w:sz="0" w:space="0" w:color="auto"/>
                    <w:bottom w:val="none" w:sz="0" w:space="0" w:color="auto"/>
                    <w:right w:val="none" w:sz="0" w:space="0" w:color="auto"/>
                  </w:divBdr>
                  <w:divsChild>
                    <w:div w:id="849679015">
                      <w:marLeft w:val="-150"/>
                      <w:marRight w:val="-150"/>
                      <w:marTop w:val="0"/>
                      <w:marBottom w:val="0"/>
                      <w:divBdr>
                        <w:top w:val="none" w:sz="0" w:space="0" w:color="auto"/>
                        <w:left w:val="none" w:sz="0" w:space="0" w:color="auto"/>
                        <w:bottom w:val="none" w:sz="0" w:space="0" w:color="auto"/>
                        <w:right w:val="none" w:sz="0" w:space="0" w:color="auto"/>
                      </w:divBdr>
                      <w:divsChild>
                        <w:div w:id="1573467218">
                          <w:marLeft w:val="0"/>
                          <w:marRight w:val="0"/>
                          <w:marTop w:val="0"/>
                          <w:marBottom w:val="0"/>
                          <w:divBdr>
                            <w:top w:val="none" w:sz="0" w:space="0" w:color="auto"/>
                            <w:left w:val="none" w:sz="0" w:space="0" w:color="auto"/>
                            <w:bottom w:val="none" w:sz="0" w:space="0" w:color="auto"/>
                            <w:right w:val="none" w:sz="0" w:space="0" w:color="auto"/>
                          </w:divBdr>
                          <w:divsChild>
                            <w:div w:id="513375757">
                              <w:marLeft w:val="0"/>
                              <w:marRight w:val="0"/>
                              <w:marTop w:val="0"/>
                              <w:marBottom w:val="0"/>
                              <w:divBdr>
                                <w:top w:val="none" w:sz="0" w:space="0" w:color="auto"/>
                                <w:left w:val="none" w:sz="0" w:space="0" w:color="auto"/>
                                <w:bottom w:val="none" w:sz="0" w:space="0" w:color="auto"/>
                                <w:right w:val="none" w:sz="0" w:space="0" w:color="auto"/>
                              </w:divBdr>
                              <w:divsChild>
                                <w:div w:id="616642024">
                                  <w:marLeft w:val="0"/>
                                  <w:marRight w:val="0"/>
                                  <w:marTop w:val="0"/>
                                  <w:marBottom w:val="300"/>
                                  <w:divBdr>
                                    <w:top w:val="none" w:sz="0" w:space="0" w:color="auto"/>
                                    <w:left w:val="none" w:sz="0" w:space="0" w:color="auto"/>
                                    <w:bottom w:val="none" w:sz="0" w:space="0" w:color="auto"/>
                                    <w:right w:val="none" w:sz="0" w:space="0" w:color="auto"/>
                                  </w:divBdr>
                                  <w:divsChild>
                                    <w:div w:id="1897278858">
                                      <w:marLeft w:val="0"/>
                                      <w:marRight w:val="0"/>
                                      <w:marTop w:val="0"/>
                                      <w:marBottom w:val="0"/>
                                      <w:divBdr>
                                        <w:top w:val="none" w:sz="0" w:space="0" w:color="auto"/>
                                        <w:left w:val="none" w:sz="0" w:space="0" w:color="auto"/>
                                        <w:bottom w:val="none" w:sz="0" w:space="0" w:color="auto"/>
                                        <w:right w:val="none" w:sz="0" w:space="0" w:color="auto"/>
                                      </w:divBdr>
                                      <w:divsChild>
                                        <w:div w:id="394397859">
                                          <w:marLeft w:val="0"/>
                                          <w:marRight w:val="0"/>
                                          <w:marTop w:val="0"/>
                                          <w:marBottom w:val="0"/>
                                          <w:divBdr>
                                            <w:top w:val="none" w:sz="0" w:space="0" w:color="auto"/>
                                            <w:left w:val="none" w:sz="0" w:space="0" w:color="auto"/>
                                            <w:bottom w:val="none" w:sz="0" w:space="0" w:color="auto"/>
                                            <w:right w:val="none" w:sz="0" w:space="0" w:color="auto"/>
                                          </w:divBdr>
                                          <w:divsChild>
                                            <w:div w:id="171064992">
                                              <w:marLeft w:val="0"/>
                                              <w:marRight w:val="0"/>
                                              <w:marTop w:val="0"/>
                                              <w:marBottom w:val="0"/>
                                              <w:divBdr>
                                                <w:top w:val="none" w:sz="0" w:space="0" w:color="auto"/>
                                                <w:left w:val="none" w:sz="0" w:space="0" w:color="auto"/>
                                                <w:bottom w:val="none" w:sz="0" w:space="0" w:color="auto"/>
                                                <w:right w:val="none" w:sz="0" w:space="0" w:color="auto"/>
                                              </w:divBdr>
                                              <w:divsChild>
                                                <w:div w:id="1747461009">
                                                  <w:marLeft w:val="0"/>
                                                  <w:marRight w:val="0"/>
                                                  <w:marTop w:val="0"/>
                                                  <w:marBottom w:val="0"/>
                                                  <w:divBdr>
                                                    <w:top w:val="none" w:sz="0" w:space="0" w:color="auto"/>
                                                    <w:left w:val="none" w:sz="0" w:space="0" w:color="auto"/>
                                                    <w:bottom w:val="none" w:sz="0" w:space="0" w:color="auto"/>
                                                    <w:right w:val="none" w:sz="0" w:space="0" w:color="auto"/>
                                                  </w:divBdr>
                                                  <w:divsChild>
                                                    <w:div w:id="288828492">
                                                      <w:marLeft w:val="0"/>
                                                      <w:marRight w:val="0"/>
                                                      <w:marTop w:val="0"/>
                                                      <w:marBottom w:val="0"/>
                                                      <w:divBdr>
                                                        <w:top w:val="none" w:sz="0" w:space="0" w:color="auto"/>
                                                        <w:left w:val="none" w:sz="0" w:space="0" w:color="auto"/>
                                                        <w:bottom w:val="none" w:sz="0" w:space="0" w:color="auto"/>
                                                        <w:right w:val="none" w:sz="0" w:space="0" w:color="auto"/>
                                                      </w:divBdr>
                                                      <w:divsChild>
                                                        <w:div w:id="1126847981">
                                                          <w:marLeft w:val="0"/>
                                                          <w:marRight w:val="0"/>
                                                          <w:marTop w:val="0"/>
                                                          <w:marBottom w:val="0"/>
                                                          <w:divBdr>
                                                            <w:top w:val="none" w:sz="0" w:space="0" w:color="auto"/>
                                                            <w:left w:val="none" w:sz="0" w:space="0" w:color="auto"/>
                                                            <w:bottom w:val="none" w:sz="0" w:space="0" w:color="auto"/>
                                                            <w:right w:val="none" w:sz="0" w:space="0" w:color="auto"/>
                                                          </w:divBdr>
                                                          <w:divsChild>
                                                            <w:div w:id="750080791">
                                                              <w:marLeft w:val="0"/>
                                                              <w:marRight w:val="0"/>
                                                              <w:marTop w:val="0"/>
                                                              <w:marBottom w:val="0"/>
                                                              <w:divBdr>
                                                                <w:top w:val="none" w:sz="0" w:space="0" w:color="auto"/>
                                                                <w:left w:val="none" w:sz="0" w:space="0" w:color="auto"/>
                                                                <w:bottom w:val="none" w:sz="0" w:space="0" w:color="auto"/>
                                                                <w:right w:val="none" w:sz="0" w:space="0" w:color="auto"/>
                                                              </w:divBdr>
                                                              <w:divsChild>
                                                                <w:div w:id="448668202">
                                                                  <w:marLeft w:val="0"/>
                                                                  <w:marRight w:val="0"/>
                                                                  <w:marTop w:val="0"/>
                                                                  <w:marBottom w:val="0"/>
                                                                  <w:divBdr>
                                                                    <w:top w:val="none" w:sz="0" w:space="0" w:color="auto"/>
                                                                    <w:left w:val="none" w:sz="0" w:space="0" w:color="auto"/>
                                                                    <w:bottom w:val="none" w:sz="0" w:space="0" w:color="auto"/>
                                                                    <w:right w:val="none" w:sz="0" w:space="0" w:color="auto"/>
                                                                  </w:divBdr>
                                                                  <w:divsChild>
                                                                    <w:div w:id="1878353644">
                                                                      <w:marLeft w:val="810"/>
                                                                      <w:marRight w:val="81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4010722">
      <w:bodyDiv w:val="1"/>
      <w:marLeft w:val="0"/>
      <w:marRight w:val="0"/>
      <w:marTop w:val="0"/>
      <w:marBottom w:val="0"/>
      <w:divBdr>
        <w:top w:val="none" w:sz="0" w:space="0" w:color="auto"/>
        <w:left w:val="none" w:sz="0" w:space="0" w:color="auto"/>
        <w:bottom w:val="none" w:sz="0" w:space="0" w:color="auto"/>
        <w:right w:val="none" w:sz="0" w:space="0" w:color="auto"/>
      </w:divBdr>
      <w:divsChild>
        <w:div w:id="1480995456">
          <w:marLeft w:val="0"/>
          <w:marRight w:val="0"/>
          <w:marTop w:val="0"/>
          <w:marBottom w:val="0"/>
          <w:divBdr>
            <w:top w:val="none" w:sz="0" w:space="0" w:color="auto"/>
            <w:left w:val="none" w:sz="0" w:space="0" w:color="auto"/>
            <w:bottom w:val="none" w:sz="0" w:space="0" w:color="auto"/>
            <w:right w:val="none" w:sz="0" w:space="0" w:color="auto"/>
          </w:divBdr>
          <w:divsChild>
            <w:div w:id="1559245860">
              <w:marLeft w:val="0"/>
              <w:marRight w:val="0"/>
              <w:marTop w:val="0"/>
              <w:marBottom w:val="0"/>
              <w:divBdr>
                <w:top w:val="none" w:sz="0" w:space="0" w:color="auto"/>
                <w:left w:val="none" w:sz="0" w:space="0" w:color="auto"/>
                <w:bottom w:val="none" w:sz="0" w:space="0" w:color="auto"/>
                <w:right w:val="none" w:sz="0" w:space="0" w:color="auto"/>
              </w:divBdr>
              <w:divsChild>
                <w:div w:id="2052881189">
                  <w:marLeft w:val="0"/>
                  <w:marRight w:val="0"/>
                  <w:marTop w:val="0"/>
                  <w:marBottom w:val="0"/>
                  <w:divBdr>
                    <w:top w:val="none" w:sz="0" w:space="0" w:color="auto"/>
                    <w:left w:val="none" w:sz="0" w:space="0" w:color="auto"/>
                    <w:bottom w:val="none" w:sz="0" w:space="0" w:color="auto"/>
                    <w:right w:val="none" w:sz="0" w:space="0" w:color="auto"/>
                  </w:divBdr>
                  <w:divsChild>
                    <w:div w:id="1017078801">
                      <w:marLeft w:val="-150"/>
                      <w:marRight w:val="-150"/>
                      <w:marTop w:val="0"/>
                      <w:marBottom w:val="0"/>
                      <w:divBdr>
                        <w:top w:val="none" w:sz="0" w:space="0" w:color="auto"/>
                        <w:left w:val="none" w:sz="0" w:space="0" w:color="auto"/>
                        <w:bottom w:val="none" w:sz="0" w:space="0" w:color="auto"/>
                        <w:right w:val="none" w:sz="0" w:space="0" w:color="auto"/>
                      </w:divBdr>
                      <w:divsChild>
                        <w:div w:id="1919634676">
                          <w:marLeft w:val="0"/>
                          <w:marRight w:val="0"/>
                          <w:marTop w:val="0"/>
                          <w:marBottom w:val="0"/>
                          <w:divBdr>
                            <w:top w:val="none" w:sz="0" w:space="0" w:color="auto"/>
                            <w:left w:val="none" w:sz="0" w:space="0" w:color="auto"/>
                            <w:bottom w:val="none" w:sz="0" w:space="0" w:color="auto"/>
                            <w:right w:val="none" w:sz="0" w:space="0" w:color="auto"/>
                          </w:divBdr>
                          <w:divsChild>
                            <w:div w:id="1905605499">
                              <w:marLeft w:val="0"/>
                              <w:marRight w:val="0"/>
                              <w:marTop w:val="0"/>
                              <w:marBottom w:val="0"/>
                              <w:divBdr>
                                <w:top w:val="none" w:sz="0" w:space="0" w:color="auto"/>
                                <w:left w:val="none" w:sz="0" w:space="0" w:color="auto"/>
                                <w:bottom w:val="none" w:sz="0" w:space="0" w:color="auto"/>
                                <w:right w:val="none" w:sz="0" w:space="0" w:color="auto"/>
                              </w:divBdr>
                              <w:divsChild>
                                <w:div w:id="1744334001">
                                  <w:marLeft w:val="0"/>
                                  <w:marRight w:val="0"/>
                                  <w:marTop w:val="0"/>
                                  <w:marBottom w:val="300"/>
                                  <w:divBdr>
                                    <w:top w:val="none" w:sz="0" w:space="0" w:color="auto"/>
                                    <w:left w:val="none" w:sz="0" w:space="0" w:color="auto"/>
                                    <w:bottom w:val="none" w:sz="0" w:space="0" w:color="auto"/>
                                    <w:right w:val="none" w:sz="0" w:space="0" w:color="auto"/>
                                  </w:divBdr>
                                  <w:divsChild>
                                    <w:div w:id="1936207314">
                                      <w:marLeft w:val="0"/>
                                      <w:marRight w:val="0"/>
                                      <w:marTop w:val="0"/>
                                      <w:marBottom w:val="0"/>
                                      <w:divBdr>
                                        <w:top w:val="none" w:sz="0" w:space="0" w:color="auto"/>
                                        <w:left w:val="none" w:sz="0" w:space="0" w:color="auto"/>
                                        <w:bottom w:val="none" w:sz="0" w:space="0" w:color="auto"/>
                                        <w:right w:val="none" w:sz="0" w:space="0" w:color="auto"/>
                                      </w:divBdr>
                                      <w:divsChild>
                                        <w:div w:id="1120954088">
                                          <w:marLeft w:val="0"/>
                                          <w:marRight w:val="0"/>
                                          <w:marTop w:val="0"/>
                                          <w:marBottom w:val="0"/>
                                          <w:divBdr>
                                            <w:top w:val="none" w:sz="0" w:space="0" w:color="auto"/>
                                            <w:left w:val="none" w:sz="0" w:space="0" w:color="auto"/>
                                            <w:bottom w:val="none" w:sz="0" w:space="0" w:color="auto"/>
                                            <w:right w:val="none" w:sz="0" w:space="0" w:color="auto"/>
                                          </w:divBdr>
                                          <w:divsChild>
                                            <w:div w:id="1075782196">
                                              <w:marLeft w:val="0"/>
                                              <w:marRight w:val="0"/>
                                              <w:marTop w:val="0"/>
                                              <w:marBottom w:val="0"/>
                                              <w:divBdr>
                                                <w:top w:val="none" w:sz="0" w:space="0" w:color="auto"/>
                                                <w:left w:val="none" w:sz="0" w:space="0" w:color="auto"/>
                                                <w:bottom w:val="none" w:sz="0" w:space="0" w:color="auto"/>
                                                <w:right w:val="none" w:sz="0" w:space="0" w:color="auto"/>
                                              </w:divBdr>
                                              <w:divsChild>
                                                <w:div w:id="1344478772">
                                                  <w:marLeft w:val="0"/>
                                                  <w:marRight w:val="0"/>
                                                  <w:marTop w:val="0"/>
                                                  <w:marBottom w:val="0"/>
                                                  <w:divBdr>
                                                    <w:top w:val="none" w:sz="0" w:space="0" w:color="auto"/>
                                                    <w:left w:val="none" w:sz="0" w:space="0" w:color="auto"/>
                                                    <w:bottom w:val="none" w:sz="0" w:space="0" w:color="auto"/>
                                                    <w:right w:val="none" w:sz="0" w:space="0" w:color="auto"/>
                                                  </w:divBdr>
                                                  <w:divsChild>
                                                    <w:div w:id="1002004782">
                                                      <w:marLeft w:val="0"/>
                                                      <w:marRight w:val="0"/>
                                                      <w:marTop w:val="0"/>
                                                      <w:marBottom w:val="0"/>
                                                      <w:divBdr>
                                                        <w:top w:val="none" w:sz="0" w:space="0" w:color="auto"/>
                                                        <w:left w:val="none" w:sz="0" w:space="0" w:color="auto"/>
                                                        <w:bottom w:val="none" w:sz="0" w:space="0" w:color="auto"/>
                                                        <w:right w:val="none" w:sz="0" w:space="0" w:color="auto"/>
                                                      </w:divBdr>
                                                      <w:divsChild>
                                                        <w:div w:id="118693088">
                                                          <w:marLeft w:val="0"/>
                                                          <w:marRight w:val="0"/>
                                                          <w:marTop w:val="0"/>
                                                          <w:marBottom w:val="0"/>
                                                          <w:divBdr>
                                                            <w:top w:val="none" w:sz="0" w:space="0" w:color="auto"/>
                                                            <w:left w:val="none" w:sz="0" w:space="0" w:color="auto"/>
                                                            <w:bottom w:val="none" w:sz="0" w:space="0" w:color="auto"/>
                                                            <w:right w:val="none" w:sz="0" w:space="0" w:color="auto"/>
                                                          </w:divBdr>
                                                          <w:divsChild>
                                                            <w:div w:id="728842361">
                                                              <w:marLeft w:val="0"/>
                                                              <w:marRight w:val="0"/>
                                                              <w:marTop w:val="0"/>
                                                              <w:marBottom w:val="0"/>
                                                              <w:divBdr>
                                                                <w:top w:val="none" w:sz="0" w:space="0" w:color="auto"/>
                                                                <w:left w:val="none" w:sz="0" w:space="0" w:color="auto"/>
                                                                <w:bottom w:val="none" w:sz="0" w:space="0" w:color="auto"/>
                                                                <w:right w:val="none" w:sz="0" w:space="0" w:color="auto"/>
                                                              </w:divBdr>
                                                              <w:divsChild>
                                                                <w:div w:id="4665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B3611C8-3C11-400C-910C-F350DDDF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6</Pages>
  <Words>1436</Words>
  <Characters>8147</Characters>
  <Application>Microsoft Office Word</Application>
  <DocSecurity>0</DocSecurity>
  <Lines>177</Lines>
  <Paragraphs>77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Nathalie.NATHON@ec.europa.eu</dc:creator>
  <cp:lastModifiedBy>WES PDFC Administrator</cp:lastModifiedBy>
  <cp:revision>8</cp:revision>
  <cp:lastPrinted>2019-01-17T13:35:00Z</cp:lastPrinted>
  <dcterms:created xsi:type="dcterms:W3CDTF">2019-03-27T14:32:00Z</dcterms:created>
  <dcterms:modified xsi:type="dcterms:W3CDTF">2019-04-03T12:21:00Z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Yellow (DQC version 03)</vt:lpwstr>
  </property>
</Properties>
</file>