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9C7C2F2-3279-48D2-AD72-CD13EF5C84E7" style="width:450.75pt;height:45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w:t>
      </w:r>
    </w:p>
    <w:p>
      <w:pPr>
        <w:rPr>
          <w:b/>
          <w:noProof/>
          <w:lang w:val="en"/>
        </w:rPr>
      </w:pPr>
      <w:r>
        <w:rPr>
          <w:b/>
          <w:noProof/>
          <w:lang w:val="en"/>
        </w:rPr>
        <w:t xml:space="preserve">DECISION NO 1. of the EU-KOREA WORKING GROUP ON GEOGRAPHICAL INDICATIONS </w:t>
      </w:r>
    </w:p>
    <w:p>
      <w:pPr>
        <w:jc w:val="center"/>
        <w:rPr>
          <w:b/>
          <w:noProof/>
          <w:lang w:val="en"/>
        </w:rPr>
      </w:pPr>
      <w:r>
        <w:rPr>
          <w:b/>
          <w:noProof/>
          <w:lang w:val="en"/>
        </w:rPr>
        <w:t>of 30 May 2018</w:t>
      </w:r>
    </w:p>
    <w:p>
      <w:pPr>
        <w:jc w:val="center"/>
        <w:rPr>
          <w:b/>
          <w:noProof/>
          <w:lang w:val="en"/>
        </w:rPr>
      </w:pPr>
      <w:r>
        <w:rPr>
          <w:b/>
          <w:noProof/>
          <w:lang w:val="en"/>
        </w:rPr>
        <w:t>adopting its rules of procedure</w:t>
      </w:r>
    </w:p>
    <w:p>
      <w:pPr>
        <w:rPr>
          <w:b/>
          <w:noProof/>
          <w:lang w:val="en"/>
        </w:rPr>
      </w:pPr>
      <w:r>
        <w:rPr>
          <w:b/>
          <w:noProof/>
          <w:lang w:val="en"/>
        </w:rPr>
        <w:t>THE EU-KOREA WORKING GROUP ON GEOGRAPHICAL INDICATIONS,</w:t>
      </w:r>
    </w:p>
    <w:p>
      <w:pPr>
        <w:rPr>
          <w:noProof/>
          <w:lang w:val="en"/>
        </w:rPr>
      </w:pPr>
      <w:r>
        <w:rPr>
          <w:noProof/>
          <w:lang w:val="en"/>
        </w:rPr>
        <w:t>Having regard to the Free Trade Agreement between the European Union and its Member States, of the one part, and the Republic of Korea, of the other part</w:t>
      </w:r>
      <w:r>
        <w:rPr>
          <w:rStyle w:val="FootnoteReference"/>
          <w:noProof/>
          <w:lang w:val="en"/>
        </w:rPr>
        <w:footnoteReference w:id="1"/>
      </w:r>
      <w:r>
        <w:rPr>
          <w:noProof/>
          <w:lang w:val="en"/>
        </w:rPr>
        <w:t xml:space="preserve">  (hereinafter referred to as ‘the Agreement’),</w:t>
      </w:r>
    </w:p>
    <w:p>
      <w:pPr>
        <w:rPr>
          <w:noProof/>
        </w:rPr>
      </w:pPr>
      <w:r>
        <w:rPr>
          <w:noProof/>
          <w:lang w:val="en"/>
        </w:rPr>
        <w:t>Having regard to Decision No 1 of the EU-Korea Trade Committee of 23 December 2011 on the adoption of the rules of procedure of the Trade Committee</w:t>
      </w:r>
      <w:r>
        <w:rPr>
          <w:rStyle w:val="FootnoteReference"/>
          <w:noProof/>
          <w:lang w:val="en"/>
        </w:rPr>
        <w:footnoteReference w:id="2"/>
      </w:r>
      <w:r>
        <w:rPr>
          <w:noProof/>
          <w:lang w:val="en"/>
        </w:rPr>
        <w:t>, and in particular Article 15.4 of the Annex thereto,</w:t>
      </w:r>
      <w:r>
        <w:rPr>
          <w:noProof/>
        </w:rPr>
        <w:t xml:space="preserve"> </w:t>
      </w:r>
    </w:p>
    <w:p>
      <w:pPr>
        <w:rPr>
          <w:noProof/>
          <w:lang w:val="en"/>
        </w:rPr>
      </w:pPr>
      <w:r>
        <w:rPr>
          <w:noProof/>
          <w:lang w:val="en"/>
        </w:rPr>
        <w:t>Whereas:</w:t>
      </w:r>
    </w:p>
    <w:p>
      <w:pPr>
        <w:rPr>
          <w:noProof/>
          <w:lang w:val="en"/>
        </w:rPr>
      </w:pPr>
      <w:r>
        <w:rPr>
          <w:noProof/>
          <w:lang w:val="en"/>
        </w:rPr>
        <w:t xml:space="preserve"> (1)</w:t>
      </w:r>
      <w:r>
        <w:rPr>
          <w:noProof/>
          <w:lang w:val="en"/>
        </w:rPr>
        <w:tab/>
        <w:t>Pursuant to Article 15.4 of the rules of procedure of the EU-Korea Trade Committee, adopted by Decision No 1 of the EU-Korea Trade Committee of 23 December 2011, each Specialised Committee and Working Group may establish its own rules of procedure which shall be reported to the Trade Committee.</w:t>
      </w:r>
    </w:p>
    <w:p>
      <w:pPr>
        <w:rPr>
          <w:noProof/>
          <w:lang w:val="en"/>
        </w:rPr>
      </w:pPr>
      <w:r>
        <w:rPr>
          <w:noProof/>
          <w:lang w:val="en"/>
        </w:rPr>
        <w:t>(2)</w:t>
      </w:r>
      <w:r>
        <w:rPr>
          <w:noProof/>
          <w:lang w:val="en"/>
        </w:rPr>
        <w:tab/>
        <w:t>Rules of procedure of the Working Group on Geographical Indications should be established,</w:t>
      </w:r>
    </w:p>
    <w:p>
      <w:pPr>
        <w:rPr>
          <w:noProof/>
          <w:lang w:val="en"/>
        </w:rPr>
      </w:pPr>
    </w:p>
    <w:p>
      <w:pPr>
        <w:rPr>
          <w:noProof/>
          <w:lang w:val="en"/>
        </w:rPr>
      </w:pPr>
      <w:r>
        <w:rPr>
          <w:noProof/>
          <w:lang w:val="en"/>
        </w:rPr>
        <w:t>HAS ADOPTED THIS DECISION:</w:t>
      </w:r>
    </w:p>
    <w:p>
      <w:pPr>
        <w:rPr>
          <w:noProof/>
          <w:lang w:val="en"/>
        </w:rPr>
      </w:pPr>
    </w:p>
    <w:p>
      <w:pPr>
        <w:jc w:val="center"/>
        <w:rPr>
          <w:i/>
          <w:noProof/>
          <w:lang w:val="en"/>
        </w:rPr>
      </w:pPr>
      <w:r>
        <w:rPr>
          <w:i/>
          <w:noProof/>
          <w:lang w:val="en"/>
        </w:rPr>
        <w:t>Article 1</w:t>
      </w:r>
    </w:p>
    <w:p>
      <w:pPr>
        <w:rPr>
          <w:noProof/>
          <w:lang w:val="en"/>
        </w:rPr>
      </w:pPr>
    </w:p>
    <w:p>
      <w:pPr>
        <w:rPr>
          <w:noProof/>
          <w:lang w:val="en"/>
        </w:rPr>
      </w:pPr>
      <w:r>
        <w:rPr>
          <w:noProof/>
          <w:lang w:val="en"/>
        </w:rPr>
        <w:t>The rules of procedure of the Working Group on Geographical Indications, as set out in the Annex, are hereby adopted.</w:t>
      </w:r>
    </w:p>
    <w:p>
      <w:pPr>
        <w:rPr>
          <w:noProof/>
          <w:lang w:val="en"/>
        </w:rPr>
      </w:pPr>
    </w:p>
    <w:p>
      <w:pPr>
        <w:jc w:val="center"/>
        <w:rPr>
          <w:i/>
          <w:noProof/>
          <w:lang w:val="en"/>
        </w:rPr>
      </w:pPr>
      <w:r>
        <w:rPr>
          <w:i/>
          <w:noProof/>
          <w:lang w:val="en"/>
        </w:rPr>
        <w:t>Article 2</w:t>
      </w:r>
    </w:p>
    <w:p>
      <w:pPr>
        <w:rPr>
          <w:noProof/>
          <w:lang w:val="en"/>
        </w:rPr>
      </w:pPr>
    </w:p>
    <w:p>
      <w:pPr>
        <w:rPr>
          <w:noProof/>
          <w:lang w:val="en"/>
        </w:rPr>
      </w:pPr>
      <w:r>
        <w:rPr>
          <w:noProof/>
          <w:lang w:val="en"/>
        </w:rPr>
        <w:t>This Decision shall enter into force on the date of its adoption.</w:t>
      </w:r>
    </w:p>
    <w:p>
      <w:pPr>
        <w:rPr>
          <w:noProof/>
          <w:lang w:val="en"/>
        </w:rPr>
      </w:pPr>
    </w:p>
    <w:p>
      <w:pPr>
        <w:rPr>
          <w:noProof/>
          <w:lang w:val="en"/>
        </w:rPr>
      </w:pPr>
    </w:p>
    <w:p>
      <w:pPr>
        <w:rPr>
          <w:noProof/>
          <w:lang w:val="en"/>
        </w:rPr>
      </w:pPr>
      <w:r>
        <w:rPr>
          <w:noProof/>
          <w:lang w:val="en"/>
        </w:rPr>
        <w:t>Done at …,</w:t>
      </w:r>
    </w:p>
    <w:p>
      <w:pPr>
        <w:rPr>
          <w:noProof/>
          <w:lang w:val="en"/>
        </w:rPr>
      </w:pPr>
    </w:p>
    <w:p>
      <w:pPr>
        <w:rPr>
          <w:i/>
          <w:noProof/>
        </w:rPr>
      </w:pPr>
      <w:r>
        <w:rPr>
          <w:i/>
          <w:noProof/>
        </w:rPr>
        <w:t xml:space="preserve">For the </w:t>
      </w:r>
      <w:r>
        <w:rPr>
          <w:noProof/>
        </w:rPr>
        <w:t>Working</w:t>
      </w:r>
      <w:r>
        <w:rPr>
          <w:i/>
          <w:noProof/>
        </w:rPr>
        <w:t xml:space="preserve"> Group on Geographical Indications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622"/>
      </w:tblGrid>
      <w:tr>
        <w:tc>
          <w:tcPr>
            <w:tcW w:w="4417" w:type="dxa"/>
            <w:shd w:val="clear" w:color="auto" w:fill="auto"/>
          </w:tcPr>
          <w:p>
            <w:pPr>
              <w:pStyle w:val="Institutionquiagit"/>
              <w:rPr>
                <w:i/>
                <w:iCs/>
                <w:noProof/>
              </w:rPr>
            </w:pPr>
            <w:r>
              <w:rPr>
                <w:i/>
                <w:iCs/>
                <w:noProof/>
              </w:rPr>
              <w:t xml:space="preserve">Team Leader  </w:t>
            </w:r>
          </w:p>
          <w:p>
            <w:pPr>
              <w:pStyle w:val="Institutionquiagit"/>
              <w:rPr>
                <w:i/>
                <w:iCs/>
                <w:noProof/>
              </w:rPr>
            </w:pPr>
            <w:r>
              <w:rPr>
                <w:i/>
                <w:iCs/>
                <w:noProof/>
              </w:rPr>
              <w:t>Ministry of Trade, Industry and Energy of the Republic of Korea</w:t>
            </w:r>
          </w:p>
          <w:p>
            <w:pPr>
              <w:pStyle w:val="Institutionquiagit"/>
              <w:rPr>
                <w:noProof/>
              </w:rPr>
            </w:pPr>
            <w:r>
              <w:rPr>
                <w:i/>
                <w:iCs/>
                <w:noProof/>
              </w:rPr>
              <w:t>Co-chair of the Working Group on Geographical Indications</w:t>
            </w:r>
          </w:p>
        </w:tc>
        <w:tc>
          <w:tcPr>
            <w:tcW w:w="4622" w:type="dxa"/>
            <w:shd w:val="clear" w:color="auto" w:fill="auto"/>
          </w:tcPr>
          <w:p>
            <w:pPr>
              <w:pStyle w:val="Institutionquiagit"/>
              <w:rPr>
                <w:i/>
                <w:iCs/>
                <w:noProof/>
              </w:rPr>
            </w:pPr>
            <w:r>
              <w:rPr>
                <w:i/>
                <w:iCs/>
                <w:noProof/>
              </w:rPr>
              <w:t xml:space="preserve">Head of Unit </w:t>
            </w:r>
          </w:p>
          <w:p>
            <w:pPr>
              <w:pStyle w:val="Institutionquiagit"/>
              <w:rPr>
                <w:i/>
                <w:iCs/>
                <w:noProof/>
              </w:rPr>
            </w:pPr>
            <w:r>
              <w:rPr>
                <w:i/>
                <w:iCs/>
                <w:noProof/>
              </w:rPr>
              <w:t>Directorate-General for Agriculture and Rural Development of the European Commission</w:t>
            </w:r>
          </w:p>
          <w:p>
            <w:pPr>
              <w:pStyle w:val="Institutionquiagit"/>
              <w:rPr>
                <w:i/>
                <w:iCs/>
                <w:noProof/>
              </w:rPr>
            </w:pPr>
            <w:r>
              <w:rPr>
                <w:i/>
                <w:iCs/>
                <w:noProof/>
              </w:rPr>
              <w:t>Co-chair of the Working Group on Geographical Indications</w:t>
            </w:r>
          </w:p>
        </w:tc>
      </w:tr>
    </w:tbl>
    <w:p>
      <w:pPr>
        <w:rPr>
          <w:noProof/>
        </w:rPr>
      </w:pPr>
    </w:p>
    <w:p>
      <w:pPr>
        <w:rPr>
          <w:noProof/>
          <w:lang w:val="en"/>
        </w:rPr>
      </w:pPr>
    </w:p>
    <w:p>
      <w:pPr>
        <w:pStyle w:val="NormalCentered"/>
        <w:rPr>
          <w:b/>
          <w:noProof/>
        </w:rPr>
      </w:pPr>
      <w:r>
        <w:rPr>
          <w:b/>
          <w:noProof/>
        </w:rPr>
        <w:t>ANNEX</w:t>
      </w:r>
    </w:p>
    <w:p>
      <w:pPr>
        <w:rPr>
          <w:noProof/>
        </w:rPr>
      </w:pPr>
    </w:p>
    <w:p>
      <w:pPr>
        <w:spacing w:before="0" w:after="240"/>
        <w:jc w:val="center"/>
        <w:rPr>
          <w:rFonts w:eastAsia="Malgun Gothic"/>
          <w:noProof/>
          <w:szCs w:val="20"/>
        </w:rPr>
      </w:pPr>
    </w:p>
    <w:p>
      <w:pPr>
        <w:spacing w:before="0" w:after="240"/>
        <w:jc w:val="center"/>
        <w:rPr>
          <w:rFonts w:eastAsia="Malgun Gothic"/>
          <w:noProof/>
          <w:szCs w:val="20"/>
        </w:rPr>
      </w:pPr>
      <w:r>
        <w:rPr>
          <w:rFonts w:eastAsia="Malgun Gothic"/>
          <w:noProof/>
          <w:szCs w:val="20"/>
        </w:rPr>
        <w:t>RULES OF PROCEDURE OF THE WORKING GROUP ON GEOGRAPHICAL INDICATIONS</w:t>
      </w:r>
    </w:p>
    <w:p>
      <w:pPr>
        <w:keepNext/>
        <w:spacing w:before="360" w:line="360" w:lineRule="auto"/>
        <w:jc w:val="center"/>
        <w:rPr>
          <w:rFonts w:eastAsia="Malgun Gothic"/>
          <w:i/>
          <w:noProof/>
          <w:szCs w:val="24"/>
        </w:rPr>
      </w:pPr>
      <w:r>
        <w:rPr>
          <w:rFonts w:eastAsia="Malgun Gothic"/>
          <w:i/>
          <w:noProof/>
          <w:szCs w:val="24"/>
        </w:rPr>
        <w:t>Article 1</w:t>
      </w:r>
      <w:r>
        <w:rPr>
          <w:rFonts w:eastAsia="Malgun Gothic"/>
          <w:i/>
          <w:noProof/>
          <w:szCs w:val="24"/>
        </w:rPr>
        <w:br/>
      </w:r>
      <w:r>
        <w:rPr>
          <w:rFonts w:eastAsia="Malgun Gothic"/>
          <w:b/>
          <w:noProof/>
          <w:szCs w:val="24"/>
        </w:rPr>
        <w:t>Composition and Chair</w:t>
      </w:r>
    </w:p>
    <w:p>
      <w:pPr>
        <w:pStyle w:val="Point0number"/>
        <w:numPr>
          <w:ilvl w:val="0"/>
          <w:numId w:val="18"/>
        </w:numPr>
        <w:rPr>
          <w:noProof/>
        </w:rPr>
      </w:pPr>
      <w:r>
        <w:rPr>
          <w:noProof/>
        </w:rPr>
        <w:t>The Working Group on Geographical Indications (‘the GI Working Group’) established pursuant to point (g) of Article 15.3(1) of the Free Trade Agreement between the European Union and its Member States, of the one part, and the Republic of Korea, of the other part (‘the Agreement’) shall perform its duties as provided for in Article 10.25 of the Agreement.</w:t>
      </w:r>
    </w:p>
    <w:p>
      <w:pPr>
        <w:pStyle w:val="Point0number"/>
        <w:rPr>
          <w:noProof/>
        </w:rPr>
      </w:pPr>
      <w:r>
        <w:rPr>
          <w:noProof/>
        </w:rPr>
        <w:t>The GI Working Group shall be composed of representatives of the Republic of Korea (‘Korea’) on the one hand, and representatives of the European Union, on the other hand.</w:t>
      </w:r>
    </w:p>
    <w:p>
      <w:pPr>
        <w:pStyle w:val="Point0number"/>
        <w:rPr>
          <w:noProof/>
        </w:rPr>
      </w:pPr>
      <w:r>
        <w:rPr>
          <w:noProof/>
        </w:rPr>
        <w:t xml:space="preserve">Pursuant to Article 15.3(3) of the Agreement, the GI Working Group shall be co-chaired by representatives of Korea and the European Union. </w:t>
      </w:r>
    </w:p>
    <w:p>
      <w:pPr>
        <w:pStyle w:val="Point0number"/>
        <w:rPr>
          <w:noProof/>
          <w:lang w:eastAsia="ko-KR"/>
        </w:rPr>
      </w:pPr>
      <w:r>
        <w:rPr>
          <w:noProof/>
        </w:rPr>
        <w:t>Each co-chair may delegate all or any of the functions of co-chair to a nominated deputy, in which case all references hereafter to the co-chair shall apply equally to the nominated deputy.</w:t>
      </w:r>
    </w:p>
    <w:p>
      <w:pPr>
        <w:pStyle w:val="Point0number"/>
        <w:rPr>
          <w:noProof/>
        </w:rPr>
      </w:pPr>
      <w:r>
        <w:rPr>
          <w:noProof/>
        </w:rPr>
        <w:t>Each co-chair shall designate a contact point for all matters relating to the GI Working Group. Those contact points shall be jointly responsible for the secretarial duties of the GI Working Group.</w:t>
      </w:r>
    </w:p>
    <w:p>
      <w:pPr>
        <w:keepNext/>
        <w:spacing w:before="360" w:line="360" w:lineRule="auto"/>
        <w:jc w:val="center"/>
        <w:rPr>
          <w:rFonts w:eastAsia="Malgun Gothic"/>
          <w:b/>
          <w:noProof/>
          <w:szCs w:val="24"/>
        </w:rPr>
      </w:pPr>
      <w:r>
        <w:rPr>
          <w:rFonts w:eastAsia="Malgun Gothic"/>
          <w:i/>
          <w:noProof/>
          <w:szCs w:val="24"/>
        </w:rPr>
        <w:t>Article 2</w:t>
      </w:r>
      <w:r>
        <w:rPr>
          <w:rFonts w:eastAsia="Malgun Gothic"/>
          <w:i/>
          <w:noProof/>
          <w:szCs w:val="24"/>
        </w:rPr>
        <w:br/>
      </w:r>
      <w:r>
        <w:rPr>
          <w:rFonts w:eastAsia="Malgun Gothic"/>
          <w:b/>
          <w:noProof/>
          <w:szCs w:val="24"/>
        </w:rPr>
        <w:t>Meetings</w:t>
      </w:r>
    </w:p>
    <w:p>
      <w:pPr>
        <w:spacing w:before="0" w:after="240"/>
        <w:ind w:left="720"/>
        <w:rPr>
          <w:rFonts w:eastAsia="Malgun Gothic"/>
          <w:noProof/>
          <w:szCs w:val="20"/>
        </w:rPr>
      </w:pPr>
      <w:r>
        <w:rPr>
          <w:rFonts w:eastAsia="Malgun Gothic"/>
          <w:noProof/>
          <w:szCs w:val="20"/>
        </w:rPr>
        <w:t xml:space="preserve">Pursuant to Article 10.25(2) of the Agreement, the location of the meeting shall alternate between the Parties. The GI Working Group shall meet at a time and a place and in a manner which may include by videoconference, mutually agreed by the Parties, but not later than 90 days after the request by either Party. </w:t>
      </w:r>
    </w:p>
    <w:p>
      <w:pPr>
        <w:keepNext/>
        <w:spacing w:before="360" w:line="360" w:lineRule="auto"/>
        <w:jc w:val="center"/>
        <w:rPr>
          <w:rFonts w:eastAsia="Malgun Gothic"/>
          <w:b/>
          <w:noProof/>
          <w:szCs w:val="24"/>
        </w:rPr>
      </w:pPr>
      <w:r>
        <w:rPr>
          <w:rFonts w:eastAsia="Malgun Gothic"/>
          <w:i/>
          <w:noProof/>
          <w:szCs w:val="24"/>
        </w:rPr>
        <w:t>Article 3</w:t>
      </w:r>
      <w:r>
        <w:rPr>
          <w:rFonts w:eastAsia="Malgun Gothic"/>
          <w:i/>
          <w:noProof/>
          <w:szCs w:val="24"/>
        </w:rPr>
        <w:br/>
      </w:r>
      <w:r>
        <w:rPr>
          <w:rFonts w:eastAsia="Malgun Gothic"/>
          <w:b/>
          <w:noProof/>
          <w:szCs w:val="24"/>
        </w:rPr>
        <w:t>Correspondence</w:t>
      </w:r>
    </w:p>
    <w:p>
      <w:pPr>
        <w:pStyle w:val="Point0number"/>
        <w:numPr>
          <w:ilvl w:val="0"/>
          <w:numId w:val="10"/>
        </w:numPr>
        <w:rPr>
          <w:noProof/>
        </w:rPr>
      </w:pPr>
      <w:r>
        <w:rPr>
          <w:noProof/>
        </w:rPr>
        <w:t xml:space="preserve">Correspondence to the Chairpersons of the GI Working Group shall be forwarded to the contact points for circulation to the members of the Working Group. </w:t>
      </w:r>
    </w:p>
    <w:p>
      <w:pPr>
        <w:pStyle w:val="Point0number"/>
        <w:numPr>
          <w:ilvl w:val="0"/>
          <w:numId w:val="10"/>
        </w:numPr>
        <w:rPr>
          <w:noProof/>
        </w:rPr>
      </w:pPr>
      <w:r>
        <w:rPr>
          <w:noProof/>
        </w:rPr>
        <w:t>Correspondence may be by any written means, including electronic mail.</w:t>
      </w:r>
    </w:p>
    <w:p>
      <w:pPr>
        <w:pStyle w:val="Point0number"/>
        <w:numPr>
          <w:ilvl w:val="0"/>
          <w:numId w:val="10"/>
        </w:numPr>
        <w:rPr>
          <w:noProof/>
        </w:rPr>
      </w:pPr>
      <w:r>
        <w:rPr>
          <w:noProof/>
        </w:rPr>
        <w:t>Pursuant to Article 15 of the Rules of Procedure of the Trade Committee, the latter shall be informed of the contact points designated by the GI Working Group. All correspondence, documents and communications including the exchange of e-mails between the contact points of the GI Working Group regarding the implementation of the Agreement shall be forwarded simultaneously to the Secretariat of the Trade Committee, the Delegation of the European Union to the Republic of Korea and the Mission of the Republic of Korea to the European Union.</w:t>
      </w:r>
    </w:p>
    <w:p>
      <w:pPr>
        <w:keepNext/>
        <w:spacing w:before="360" w:line="360" w:lineRule="auto"/>
        <w:jc w:val="center"/>
        <w:rPr>
          <w:rFonts w:eastAsia="Malgun Gothic"/>
          <w:b/>
          <w:noProof/>
          <w:szCs w:val="24"/>
        </w:rPr>
      </w:pPr>
      <w:r>
        <w:rPr>
          <w:rFonts w:eastAsia="Malgun Gothic"/>
          <w:i/>
          <w:noProof/>
          <w:szCs w:val="24"/>
        </w:rPr>
        <w:t>Article 4</w:t>
      </w:r>
      <w:r>
        <w:rPr>
          <w:rFonts w:eastAsia="Malgun Gothic"/>
          <w:i/>
          <w:noProof/>
          <w:szCs w:val="24"/>
        </w:rPr>
        <w:br/>
      </w:r>
      <w:r>
        <w:rPr>
          <w:rFonts w:eastAsia="Malgun Gothic"/>
          <w:b/>
          <w:noProof/>
          <w:szCs w:val="24"/>
        </w:rPr>
        <w:t>Agendas for the meetings</w:t>
      </w:r>
    </w:p>
    <w:p>
      <w:pPr>
        <w:pStyle w:val="Point0number"/>
        <w:numPr>
          <w:ilvl w:val="0"/>
          <w:numId w:val="11"/>
        </w:numPr>
        <w:rPr>
          <w:noProof/>
        </w:rPr>
      </w:pPr>
      <w:r>
        <w:rPr>
          <w:noProof/>
        </w:rPr>
        <w:t xml:space="preserve">A provisional agenda shall be drawn up by the contact points prior to each meeting. It shall be forwarded, together with the relevant documents, to the members of the GI Working Group including the co-chairs’ of the GI Working Group no later than seven days before the meeting. The provisional agenda may include any item covered by Article 10.25 of the Agreement. </w:t>
      </w:r>
    </w:p>
    <w:p>
      <w:pPr>
        <w:pStyle w:val="Point0number"/>
        <w:numPr>
          <w:ilvl w:val="0"/>
          <w:numId w:val="11"/>
        </w:numPr>
        <w:rPr>
          <w:noProof/>
        </w:rPr>
      </w:pPr>
      <w:r>
        <w:rPr>
          <w:noProof/>
        </w:rPr>
        <w:t xml:space="preserve">Either Party may request items covered by Article 10.25 of the Agreement to be included in the provisional agenda at least 14 days before the meeting. Those items shall be included in the provisional agenda. </w:t>
      </w:r>
    </w:p>
    <w:p>
      <w:pPr>
        <w:pStyle w:val="Point0number"/>
        <w:numPr>
          <w:ilvl w:val="0"/>
          <w:numId w:val="11"/>
        </w:numPr>
        <w:rPr>
          <w:noProof/>
        </w:rPr>
      </w:pPr>
      <w:r>
        <w:rPr>
          <w:noProof/>
        </w:rPr>
        <w:t>A last version of the provisional</w:t>
      </w:r>
      <w:r>
        <w:rPr>
          <w:i/>
          <w:noProof/>
        </w:rPr>
        <w:t xml:space="preserve"> </w:t>
      </w:r>
      <w:r>
        <w:rPr>
          <w:noProof/>
        </w:rPr>
        <w:t>agenda shall be circulated to the co-chairs at least five days before the meeting.</w:t>
      </w:r>
    </w:p>
    <w:p>
      <w:pPr>
        <w:pStyle w:val="Point0number"/>
        <w:numPr>
          <w:ilvl w:val="0"/>
          <w:numId w:val="11"/>
        </w:numPr>
        <w:rPr>
          <w:noProof/>
          <w:lang w:eastAsia="ko-KR"/>
        </w:rPr>
      </w:pPr>
      <w:r>
        <w:rPr>
          <w:noProof/>
        </w:rPr>
        <w:t>The agenda shall be adopted by the co-chairs unanimously at the beginning  of each meeting. Any item other than those appearing on the provisional agenda may be placed on the agenda if both co-chairs so agree.</w:t>
      </w:r>
    </w:p>
    <w:p>
      <w:pPr>
        <w:keepNext/>
        <w:spacing w:before="360" w:line="360" w:lineRule="auto"/>
        <w:jc w:val="center"/>
        <w:rPr>
          <w:rFonts w:eastAsia="Malgun Gothic"/>
          <w:b/>
          <w:noProof/>
          <w:szCs w:val="24"/>
          <w:lang w:eastAsia="ko-KR"/>
        </w:rPr>
      </w:pPr>
      <w:r>
        <w:rPr>
          <w:rFonts w:eastAsia="Malgun Gothic"/>
          <w:i/>
          <w:noProof/>
          <w:szCs w:val="24"/>
        </w:rPr>
        <w:t xml:space="preserve">Article </w:t>
      </w:r>
      <w:r>
        <w:rPr>
          <w:rFonts w:eastAsia="Malgun Gothic"/>
          <w:i/>
          <w:noProof/>
          <w:szCs w:val="24"/>
          <w:lang w:eastAsia="ko-KR"/>
        </w:rPr>
        <w:t>5</w:t>
      </w:r>
      <w:r>
        <w:rPr>
          <w:rFonts w:eastAsia="Malgun Gothic"/>
          <w:i/>
          <w:noProof/>
          <w:szCs w:val="24"/>
        </w:rPr>
        <w:br/>
      </w:r>
      <w:r>
        <w:rPr>
          <w:rFonts w:eastAsia="Malgun Gothic"/>
          <w:b/>
          <w:noProof/>
          <w:szCs w:val="24"/>
          <w:lang w:eastAsia="ko-KR"/>
        </w:rPr>
        <w:t>Requests for modifications of Annexes 10-A or 10-B to the Agreement</w:t>
      </w:r>
    </w:p>
    <w:p>
      <w:pPr>
        <w:pStyle w:val="Point0number"/>
        <w:numPr>
          <w:ilvl w:val="0"/>
          <w:numId w:val="12"/>
        </w:numPr>
        <w:rPr>
          <w:noProof/>
        </w:rPr>
      </w:pPr>
      <w:r>
        <w:rPr>
          <w:rFonts w:hint="eastAsia"/>
          <w:noProof/>
          <w:lang w:eastAsia="ko-KR"/>
        </w:rPr>
        <w:t xml:space="preserve">Either Party may request to add or remove individual geographical indications </w:t>
      </w:r>
      <w:r>
        <w:rPr>
          <w:noProof/>
          <w:lang w:eastAsia="ko-KR"/>
        </w:rPr>
        <w:t xml:space="preserve">from Annexes 10-A or 10-B to the Agreement with a letter </w:t>
      </w:r>
      <w:r>
        <w:rPr>
          <w:rFonts w:hint="eastAsia"/>
          <w:noProof/>
          <w:lang w:eastAsia="ko-KR"/>
        </w:rPr>
        <w:t xml:space="preserve">signed by </w:t>
      </w:r>
      <w:r>
        <w:rPr>
          <w:noProof/>
          <w:lang w:eastAsia="ko-KR"/>
        </w:rPr>
        <w:t xml:space="preserve">the </w:t>
      </w:r>
      <w:r>
        <w:rPr>
          <w:rFonts w:hint="eastAsia"/>
          <w:noProof/>
          <w:lang w:eastAsia="ko-KR"/>
        </w:rPr>
        <w:t>co-chair</w:t>
      </w:r>
      <w:r>
        <w:rPr>
          <w:noProof/>
          <w:lang w:eastAsia="ko-KR"/>
        </w:rPr>
        <w:t xml:space="preserve"> of the concerned Party</w:t>
      </w:r>
      <w:r>
        <w:rPr>
          <w:noProof/>
        </w:rPr>
        <w:t>.</w:t>
      </w:r>
    </w:p>
    <w:p>
      <w:pPr>
        <w:pStyle w:val="Point0number"/>
        <w:numPr>
          <w:ilvl w:val="0"/>
          <w:numId w:val="12"/>
        </w:numPr>
        <w:rPr>
          <w:noProof/>
        </w:rPr>
      </w:pPr>
      <w:r>
        <w:rPr>
          <w:noProof/>
        </w:rPr>
        <w:t xml:space="preserve">Pursuant to Article 10.25(1) and (3) of the Agreement, the GI Working Group may decide </w:t>
      </w:r>
      <w:r>
        <w:rPr>
          <w:bCs/>
          <w:noProof/>
        </w:rPr>
        <w:t>by consensus</w:t>
      </w:r>
      <w:r>
        <w:rPr>
          <w:noProof/>
        </w:rPr>
        <w:t xml:space="preserve"> to modify Annexes 10-A and 10-B to add individual geographical indications of the European Union or Korea after having completed the relevant procedure referred to in the Agreement. The GI Working Group may also decide </w:t>
      </w:r>
      <w:r>
        <w:rPr>
          <w:bCs/>
          <w:noProof/>
        </w:rPr>
        <w:t xml:space="preserve">by consensus </w:t>
      </w:r>
      <w:r>
        <w:rPr>
          <w:noProof/>
        </w:rPr>
        <w:t xml:space="preserve">to recommend the addition or removal of geographical indications for </w:t>
      </w:r>
      <w:r>
        <w:rPr>
          <w:bCs/>
          <w:noProof/>
        </w:rPr>
        <w:t>final decision</w:t>
      </w:r>
      <w:r>
        <w:rPr>
          <w:noProof/>
        </w:rPr>
        <w:t xml:space="preserve"> in the Trade Committee in accordance with Article 10.21(4), Article 10.24 and Article 10.25.</w:t>
      </w:r>
    </w:p>
    <w:p>
      <w:pPr>
        <w:pStyle w:val="Point0number"/>
        <w:numPr>
          <w:ilvl w:val="0"/>
          <w:numId w:val="12"/>
        </w:numPr>
        <w:rPr>
          <w:noProof/>
        </w:rPr>
      </w:pPr>
      <w:r>
        <w:rPr>
          <w:noProof/>
        </w:rPr>
        <w:t xml:space="preserve">Pursuant to Article 15.3(5) the Trade Committee may undertake the task assigned to the Working Group and decide to modify the above mentioned Annexes 10-A and 10-B. Further, pursuant to Article 15.5(2), the Trade Committee may decide to amend </w:t>
      </w:r>
      <w:r>
        <w:rPr>
          <w:noProof/>
          <w:color w:val="000000"/>
        </w:rPr>
        <w:t xml:space="preserve">Annexes 10-A and 10-B and the parties may adopt the decision subject to their respective applicable legal requirements and procedures. </w:t>
      </w:r>
    </w:p>
    <w:p>
      <w:pPr>
        <w:pStyle w:val="Point0number"/>
        <w:numPr>
          <w:ilvl w:val="0"/>
          <w:numId w:val="12"/>
        </w:numPr>
        <w:rPr>
          <w:noProof/>
        </w:rPr>
      </w:pPr>
      <w:r>
        <w:rPr>
          <w:bCs/>
          <w:noProof/>
          <w:color w:val="000000"/>
        </w:rPr>
        <w:t>T</w:t>
      </w:r>
      <w:r>
        <w:rPr>
          <w:noProof/>
        </w:rPr>
        <w:t xml:space="preserve">he parties, by deciding to modify Annexes </w:t>
      </w:r>
      <w:r>
        <w:rPr>
          <w:bCs/>
          <w:noProof/>
          <w:color w:val="000000"/>
        </w:rPr>
        <w:t>10-A and 10-B</w:t>
      </w:r>
      <w:r>
        <w:rPr>
          <w:noProof/>
        </w:rPr>
        <w:t xml:space="preserve">, </w:t>
      </w:r>
      <w:r>
        <w:rPr>
          <w:bCs/>
          <w:noProof/>
        </w:rPr>
        <w:t>shall endeavour to take due account of the respective interests</w:t>
      </w:r>
      <w:r>
        <w:rPr>
          <w:noProof/>
        </w:rPr>
        <w:t xml:space="preserve"> of both parties in respect of GIs.</w:t>
      </w:r>
    </w:p>
    <w:p>
      <w:pPr>
        <w:keepNext/>
        <w:spacing w:before="360" w:line="360" w:lineRule="auto"/>
        <w:jc w:val="center"/>
        <w:rPr>
          <w:rFonts w:eastAsia="Malgun Gothic"/>
          <w:b/>
          <w:noProof/>
          <w:szCs w:val="24"/>
        </w:rPr>
      </w:pPr>
      <w:r>
        <w:rPr>
          <w:rFonts w:eastAsia="Malgun Gothic"/>
          <w:i/>
          <w:noProof/>
          <w:szCs w:val="24"/>
        </w:rPr>
        <w:t>Article 6</w:t>
      </w:r>
      <w:r>
        <w:rPr>
          <w:rFonts w:eastAsia="Malgun Gothic"/>
          <w:i/>
          <w:noProof/>
          <w:szCs w:val="24"/>
        </w:rPr>
        <w:br/>
      </w:r>
      <w:r>
        <w:rPr>
          <w:rFonts w:eastAsia="Malgun Gothic"/>
          <w:b/>
          <w:noProof/>
          <w:szCs w:val="24"/>
        </w:rPr>
        <w:t>Decisions and Recommendations</w:t>
      </w:r>
    </w:p>
    <w:p>
      <w:pPr>
        <w:pStyle w:val="Point0number"/>
        <w:numPr>
          <w:ilvl w:val="0"/>
          <w:numId w:val="13"/>
        </w:numPr>
        <w:rPr>
          <w:noProof/>
        </w:rPr>
      </w:pPr>
      <w:r>
        <w:rPr>
          <w:noProof/>
        </w:rPr>
        <w:t xml:space="preserve">The GI Working Group shall adopt recommendations and decisions by consensus as provided for in Article 10.25 of the Agreement. </w:t>
      </w:r>
    </w:p>
    <w:p>
      <w:pPr>
        <w:pStyle w:val="Point0number"/>
        <w:numPr>
          <w:ilvl w:val="0"/>
          <w:numId w:val="13"/>
        </w:numPr>
        <w:rPr>
          <w:noProof/>
        </w:rPr>
      </w:pPr>
      <w:r>
        <w:rPr>
          <w:noProof/>
        </w:rPr>
        <w:t xml:space="preserve">The recommendations of the GI Working Group within the meaning of Article 10.25 of the Agreement shall be addressed to the Parties and shall bear the signatures of the co-chairs. </w:t>
      </w:r>
    </w:p>
    <w:p>
      <w:pPr>
        <w:pStyle w:val="Point0number"/>
        <w:numPr>
          <w:ilvl w:val="0"/>
          <w:numId w:val="13"/>
        </w:numPr>
        <w:rPr>
          <w:noProof/>
        </w:rPr>
      </w:pPr>
      <w:r>
        <w:rPr>
          <w:noProof/>
        </w:rPr>
        <w:t>The decisions of the GI Working Group within the meaning of Article 10.25 of the Agreement shall bear the signatures of the co</w:t>
      </w:r>
      <w:r>
        <w:rPr>
          <w:noProof/>
        </w:rPr>
        <w:noBreakHyphen/>
        <w:t xml:space="preserve">chairs. Each decision shall provide for the date of its entry into force. </w:t>
      </w:r>
    </w:p>
    <w:p>
      <w:pPr>
        <w:pStyle w:val="Point0number"/>
        <w:numPr>
          <w:ilvl w:val="0"/>
          <w:numId w:val="13"/>
        </w:numPr>
        <w:rPr>
          <w:noProof/>
        </w:rPr>
      </w:pPr>
      <w:r>
        <w:rPr>
          <w:noProof/>
        </w:rPr>
        <w:t>Decisions and recommendations adopted by the GI Working Group shall bear a serial number, the date of adoption and a description of their subject matter.</w:t>
      </w:r>
    </w:p>
    <w:p>
      <w:pPr>
        <w:keepNext/>
        <w:spacing w:before="360" w:line="360" w:lineRule="auto"/>
        <w:jc w:val="center"/>
        <w:rPr>
          <w:rFonts w:eastAsia="Malgun Gothic"/>
          <w:b/>
          <w:noProof/>
          <w:szCs w:val="24"/>
        </w:rPr>
      </w:pPr>
      <w:r>
        <w:rPr>
          <w:rFonts w:eastAsia="Malgun Gothic"/>
          <w:i/>
          <w:noProof/>
          <w:szCs w:val="24"/>
        </w:rPr>
        <w:t>Article 7</w:t>
      </w:r>
      <w:r>
        <w:rPr>
          <w:rFonts w:eastAsia="Malgun Gothic"/>
          <w:i/>
          <w:noProof/>
          <w:szCs w:val="24"/>
        </w:rPr>
        <w:br/>
      </w:r>
      <w:r>
        <w:rPr>
          <w:rFonts w:eastAsia="Malgun Gothic"/>
          <w:b/>
          <w:noProof/>
          <w:szCs w:val="24"/>
        </w:rPr>
        <w:t>Written procedure</w:t>
      </w:r>
    </w:p>
    <w:p>
      <w:pPr>
        <w:pStyle w:val="Point0number"/>
        <w:numPr>
          <w:ilvl w:val="0"/>
          <w:numId w:val="14"/>
        </w:numPr>
        <w:rPr>
          <w:noProof/>
        </w:rPr>
      </w:pPr>
      <w:r>
        <w:rPr>
          <w:noProof/>
        </w:rPr>
        <w:t>A recommendation or a decision of the GI Working Group may be adopted by  written procedure where both Parties agree. The written procedure shall consist of an exchange of notes between the co-chairs of the GI Working Group.</w:t>
      </w:r>
    </w:p>
    <w:p>
      <w:pPr>
        <w:pStyle w:val="Point0number"/>
        <w:numPr>
          <w:ilvl w:val="0"/>
          <w:numId w:val="14"/>
        </w:numPr>
        <w:rPr>
          <w:noProof/>
        </w:rPr>
      </w:pPr>
      <w:r>
        <w:rPr>
          <w:noProof/>
        </w:rPr>
        <w:t>The co-chair of the Party proposing the use of the written procedure shall submit the draft recommendation or decision to the co-chair of the other Party, who shall reply, indicating whether he or she accepts or does not accept the draft recommendation or decision. The co-chair of the other Party may also propose amendments or request further time for reflection. If the draft is agreed, it shall be adopted in accordance with Article 6.</w:t>
      </w:r>
    </w:p>
    <w:p>
      <w:pPr>
        <w:keepNext/>
        <w:spacing w:before="360" w:line="360" w:lineRule="auto"/>
        <w:jc w:val="center"/>
        <w:rPr>
          <w:rFonts w:eastAsia="Malgun Gothic"/>
          <w:b/>
          <w:noProof/>
          <w:szCs w:val="24"/>
        </w:rPr>
      </w:pPr>
      <w:r>
        <w:rPr>
          <w:rFonts w:eastAsia="Malgun Gothic"/>
          <w:i/>
          <w:noProof/>
          <w:szCs w:val="24"/>
        </w:rPr>
        <w:t>Article 8</w:t>
      </w:r>
      <w:r>
        <w:rPr>
          <w:rFonts w:eastAsia="Malgun Gothic"/>
          <w:i/>
          <w:noProof/>
          <w:szCs w:val="24"/>
        </w:rPr>
        <w:br/>
      </w:r>
      <w:r>
        <w:rPr>
          <w:rFonts w:eastAsia="Malgun Gothic"/>
          <w:b/>
          <w:noProof/>
          <w:szCs w:val="24"/>
        </w:rPr>
        <w:t>Minutes</w:t>
      </w:r>
    </w:p>
    <w:p>
      <w:pPr>
        <w:pStyle w:val="Point0number"/>
        <w:numPr>
          <w:ilvl w:val="0"/>
          <w:numId w:val="15"/>
        </w:numPr>
        <w:rPr>
          <w:noProof/>
        </w:rPr>
      </w:pPr>
      <w:r>
        <w:rPr>
          <w:noProof/>
        </w:rPr>
        <w:t xml:space="preserve">The draft minutes of each meeting shall be drawn up by the contact points within 21 days from the meeting. The draft minutes shall state the recommendations and decisions adopted and note any other conclusions reached. </w:t>
      </w:r>
    </w:p>
    <w:p>
      <w:pPr>
        <w:pStyle w:val="Point0number"/>
        <w:numPr>
          <w:ilvl w:val="0"/>
          <w:numId w:val="15"/>
        </w:numPr>
        <w:rPr>
          <w:noProof/>
        </w:rPr>
      </w:pPr>
      <w:r>
        <w:rPr>
          <w:noProof/>
        </w:rPr>
        <w:t>The minutes shall be approved in writing by both Parties within 28 days from the  meeting or by any other date agreed by the Parties. Once approved, two original copies shall be signed by the co-chairs. An original copy of the minutes shall be kept by each co-chair.</w:t>
      </w:r>
    </w:p>
    <w:p>
      <w:pPr>
        <w:keepNext/>
        <w:spacing w:before="360" w:line="360" w:lineRule="auto"/>
        <w:jc w:val="center"/>
        <w:rPr>
          <w:rFonts w:eastAsia="Malgun Gothic"/>
          <w:b/>
          <w:noProof/>
          <w:szCs w:val="24"/>
        </w:rPr>
      </w:pPr>
      <w:r>
        <w:rPr>
          <w:rFonts w:eastAsia="Malgun Gothic"/>
          <w:i/>
          <w:noProof/>
          <w:szCs w:val="24"/>
        </w:rPr>
        <w:t>Article 9</w:t>
      </w:r>
      <w:r>
        <w:rPr>
          <w:rFonts w:eastAsia="Malgun Gothic"/>
          <w:i/>
          <w:noProof/>
          <w:szCs w:val="24"/>
        </w:rPr>
        <w:br/>
      </w:r>
      <w:r>
        <w:rPr>
          <w:rFonts w:eastAsia="Malgun Gothic"/>
          <w:b/>
          <w:noProof/>
          <w:szCs w:val="24"/>
        </w:rPr>
        <w:t>Reports</w:t>
      </w:r>
    </w:p>
    <w:p>
      <w:pPr>
        <w:spacing w:before="0" w:after="240"/>
        <w:ind w:left="720"/>
        <w:rPr>
          <w:rFonts w:eastAsia="Malgun Gothic"/>
          <w:noProof/>
          <w:szCs w:val="20"/>
        </w:rPr>
      </w:pPr>
      <w:r>
        <w:rPr>
          <w:rFonts w:eastAsia="Malgun Gothic"/>
          <w:noProof/>
          <w:szCs w:val="20"/>
        </w:rPr>
        <w:t>The GI Working Group shall report to the Trade Committee on its activities at each regular meeting of the Trade Committee as provided for in Article 15.3(4) of the Agreement.</w:t>
      </w:r>
    </w:p>
    <w:p>
      <w:pPr>
        <w:keepNext/>
        <w:spacing w:before="360" w:line="360" w:lineRule="auto"/>
        <w:jc w:val="center"/>
        <w:rPr>
          <w:rFonts w:eastAsia="Malgun Gothic"/>
          <w:b/>
          <w:noProof/>
          <w:szCs w:val="24"/>
        </w:rPr>
      </w:pPr>
      <w:r>
        <w:rPr>
          <w:rFonts w:eastAsia="Malgun Gothic"/>
          <w:i/>
          <w:noProof/>
          <w:szCs w:val="24"/>
        </w:rPr>
        <w:t>Article 10</w:t>
      </w:r>
      <w:r>
        <w:rPr>
          <w:rFonts w:eastAsia="Malgun Gothic"/>
          <w:i/>
          <w:noProof/>
          <w:szCs w:val="24"/>
        </w:rPr>
        <w:br/>
      </w:r>
      <w:r>
        <w:rPr>
          <w:rFonts w:eastAsia="Malgun Gothic"/>
          <w:b/>
          <w:noProof/>
          <w:szCs w:val="24"/>
        </w:rPr>
        <w:t>Expenses</w:t>
      </w:r>
    </w:p>
    <w:p>
      <w:pPr>
        <w:pStyle w:val="Point0number"/>
        <w:numPr>
          <w:ilvl w:val="0"/>
          <w:numId w:val="16"/>
        </w:numPr>
        <w:rPr>
          <w:noProof/>
        </w:rPr>
      </w:pPr>
      <w:r>
        <w:rPr>
          <w:noProof/>
        </w:rPr>
        <w:t>Each Party shall bear the expenses it incurs in taking part in the meetings of the GI Working Group.</w:t>
      </w:r>
    </w:p>
    <w:p>
      <w:pPr>
        <w:pStyle w:val="Point0number"/>
        <w:numPr>
          <w:ilvl w:val="0"/>
          <w:numId w:val="16"/>
        </w:numPr>
        <w:rPr>
          <w:noProof/>
        </w:rPr>
      </w:pPr>
      <w:r>
        <w:rPr>
          <w:noProof/>
        </w:rPr>
        <w:t>Expenditure in connection with the organisation of meetings and reproduction of documents shall be borne by the Party hosting the meeting.</w:t>
      </w:r>
    </w:p>
    <w:p>
      <w:pPr>
        <w:keepNext/>
        <w:spacing w:before="360" w:line="360" w:lineRule="auto"/>
        <w:jc w:val="center"/>
        <w:rPr>
          <w:rFonts w:eastAsia="Malgun Gothic"/>
          <w:b/>
          <w:noProof/>
          <w:szCs w:val="24"/>
        </w:rPr>
      </w:pPr>
      <w:r>
        <w:rPr>
          <w:rFonts w:eastAsia="Malgun Gothic"/>
          <w:i/>
          <w:noProof/>
          <w:szCs w:val="24"/>
        </w:rPr>
        <w:t>Article 11</w:t>
      </w:r>
      <w:r>
        <w:rPr>
          <w:rFonts w:eastAsia="Malgun Gothic"/>
          <w:i/>
          <w:noProof/>
          <w:szCs w:val="24"/>
        </w:rPr>
        <w:br/>
      </w:r>
      <w:r>
        <w:rPr>
          <w:rFonts w:eastAsia="Malgun Gothic"/>
          <w:b/>
          <w:noProof/>
          <w:szCs w:val="24"/>
        </w:rPr>
        <w:t>Publicity and Confidentiality</w:t>
      </w:r>
    </w:p>
    <w:p>
      <w:pPr>
        <w:pStyle w:val="Point0number"/>
        <w:numPr>
          <w:ilvl w:val="0"/>
          <w:numId w:val="17"/>
        </w:numPr>
        <w:rPr>
          <w:noProof/>
        </w:rPr>
      </w:pPr>
      <w:r>
        <w:rPr>
          <w:noProof/>
        </w:rPr>
        <w:t>Unless otherwise decided by the co-chairs, the meetings of the GI Working Group shall not be public.</w:t>
      </w:r>
    </w:p>
    <w:p>
      <w:pPr>
        <w:pStyle w:val="Point0number"/>
        <w:numPr>
          <w:ilvl w:val="0"/>
          <w:numId w:val="17"/>
        </w:numPr>
        <w:rPr>
          <w:noProof/>
        </w:rPr>
      </w:pPr>
      <w:r>
        <w:rPr>
          <w:noProof/>
        </w:rPr>
        <w:t>When a Party submits information considered as confidential under its laws and regulations to the GI Working Group, the other Party shall treat that information as confidential as provided for in Article 15.1(7) of the Agreement.</w:t>
      </w:r>
    </w:p>
    <w:p>
      <w:pPr>
        <w:pStyle w:val="Point0number"/>
        <w:numPr>
          <w:ilvl w:val="0"/>
          <w:numId w:val="17"/>
        </w:numPr>
        <w:rPr>
          <w:noProof/>
        </w:rPr>
      </w:pPr>
      <w:r>
        <w:rPr>
          <w:noProof/>
        </w:rPr>
        <w:t>Each Party may decide on the publication of the decisions and recommendations of the GI Working Group in its respective official publication.</w:t>
      </w:r>
    </w:p>
    <w:p>
      <w:pPr>
        <w:spacing w:before="0" w:after="200" w:line="276" w:lineRule="auto"/>
        <w:jc w:val="left"/>
        <w:rPr>
          <w:rFonts w:asciiTheme="minorHAnsi" w:hAnsiTheme="minorHAnsi" w:cstheme="minorBidi"/>
          <w:noProof/>
          <w:sz w:val="22"/>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127, 14.5.2011, p. 6.</w:t>
      </w:r>
    </w:p>
  </w:footnote>
  <w:footnote w:id="2">
    <w:p>
      <w:pPr>
        <w:pStyle w:val="FootnoteText"/>
      </w:pPr>
      <w:r>
        <w:rPr>
          <w:rStyle w:val="FootnoteReference"/>
        </w:rPr>
        <w:footnoteRef/>
      </w:r>
      <w:r>
        <w:tab/>
        <w:t xml:space="preserve">OJ L 58, 1.3.2013, p.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9431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5641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6621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C86D2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C59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1854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D62F1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3E53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1"/>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6 15:01: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A9C7C2F2-3279-48D2-AD72-CD13EF5C84E7"/>
    <w:docVar w:name="LW_COVERPAGE_TYPE" w:val="1"/>
    <w:docVar w:name="LW_CROSSREFERENCE" w:val="&lt;UNUSED&gt;"/>
    <w:docVar w:name="LW_DocType" w:val="ANNEX"/>
    <w:docVar w:name="LW_EMISSION" w:val="12.4.2019"/>
    <w:docVar w:name="LW_EMISSION_ISODATE" w:val="2019-04-12"/>
    <w:docVar w:name="LW_EMISSION_LOCATION" w:val="BRX"/>
    <w:docVar w:name="LW_EMISSION_PREFIX" w:val="Brussels, "/>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taken on behalf of the European Union within the Working Group on Geographical indications set up by the Free Trade Agreement between the European Union and its Member States, of the one part, and the Republic of Korea, of the other part, as regards the adoption of its rules of procedure_x000b_"/>
    <w:docVar w:name="LW_OBJETACTEPRINCIPAL.CP" w:val="on the position to be taken on behalf of the European Union within the Working Group on Geographical indications set up by the Free Trade Agreement between the European Union and its Member States, of the one part, and the Republic of Korea, of the other part, as regards the adoption of its rules of procedure_x000b_"/>
    <w:docVar w:name="LW_PART_NBR" w:val="1"/>
    <w:docVar w:name="LW_PART_NBR_TOTAL" w:val="1"/>
    <w:docVar w:name="LW_REF.INST.NEW" w:val="COM"/>
    <w:docVar w:name="LW_REF.INST.NEW_ADOPTED" w:val="final"/>
    <w:docVar w:name="LW_REF.INST.NEW_TEXT" w:val="(2019) 1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Proposal for a _x000b__x000b_COUNCIL DECISION"/>
    <w:docVar w:name="LW_TYPEACTEPRINCIPAL.CP" w:val="Proposal for a _x000b__x000b_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Dash1">
    <w:name w:val="List Dash 1"/>
    <w:basedOn w:val="Text1"/>
    <w:pPr>
      <w:numPr>
        <w:numId w:val="9"/>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Dash1">
    <w:name w:val="List Dash 1"/>
    <w:basedOn w:val="Text1"/>
    <w:pPr>
      <w:numPr>
        <w:numId w:val="9"/>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6696">
      <w:bodyDiv w:val="1"/>
      <w:marLeft w:val="0"/>
      <w:marRight w:val="0"/>
      <w:marTop w:val="0"/>
      <w:marBottom w:val="0"/>
      <w:divBdr>
        <w:top w:val="none" w:sz="0" w:space="0" w:color="auto"/>
        <w:left w:val="none" w:sz="0" w:space="0" w:color="auto"/>
        <w:bottom w:val="none" w:sz="0" w:space="0" w:color="auto"/>
        <w:right w:val="none" w:sz="0" w:space="0" w:color="auto"/>
      </w:divBdr>
      <w:divsChild>
        <w:div w:id="978344342">
          <w:marLeft w:val="0"/>
          <w:marRight w:val="0"/>
          <w:marTop w:val="0"/>
          <w:marBottom w:val="0"/>
          <w:divBdr>
            <w:top w:val="none" w:sz="0" w:space="0" w:color="auto"/>
            <w:left w:val="none" w:sz="0" w:space="0" w:color="auto"/>
            <w:bottom w:val="none" w:sz="0" w:space="0" w:color="auto"/>
            <w:right w:val="none" w:sz="0" w:space="0" w:color="auto"/>
          </w:divBdr>
          <w:divsChild>
            <w:div w:id="1124735713">
              <w:marLeft w:val="0"/>
              <w:marRight w:val="0"/>
              <w:marTop w:val="0"/>
              <w:marBottom w:val="0"/>
              <w:divBdr>
                <w:top w:val="none" w:sz="0" w:space="0" w:color="auto"/>
                <w:left w:val="none" w:sz="0" w:space="0" w:color="auto"/>
                <w:bottom w:val="none" w:sz="0" w:space="0" w:color="auto"/>
                <w:right w:val="none" w:sz="0" w:space="0" w:color="auto"/>
              </w:divBdr>
              <w:divsChild>
                <w:div w:id="545995995">
                  <w:marLeft w:val="0"/>
                  <w:marRight w:val="0"/>
                  <w:marTop w:val="0"/>
                  <w:marBottom w:val="0"/>
                  <w:divBdr>
                    <w:top w:val="none" w:sz="0" w:space="0" w:color="auto"/>
                    <w:left w:val="none" w:sz="0" w:space="0" w:color="auto"/>
                    <w:bottom w:val="none" w:sz="0" w:space="0" w:color="auto"/>
                    <w:right w:val="none" w:sz="0" w:space="0" w:color="auto"/>
                  </w:divBdr>
                  <w:divsChild>
                    <w:div w:id="849679015">
                      <w:marLeft w:val="-150"/>
                      <w:marRight w:val="-150"/>
                      <w:marTop w:val="0"/>
                      <w:marBottom w:val="0"/>
                      <w:divBdr>
                        <w:top w:val="none" w:sz="0" w:space="0" w:color="auto"/>
                        <w:left w:val="none" w:sz="0" w:space="0" w:color="auto"/>
                        <w:bottom w:val="none" w:sz="0" w:space="0" w:color="auto"/>
                        <w:right w:val="none" w:sz="0" w:space="0" w:color="auto"/>
                      </w:divBdr>
                      <w:divsChild>
                        <w:div w:id="1573467218">
                          <w:marLeft w:val="0"/>
                          <w:marRight w:val="0"/>
                          <w:marTop w:val="0"/>
                          <w:marBottom w:val="0"/>
                          <w:divBdr>
                            <w:top w:val="none" w:sz="0" w:space="0" w:color="auto"/>
                            <w:left w:val="none" w:sz="0" w:space="0" w:color="auto"/>
                            <w:bottom w:val="none" w:sz="0" w:space="0" w:color="auto"/>
                            <w:right w:val="none" w:sz="0" w:space="0" w:color="auto"/>
                          </w:divBdr>
                          <w:divsChild>
                            <w:div w:id="513375757">
                              <w:marLeft w:val="0"/>
                              <w:marRight w:val="0"/>
                              <w:marTop w:val="0"/>
                              <w:marBottom w:val="0"/>
                              <w:divBdr>
                                <w:top w:val="none" w:sz="0" w:space="0" w:color="auto"/>
                                <w:left w:val="none" w:sz="0" w:space="0" w:color="auto"/>
                                <w:bottom w:val="none" w:sz="0" w:space="0" w:color="auto"/>
                                <w:right w:val="none" w:sz="0" w:space="0" w:color="auto"/>
                              </w:divBdr>
                              <w:divsChild>
                                <w:div w:id="616642024">
                                  <w:marLeft w:val="0"/>
                                  <w:marRight w:val="0"/>
                                  <w:marTop w:val="0"/>
                                  <w:marBottom w:val="300"/>
                                  <w:divBdr>
                                    <w:top w:val="none" w:sz="0" w:space="0" w:color="auto"/>
                                    <w:left w:val="none" w:sz="0" w:space="0" w:color="auto"/>
                                    <w:bottom w:val="none" w:sz="0" w:space="0" w:color="auto"/>
                                    <w:right w:val="none" w:sz="0" w:space="0" w:color="auto"/>
                                  </w:divBdr>
                                  <w:divsChild>
                                    <w:div w:id="1897278858">
                                      <w:marLeft w:val="0"/>
                                      <w:marRight w:val="0"/>
                                      <w:marTop w:val="0"/>
                                      <w:marBottom w:val="0"/>
                                      <w:divBdr>
                                        <w:top w:val="none" w:sz="0" w:space="0" w:color="auto"/>
                                        <w:left w:val="none" w:sz="0" w:space="0" w:color="auto"/>
                                        <w:bottom w:val="none" w:sz="0" w:space="0" w:color="auto"/>
                                        <w:right w:val="none" w:sz="0" w:space="0" w:color="auto"/>
                                      </w:divBdr>
                                      <w:divsChild>
                                        <w:div w:id="394397859">
                                          <w:marLeft w:val="0"/>
                                          <w:marRight w:val="0"/>
                                          <w:marTop w:val="0"/>
                                          <w:marBottom w:val="0"/>
                                          <w:divBdr>
                                            <w:top w:val="none" w:sz="0" w:space="0" w:color="auto"/>
                                            <w:left w:val="none" w:sz="0" w:space="0" w:color="auto"/>
                                            <w:bottom w:val="none" w:sz="0" w:space="0" w:color="auto"/>
                                            <w:right w:val="none" w:sz="0" w:space="0" w:color="auto"/>
                                          </w:divBdr>
                                          <w:divsChild>
                                            <w:div w:id="171064992">
                                              <w:marLeft w:val="0"/>
                                              <w:marRight w:val="0"/>
                                              <w:marTop w:val="0"/>
                                              <w:marBottom w:val="0"/>
                                              <w:divBdr>
                                                <w:top w:val="none" w:sz="0" w:space="0" w:color="auto"/>
                                                <w:left w:val="none" w:sz="0" w:space="0" w:color="auto"/>
                                                <w:bottom w:val="none" w:sz="0" w:space="0" w:color="auto"/>
                                                <w:right w:val="none" w:sz="0" w:space="0" w:color="auto"/>
                                              </w:divBdr>
                                              <w:divsChild>
                                                <w:div w:id="1747461009">
                                                  <w:marLeft w:val="0"/>
                                                  <w:marRight w:val="0"/>
                                                  <w:marTop w:val="0"/>
                                                  <w:marBottom w:val="0"/>
                                                  <w:divBdr>
                                                    <w:top w:val="none" w:sz="0" w:space="0" w:color="auto"/>
                                                    <w:left w:val="none" w:sz="0" w:space="0" w:color="auto"/>
                                                    <w:bottom w:val="none" w:sz="0" w:space="0" w:color="auto"/>
                                                    <w:right w:val="none" w:sz="0" w:space="0" w:color="auto"/>
                                                  </w:divBdr>
                                                  <w:divsChild>
                                                    <w:div w:id="288828492">
                                                      <w:marLeft w:val="0"/>
                                                      <w:marRight w:val="0"/>
                                                      <w:marTop w:val="0"/>
                                                      <w:marBottom w:val="0"/>
                                                      <w:divBdr>
                                                        <w:top w:val="none" w:sz="0" w:space="0" w:color="auto"/>
                                                        <w:left w:val="none" w:sz="0" w:space="0" w:color="auto"/>
                                                        <w:bottom w:val="none" w:sz="0" w:space="0" w:color="auto"/>
                                                        <w:right w:val="none" w:sz="0" w:space="0" w:color="auto"/>
                                                      </w:divBdr>
                                                      <w:divsChild>
                                                        <w:div w:id="1126847981">
                                                          <w:marLeft w:val="0"/>
                                                          <w:marRight w:val="0"/>
                                                          <w:marTop w:val="0"/>
                                                          <w:marBottom w:val="0"/>
                                                          <w:divBdr>
                                                            <w:top w:val="none" w:sz="0" w:space="0" w:color="auto"/>
                                                            <w:left w:val="none" w:sz="0" w:space="0" w:color="auto"/>
                                                            <w:bottom w:val="none" w:sz="0" w:space="0" w:color="auto"/>
                                                            <w:right w:val="none" w:sz="0" w:space="0" w:color="auto"/>
                                                          </w:divBdr>
                                                          <w:divsChild>
                                                            <w:div w:id="750080791">
                                                              <w:marLeft w:val="0"/>
                                                              <w:marRight w:val="0"/>
                                                              <w:marTop w:val="0"/>
                                                              <w:marBottom w:val="0"/>
                                                              <w:divBdr>
                                                                <w:top w:val="none" w:sz="0" w:space="0" w:color="auto"/>
                                                                <w:left w:val="none" w:sz="0" w:space="0" w:color="auto"/>
                                                                <w:bottom w:val="none" w:sz="0" w:space="0" w:color="auto"/>
                                                                <w:right w:val="none" w:sz="0" w:space="0" w:color="auto"/>
                                                              </w:divBdr>
                                                              <w:divsChild>
                                                                <w:div w:id="448668202">
                                                                  <w:marLeft w:val="0"/>
                                                                  <w:marRight w:val="0"/>
                                                                  <w:marTop w:val="0"/>
                                                                  <w:marBottom w:val="0"/>
                                                                  <w:divBdr>
                                                                    <w:top w:val="none" w:sz="0" w:space="0" w:color="auto"/>
                                                                    <w:left w:val="none" w:sz="0" w:space="0" w:color="auto"/>
                                                                    <w:bottom w:val="none" w:sz="0" w:space="0" w:color="auto"/>
                                                                    <w:right w:val="none" w:sz="0" w:space="0" w:color="auto"/>
                                                                  </w:divBdr>
                                                                  <w:divsChild>
                                                                    <w:div w:id="1878353644">
                                                                      <w:marLeft w:val="810"/>
                                                                      <w:marRight w:val="81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010722">
      <w:bodyDiv w:val="1"/>
      <w:marLeft w:val="0"/>
      <w:marRight w:val="0"/>
      <w:marTop w:val="0"/>
      <w:marBottom w:val="0"/>
      <w:divBdr>
        <w:top w:val="none" w:sz="0" w:space="0" w:color="auto"/>
        <w:left w:val="none" w:sz="0" w:space="0" w:color="auto"/>
        <w:bottom w:val="none" w:sz="0" w:space="0" w:color="auto"/>
        <w:right w:val="none" w:sz="0" w:space="0" w:color="auto"/>
      </w:divBdr>
      <w:divsChild>
        <w:div w:id="1480995456">
          <w:marLeft w:val="0"/>
          <w:marRight w:val="0"/>
          <w:marTop w:val="0"/>
          <w:marBottom w:val="0"/>
          <w:divBdr>
            <w:top w:val="none" w:sz="0" w:space="0" w:color="auto"/>
            <w:left w:val="none" w:sz="0" w:space="0" w:color="auto"/>
            <w:bottom w:val="none" w:sz="0" w:space="0" w:color="auto"/>
            <w:right w:val="none" w:sz="0" w:space="0" w:color="auto"/>
          </w:divBdr>
          <w:divsChild>
            <w:div w:id="1559245860">
              <w:marLeft w:val="0"/>
              <w:marRight w:val="0"/>
              <w:marTop w:val="0"/>
              <w:marBottom w:val="0"/>
              <w:divBdr>
                <w:top w:val="none" w:sz="0" w:space="0" w:color="auto"/>
                <w:left w:val="none" w:sz="0" w:space="0" w:color="auto"/>
                <w:bottom w:val="none" w:sz="0" w:space="0" w:color="auto"/>
                <w:right w:val="none" w:sz="0" w:space="0" w:color="auto"/>
              </w:divBdr>
              <w:divsChild>
                <w:div w:id="2052881189">
                  <w:marLeft w:val="0"/>
                  <w:marRight w:val="0"/>
                  <w:marTop w:val="0"/>
                  <w:marBottom w:val="0"/>
                  <w:divBdr>
                    <w:top w:val="none" w:sz="0" w:space="0" w:color="auto"/>
                    <w:left w:val="none" w:sz="0" w:space="0" w:color="auto"/>
                    <w:bottom w:val="none" w:sz="0" w:space="0" w:color="auto"/>
                    <w:right w:val="none" w:sz="0" w:space="0" w:color="auto"/>
                  </w:divBdr>
                  <w:divsChild>
                    <w:div w:id="1017078801">
                      <w:marLeft w:val="-150"/>
                      <w:marRight w:val="-150"/>
                      <w:marTop w:val="0"/>
                      <w:marBottom w:val="0"/>
                      <w:divBdr>
                        <w:top w:val="none" w:sz="0" w:space="0" w:color="auto"/>
                        <w:left w:val="none" w:sz="0" w:space="0" w:color="auto"/>
                        <w:bottom w:val="none" w:sz="0" w:space="0" w:color="auto"/>
                        <w:right w:val="none" w:sz="0" w:space="0" w:color="auto"/>
                      </w:divBdr>
                      <w:divsChild>
                        <w:div w:id="1919634676">
                          <w:marLeft w:val="0"/>
                          <w:marRight w:val="0"/>
                          <w:marTop w:val="0"/>
                          <w:marBottom w:val="0"/>
                          <w:divBdr>
                            <w:top w:val="none" w:sz="0" w:space="0" w:color="auto"/>
                            <w:left w:val="none" w:sz="0" w:space="0" w:color="auto"/>
                            <w:bottom w:val="none" w:sz="0" w:space="0" w:color="auto"/>
                            <w:right w:val="none" w:sz="0" w:space="0" w:color="auto"/>
                          </w:divBdr>
                          <w:divsChild>
                            <w:div w:id="1905605499">
                              <w:marLeft w:val="0"/>
                              <w:marRight w:val="0"/>
                              <w:marTop w:val="0"/>
                              <w:marBottom w:val="0"/>
                              <w:divBdr>
                                <w:top w:val="none" w:sz="0" w:space="0" w:color="auto"/>
                                <w:left w:val="none" w:sz="0" w:space="0" w:color="auto"/>
                                <w:bottom w:val="none" w:sz="0" w:space="0" w:color="auto"/>
                                <w:right w:val="none" w:sz="0" w:space="0" w:color="auto"/>
                              </w:divBdr>
                              <w:divsChild>
                                <w:div w:id="1744334001">
                                  <w:marLeft w:val="0"/>
                                  <w:marRight w:val="0"/>
                                  <w:marTop w:val="0"/>
                                  <w:marBottom w:val="300"/>
                                  <w:divBdr>
                                    <w:top w:val="none" w:sz="0" w:space="0" w:color="auto"/>
                                    <w:left w:val="none" w:sz="0" w:space="0" w:color="auto"/>
                                    <w:bottom w:val="none" w:sz="0" w:space="0" w:color="auto"/>
                                    <w:right w:val="none" w:sz="0" w:space="0" w:color="auto"/>
                                  </w:divBdr>
                                  <w:divsChild>
                                    <w:div w:id="1936207314">
                                      <w:marLeft w:val="0"/>
                                      <w:marRight w:val="0"/>
                                      <w:marTop w:val="0"/>
                                      <w:marBottom w:val="0"/>
                                      <w:divBdr>
                                        <w:top w:val="none" w:sz="0" w:space="0" w:color="auto"/>
                                        <w:left w:val="none" w:sz="0" w:space="0" w:color="auto"/>
                                        <w:bottom w:val="none" w:sz="0" w:space="0" w:color="auto"/>
                                        <w:right w:val="none" w:sz="0" w:space="0" w:color="auto"/>
                                      </w:divBdr>
                                      <w:divsChild>
                                        <w:div w:id="1120954088">
                                          <w:marLeft w:val="0"/>
                                          <w:marRight w:val="0"/>
                                          <w:marTop w:val="0"/>
                                          <w:marBottom w:val="0"/>
                                          <w:divBdr>
                                            <w:top w:val="none" w:sz="0" w:space="0" w:color="auto"/>
                                            <w:left w:val="none" w:sz="0" w:space="0" w:color="auto"/>
                                            <w:bottom w:val="none" w:sz="0" w:space="0" w:color="auto"/>
                                            <w:right w:val="none" w:sz="0" w:space="0" w:color="auto"/>
                                          </w:divBdr>
                                          <w:divsChild>
                                            <w:div w:id="1075782196">
                                              <w:marLeft w:val="0"/>
                                              <w:marRight w:val="0"/>
                                              <w:marTop w:val="0"/>
                                              <w:marBottom w:val="0"/>
                                              <w:divBdr>
                                                <w:top w:val="none" w:sz="0" w:space="0" w:color="auto"/>
                                                <w:left w:val="none" w:sz="0" w:space="0" w:color="auto"/>
                                                <w:bottom w:val="none" w:sz="0" w:space="0" w:color="auto"/>
                                                <w:right w:val="none" w:sz="0" w:space="0" w:color="auto"/>
                                              </w:divBdr>
                                              <w:divsChild>
                                                <w:div w:id="1344478772">
                                                  <w:marLeft w:val="0"/>
                                                  <w:marRight w:val="0"/>
                                                  <w:marTop w:val="0"/>
                                                  <w:marBottom w:val="0"/>
                                                  <w:divBdr>
                                                    <w:top w:val="none" w:sz="0" w:space="0" w:color="auto"/>
                                                    <w:left w:val="none" w:sz="0" w:space="0" w:color="auto"/>
                                                    <w:bottom w:val="none" w:sz="0" w:space="0" w:color="auto"/>
                                                    <w:right w:val="none" w:sz="0" w:space="0" w:color="auto"/>
                                                  </w:divBdr>
                                                  <w:divsChild>
                                                    <w:div w:id="1002004782">
                                                      <w:marLeft w:val="0"/>
                                                      <w:marRight w:val="0"/>
                                                      <w:marTop w:val="0"/>
                                                      <w:marBottom w:val="0"/>
                                                      <w:divBdr>
                                                        <w:top w:val="none" w:sz="0" w:space="0" w:color="auto"/>
                                                        <w:left w:val="none" w:sz="0" w:space="0" w:color="auto"/>
                                                        <w:bottom w:val="none" w:sz="0" w:space="0" w:color="auto"/>
                                                        <w:right w:val="none" w:sz="0" w:space="0" w:color="auto"/>
                                                      </w:divBdr>
                                                      <w:divsChild>
                                                        <w:div w:id="118693088">
                                                          <w:marLeft w:val="0"/>
                                                          <w:marRight w:val="0"/>
                                                          <w:marTop w:val="0"/>
                                                          <w:marBottom w:val="0"/>
                                                          <w:divBdr>
                                                            <w:top w:val="none" w:sz="0" w:space="0" w:color="auto"/>
                                                            <w:left w:val="none" w:sz="0" w:space="0" w:color="auto"/>
                                                            <w:bottom w:val="none" w:sz="0" w:space="0" w:color="auto"/>
                                                            <w:right w:val="none" w:sz="0" w:space="0" w:color="auto"/>
                                                          </w:divBdr>
                                                          <w:divsChild>
                                                            <w:div w:id="728842361">
                                                              <w:marLeft w:val="0"/>
                                                              <w:marRight w:val="0"/>
                                                              <w:marTop w:val="0"/>
                                                              <w:marBottom w:val="0"/>
                                                              <w:divBdr>
                                                                <w:top w:val="none" w:sz="0" w:space="0" w:color="auto"/>
                                                                <w:left w:val="none" w:sz="0" w:space="0" w:color="auto"/>
                                                                <w:bottom w:val="none" w:sz="0" w:space="0" w:color="auto"/>
                                                                <w:right w:val="none" w:sz="0" w:space="0" w:color="auto"/>
                                                              </w:divBdr>
                                                              <w:divsChild>
                                                                <w:div w:id="4665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52F47A-A2D8-4EB5-9576-8E65C2F0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6</Pages>
  <Words>1487</Words>
  <Characters>7511</Characters>
  <Application>Microsoft Office Word</Application>
  <DocSecurity>0</DocSecurity>
  <Lines>178</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Nathalie.NATHON@ec.europa.eu</dc:creator>
  <cp:lastModifiedBy>WES PDFC Administrator</cp:lastModifiedBy>
  <cp:revision>9</cp:revision>
  <cp:lastPrinted>2019-01-17T13:35:00Z</cp:lastPrinted>
  <dcterms:created xsi:type="dcterms:W3CDTF">2019-03-26T14:00:00Z</dcterms:created>
  <dcterms:modified xsi:type="dcterms:W3CDTF">2019-04-03T12:19:00Z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