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C0804C5-8D20-4363-AAA8-CCB72AB900AB" style="width:450.4pt;height:392.65pt">
            <v:imagedata r:id="rId9" o:title=""/>
          </v:shape>
        </w:pict>
      </w:r>
    </w:p>
    <w:bookmarkEnd w:id="0"/>
    <w:p>
      <w:pPr>
        <w:rPr>
          <w:noProof/>
          <w:lang w:val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0"/>
          <w:cols w:space="720"/>
          <w:docGrid w:linePitch="360"/>
        </w:sectPr>
      </w:pPr>
    </w:p>
    <w:p>
      <w:pPr>
        <w:rPr>
          <w:b/>
          <w:noProof/>
          <w:color w:val="000000"/>
          <w:u w:val="single"/>
        </w:rPr>
      </w:pPr>
      <w:bookmarkStart w:id="1" w:name="_GoBack"/>
      <w:bookmarkEnd w:id="1"/>
      <w:r>
        <w:rPr>
          <w:b/>
          <w:noProof/>
          <w:color w:val="000000"/>
          <w:u w:val="single"/>
        </w:rPr>
        <w:lastRenderedPageBreak/>
        <w:t>Annexe 1</w:t>
      </w:r>
    </w:p>
    <w:p>
      <w:pPr>
        <w:rPr>
          <w:b/>
          <w:noProof/>
          <w:color w:val="000000"/>
          <w:sz w:val="20"/>
          <w:szCs w:val="20"/>
          <w:u w:val="single"/>
          <w:lang w:val="fr-BE"/>
        </w:rPr>
      </w:pP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Inspections effectuées par la Commission au 31.12.2017 auprès des autorités compétentes et dans les aéroports (premières inspections et inspections de suivi)</w:t>
      </w:r>
    </w:p>
    <w:p>
      <w:pPr>
        <w:rPr>
          <w:b/>
          <w:noProof/>
          <w:color w:val="000000"/>
          <w:u w:val="single"/>
          <w:lang w:val="fr-BE"/>
        </w:rPr>
      </w:pPr>
    </w:p>
    <w:tbl>
      <w:tblPr>
        <w:tblW w:w="0" w:type="auto"/>
        <w:tblInd w:w="1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118"/>
        <w:gridCol w:w="3118"/>
      </w:tblGrid>
      <w:tr>
        <w:tc>
          <w:tcPr>
            <w:tcW w:w="1626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État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Nombre d'inspections</w:t>
            </w:r>
            <w:r>
              <w:rPr>
                <w:b/>
                <w:noProof/>
                <w:color w:val="000000"/>
                <w:sz w:val="18"/>
                <w:szCs w:val="18"/>
              </w:rPr>
              <w:br/>
              <w:t>01/2017-12/2017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Total des inspections depuis 2004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Autriche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Belgique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Bulgarie</w:t>
            </w: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Croatie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Chypre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République tchèque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12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Danemark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Estonie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Finlande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Allemagne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Grèce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ind w:right="163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Hongrie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Irlande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Italie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Lettonie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Lituanie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Malte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Pays-Bas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Pologne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Roumanie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République slovaque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Slovénie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Espagne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Suède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Royaume-Uni</w:t>
            </w: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</w:tr>
      <w:t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Pays non-membres de l’UE: Suisse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449</w:t>
            </w: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</w:tc>
      </w:tr>
    </w:tbl>
    <w:p>
      <w:pPr>
        <w:rPr>
          <w:b/>
          <w:noProof/>
          <w:color w:val="000000"/>
          <w:u w:val="single"/>
        </w:rPr>
      </w:pPr>
      <w:r>
        <w:rPr>
          <w:noProof/>
        </w:rPr>
        <w:br w:type="page"/>
      </w: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lastRenderedPageBreak/>
        <w:t>Inspections effectuées par l’Autorité de surveillance AELE au 31.12.2017 auprès des autorités compétentes et dans les aéroports (premières inspections et inspections de suivi)</w:t>
      </w:r>
    </w:p>
    <w:p>
      <w:pPr>
        <w:rPr>
          <w:b/>
          <w:noProof/>
          <w:color w:val="000000"/>
          <w:u w:val="single"/>
          <w:lang w:val="fr-BE"/>
        </w:rPr>
      </w:pPr>
    </w:p>
    <w:p>
      <w:pPr>
        <w:rPr>
          <w:b/>
          <w:noProof/>
          <w:color w:val="000000"/>
          <w:u w:val="single"/>
          <w:lang w:val="fr-BE"/>
        </w:rPr>
      </w:pPr>
    </w:p>
    <w:tbl>
      <w:tblPr>
        <w:tblW w:w="0" w:type="auto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>
        <w:tc>
          <w:tcPr>
            <w:tcW w:w="2322" w:type="dxa"/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État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Nombre d'inspections 01/2017-12/2017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Total des inspections depuis 2004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Islande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14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Norvège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52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66</w:t>
            </w:r>
          </w:p>
        </w:tc>
      </w:tr>
    </w:tbl>
    <w:p>
      <w:pPr>
        <w:rPr>
          <w:noProof/>
          <w:color w:val="000000"/>
        </w:rPr>
      </w:pPr>
      <w:bookmarkStart w:id="2" w:name="_CopyToNewDocument_"/>
      <w:bookmarkEnd w:id="2"/>
    </w:p>
    <w:p>
      <w:pPr>
        <w:rPr>
          <w:noProof/>
          <w:lang w:val="en-GB"/>
        </w:rPr>
      </w:pPr>
    </w:p>
    <w:p>
      <w:pPr>
        <w:rPr>
          <w:noProof/>
          <w:lang w:val="en-GB"/>
        </w:rPr>
      </w:pPr>
    </w:p>
    <w:p>
      <w:pPr>
        <w:jc w:val="both"/>
        <w:rPr>
          <w:noProof/>
          <w:lang w:val="en-GB"/>
        </w:rPr>
      </w:pPr>
    </w:p>
    <w:p>
      <w:pPr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Annexe 2</w:t>
      </w:r>
    </w:p>
    <w:p>
      <w:pPr>
        <w:rPr>
          <w:b/>
          <w:noProof/>
          <w:u w:val="single"/>
          <w:lang w:val="en-GB"/>
        </w:rPr>
      </w:pP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Instruments législatifs additionnels adoptés au cours de l’année 2017:</w:t>
      </w:r>
    </w:p>
    <w:p>
      <w:pPr>
        <w:rPr>
          <w:b/>
          <w:noProof/>
          <w:sz w:val="20"/>
          <w:szCs w:val="20"/>
          <w:u w:val="single"/>
          <w:lang w:val="fr-BE"/>
        </w:rPr>
      </w:pPr>
    </w:p>
    <w:p>
      <w:pPr>
        <w:pStyle w:val="doc-ti"/>
        <w:jc w:val="both"/>
        <w:rPr>
          <w:noProof/>
        </w:rPr>
      </w:pPr>
      <w:r>
        <w:rPr>
          <w:noProof/>
        </w:rPr>
        <w:t>Règlement d’exécution (UE) 2017/815 de la Commission du 12 mai 2017 modifiant le règlement d’exécution (UE) 2015/1998 en ce qui concerne la clarification, l’harmonisation et la simplification de certaines mesures de sûreté aérienne spécifiques (Texte présentant de l’intérêt pour l’EEE ), JO L 122 du 13.5.2017, pp. 1-68.</w:t>
      </w:r>
    </w:p>
    <w:p>
      <w:pPr>
        <w:pStyle w:val="doc-ti"/>
        <w:jc w:val="both"/>
        <w:rPr>
          <w:noProof/>
        </w:rPr>
      </w:pPr>
      <w:r>
        <w:rPr>
          <w:noProof/>
        </w:rPr>
        <w:t>Règlement d’exécution (UE) 2017/837 de la Commission du 17 mai 2017 rectifiant les versions en langues polonaise et suédoise du règlement d’exécution (UE) 2015/1998 fixant des mesures détaillées pour la mise en œuvre des normes de base communes dans le domaine de la sûreté de l’aviation civile (Texte présentant de l’intérêt pour l’EEE ); JO L 125 du 18.5.2017, pp. 3-4.</w:t>
      </w:r>
    </w:p>
    <w:p>
      <w:pPr>
        <w:pStyle w:val="doc-ti"/>
        <w:jc w:val="both"/>
        <w:rPr>
          <w:noProof/>
        </w:rPr>
      </w:pPr>
      <w:r>
        <w:rPr>
          <w:noProof/>
        </w:rPr>
        <w:t>Décision C (2017) 3030 de la Commission du 15.5.2017 modifiant la décision d’exécution C (2015) 8005 en ce qui concerne la clarification, l’harmonisation et la simplification de certaines mesures de sûreté aérienne spécifiques.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lang w:val="en-GB"/>
      </w:rPr>
    </w:pPr>
  </w:p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792"/>
    <w:multiLevelType w:val="hybridMultilevel"/>
    <w:tmpl w:val="795AD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">
    <w:nsid w:val="75C26F71"/>
    <w:multiLevelType w:val="multilevel"/>
    <w:tmpl w:val="E01E770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u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1C0804C5-8D20-4363-AAA8-CCB72AB900AB"/>
    <w:docVar w:name="LW_COVERPAGE_TYPE" w:val="1"/>
    <w:docVar w:name="LW_CROSSREFERENCE" w:val="&lt;UNUSED&gt;"/>
    <w:docVar w:name="LW_DocType" w:val="NORMAL"/>
    <w:docVar w:name="LW_EMISSION" w:val="16.4.2019"/>
    <w:docVar w:name="LW_EMISSION_ISODATE" w:val="2019-04-16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RAPPORT ANNUEL 2017 CONCERNANT LA MISE EN \u338?UVRE DU RÈGLEMENT (CE) Nº 300/2008 RELATIF À L'INSTAURATION DE RÈGLES COMMUNES DANS LE DOMAINE DE LA SÛRETÉ DE L'AVIATION CIVILE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_PREVIOUS" w:val="&lt;UNUSED&gt;"/>
    <w:docVar w:name="LW_TYPE.DOC.CP" w:val="ANNEXES_x000b_"/>
    <w:docVar w:name="LW_TYPEACTEPRINCIPAL.CP" w:val="RAPPORT DE LA COMMISSION AU PARLEMENT EUROPÉEN ET A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  <w:lang w:eastAsia="en-US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  <w:lang w:eastAsia="en-US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  <w:lang w:eastAsia="en-US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  <w:rPr>
      <w:lang w:eastAsia="en-US"/>
    </w:r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  <w:lang w:eastAsia="en-US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eastAsia="en-US"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lang w:eastAsia="en-US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  <w:lang w:eastAsia="en-US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FR" w:eastAsia="fr-FR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fr-FR" w:eastAsia="fr-FR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fr-FR" w:eastAsia="fr-FR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  <w:lang w:eastAsia="fr-FR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  <w:lang w:eastAsia="fr-FR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  <w:lang w:eastAsia="en-US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  <w:lang w:eastAsia="en-US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  <w:lang w:eastAsia="en-US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  <w:rPr>
      <w:lang w:eastAsia="en-US"/>
    </w:r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  <w:lang w:eastAsia="en-US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eastAsia="en-US"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lang w:eastAsia="en-US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  <w:lang w:eastAsia="en-US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FR" w:eastAsia="fr-FR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fr-FR" w:eastAsia="fr-FR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fr-FR" w:eastAsia="fr-FR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  <w:lang w:eastAsia="fr-FR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  <w:lang w:eastAsia="fr-FR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E32B-8606-4769-A793-122029E1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332</Words>
  <Characters>1707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Cidalia (MOVE)</dc:creator>
  <cp:lastModifiedBy>DIGIT/C6</cp:lastModifiedBy>
  <cp:revision>10</cp:revision>
  <cp:lastPrinted>2018-04-30T15:23:00Z</cp:lastPrinted>
  <dcterms:created xsi:type="dcterms:W3CDTF">2019-01-17T10:22:00Z</dcterms:created>
  <dcterms:modified xsi:type="dcterms:W3CDTF">2019-04-10T14:23:00Z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rst annex">
    <vt:lpwstr>1</vt:lpwstr>
  </property>
  <property fmtid="{D5CDD505-2E9C-101B-9397-08002B2CF9AE}" pid="4" name="Last annex">
    <vt:lpwstr>2</vt:lpwstr>
  </property>
  <property fmtid="{D5CDD505-2E9C-101B-9397-08002B2CF9AE}" pid="5" name="Part">
    <vt:lpwstr>&lt;UNUSED&gt;</vt:lpwstr>
  </property>
  <property fmtid="{D5CDD505-2E9C-101B-9397-08002B2CF9AE}" pid="6" name="Total parts">
    <vt:lpwstr>&lt;UNUSED&gt;</vt:lpwstr>
  </property>
  <property fmtid="{D5CDD505-2E9C-101B-9397-08002B2CF9AE}" pid="7" name="DocStatus">
    <vt:lpwstr>Green</vt:lpwstr>
  </property>
  <property fmtid="{D5CDD505-2E9C-101B-9397-08002B2CF9AE}" pid="8" name="Level of sensitivity">
    <vt:lpwstr>Standard treatment</vt:lpwstr>
  </property>
  <property fmtid="{D5CDD505-2E9C-101B-9397-08002B2CF9AE}" pid="9" name="Unique annex">
    <vt:lpwstr>0</vt:lpwstr>
  </property>
  <property fmtid="{D5CDD505-2E9C-101B-9397-08002B2CF9AE}" pid="10" name="Last edited using">
    <vt:lpwstr>LW 6.0.1, Build 20180503</vt:lpwstr>
  </property>
  <property fmtid="{D5CDD505-2E9C-101B-9397-08002B2CF9AE}" pid="11" name="Created using">
    <vt:lpwstr>LW 6.0.1, Build 20180503</vt:lpwstr>
  </property>
</Properties>
</file>