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385E278-4C71-44A8-AD2F-DF5FE883942F" style="width:450.8pt;height:485.2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Lacunele în ceea ce privește punerea în aplicare a politicilor de mediu îi costă pe europeni aproximativ 55 de miliarde EUR pe an</w:t>
      </w:r>
    </w:p>
    <w:p>
      <w:pPr>
        <w:rPr>
          <w:rFonts w:cs="Times New Roman"/>
          <w:noProof/>
        </w:rPr>
      </w:pPr>
      <w:r>
        <w:rPr>
          <w:noProof/>
        </w:rPr>
        <w:t xml:space="preserve">Punerea în aplicare a politicilor și legislației UE din domeniul mediului este esențială pentru un mediu sănătos. Eliminarea decalajului dintre ceea ce a fost decis și ceea ce a fost pus în aplicare efectiv este esențială pentru a asigura rezultate bune pentru cetățeni în ceea ce privește mediul, precum și pentru a menține condiții de concurență echitabile pentru operatorii economici și a crea oportunități pentru inovațiile sociale și tehnologice și pentru dezvoltarea economică. Conform unui nou studiu, costurile totale pentru societate, în ceea ce privește lacunele actuale referitoare la punerea în aplicare a politicilor de mediu, sunt de </w:t>
      </w:r>
      <w:r>
        <w:rPr>
          <w:noProof/>
          <w:color w:val="000000" w:themeColor="text1"/>
        </w:rPr>
        <w:t>aproximativ 55 de miliarde EUR</w:t>
      </w:r>
      <w:r>
        <w:rPr>
          <w:noProof/>
        </w:rPr>
        <w:t xml:space="preserve"> pe an</w:t>
      </w:r>
      <w:r>
        <w:rPr>
          <w:noProof/>
        </w:rPr>
        <w:footnoteReference w:id="2"/>
      </w:r>
      <w:r>
        <w:rPr>
          <w:noProof/>
        </w:rPr>
        <w:t xml:space="preserve">. </w:t>
      </w:r>
    </w:p>
    <w:p>
      <w:pPr>
        <w:rPr>
          <w:rFonts w:cs="Times New Roman"/>
          <w:noProof/>
        </w:rPr>
      </w:pPr>
      <w:r>
        <w:rPr>
          <w:noProof/>
        </w:rPr>
        <w:t xml:space="preserve">Evaluarea punerii în aplicare a politicilor de mediu vizează îmbunătățirea punerii în aplicare a politicilor și a legislației UE din domeniul mediului prin identificarea cauzelor lacunelor de punere în aplicare și abordarea obstacolelor sistemice care împiedică integrarea aspectelor legate de mediu în toate sectoarele de politică. Aceasta identifică principalele provocări pentru fiecare stat membru, precum și bunele practici existente și punctele de excelență. </w:t>
      </w:r>
    </w:p>
    <w:p>
      <w:pPr>
        <w:rPr>
          <w:rFonts w:cs="Times New Roman"/>
          <w:noProof/>
          <w:spacing w:val="-2"/>
        </w:rPr>
      </w:pPr>
      <w:r>
        <w:rPr>
          <w:noProof/>
          <w:spacing w:val="-2"/>
        </w:rPr>
        <w:t>Primul pachet privind evaluarea punerii în aplicare a politicilor de mediu a fost adoptat în februarie 2017</w:t>
      </w:r>
      <w:r>
        <w:rPr>
          <w:noProof/>
          <w:spacing w:val="-2"/>
        </w:rPr>
        <w:footnoteReference w:id="3"/>
      </w:r>
      <w:r>
        <w:rPr>
          <w:noProof/>
          <w:spacing w:val="-2"/>
        </w:rPr>
        <w:t>. De la adoptarea sa, multe state membre au organizat dialoguri naționale privind evaluarea punerii în aplicare a politicilor de mediu în ceea ce privește temele prioritare identificate în rapoartele lor. În multe cazuri, au fost implicate autoritățile regionale și locale și principalele părți interesate. În plus, au fost organizate mai multe dialoguri specifice sectorului. La scurt timp după adoptarea primului pachet, a fost lansat instrumentul TAIEX-EIR Peer to Peer, pentru a facilita învățarea reciprocă între statele membre, regiuni și municipalități privind îmbunătățirea practicilor lor de punere în aplicare</w:t>
      </w:r>
      <w:r>
        <w:rPr>
          <w:noProof/>
          <w:spacing w:val="-2"/>
        </w:rPr>
        <w:footnoteReference w:id="4"/>
      </w:r>
      <w:r>
        <w:rPr>
          <w:noProof/>
          <w:spacing w:val="-2"/>
        </w:rPr>
        <w:t xml:space="preserve">. </w:t>
      </w:r>
    </w:p>
    <w:p>
      <w:pPr>
        <w:rPr>
          <w:rFonts w:cs="Times New Roman"/>
          <w:noProof/>
          <w:spacing w:val="-2"/>
        </w:rPr>
      </w:pPr>
      <w:r>
        <w:rPr>
          <w:noProof/>
          <w:spacing w:val="-2"/>
        </w:rPr>
        <w:t xml:space="preserve">Acest pachet include prezenta comunicare, o anexă care prezintă principalele acțiuni prioritare, un document de fundamentare a politicilor și 28 de rapoarte de țară care conturează situația actuală în ceea ce privește punerea în aplicare a principalelor domenii și obiective ale cadrului de reglementare al UE în materie de mediu, precum și principalele provocări și oportunități pentru fiecare stat membru. </w:t>
      </w:r>
    </w:p>
    <w:p>
      <w:pPr>
        <w:rPr>
          <w:rFonts w:cs="Times New Roman"/>
          <w:noProof/>
          <w:spacing w:val="-2"/>
        </w:rPr>
      </w:pPr>
      <w:r>
        <w:rPr>
          <w:noProof/>
          <w:spacing w:val="-2"/>
        </w:rPr>
        <w:t>Procedurile de constatare a neîndeplinirii obligațiilor rămân un instrument important pentru a asigura punerea corectă în aplicare a obligațiilor legale</w:t>
      </w:r>
      <w:r>
        <w:rPr>
          <w:noProof/>
          <w:spacing w:val="-2"/>
        </w:rPr>
        <w:footnoteReference w:id="5"/>
      </w:r>
      <w:r>
        <w:rPr>
          <w:noProof/>
          <w:spacing w:val="-2"/>
        </w:rPr>
        <w:t xml:space="preserve"> și, prin urmare, evaluarea punerii în aplicare a politicilor de mediu nu aduce atingere acțiunilor de punere în aplicare efectuate de Comisie în temeiul tratatelor, sub controlul Curții de Justiție a Uniunii Europene</w:t>
      </w:r>
      <w:r>
        <w:rPr>
          <w:noProof/>
          <w:spacing w:val="-2"/>
        </w:rPr>
        <w:footnoteReference w:id="6"/>
      </w:r>
      <w:r>
        <w:rPr>
          <w:noProof/>
          <w:spacing w:val="-2"/>
        </w:rPr>
        <w:t>. Evaluarea punerii în aplicare a politicilor de mediu face posibilă creșterea gradului de respectare a legislației UE în materie de mediu prin abordarea cauzelor care stau la baza nivelului slab de punere în aplicare și prin promovarea unei aplicări mai eficace, cu condiția ca statele membre să întreprindă rapid și decisiv cel puțin acțiunile prioritare.</w:t>
      </w:r>
    </w:p>
    <w:p>
      <w:pPr>
        <w:rPr>
          <w:rFonts w:cs="Times New Roman"/>
          <w:noProof/>
        </w:rPr>
      </w:pPr>
      <w:r>
        <w:rPr>
          <w:noProof/>
        </w:rPr>
        <w:t xml:space="preserve">Pachetul ilustrează stadiul punerii în aplicare a politicilor din domeniul mediului la nivelul lunii ianuarie 2019 și urmărește să încurajeze cooperarea dintre autoritățile publice și părțile interesate pentru găsirea de soluții personalizate în vederea unei abordări mai eficace a lacunelor în ceea ce privește punerea în aplicare. Rapoartele de țară din 2019 acoperă, de asemenea, mai multe teme noi în comparație cu 2017, în special ca răspuns la feedback-ul obținut după primul ciclu de la statele membre, Parlamentul European, Comitetul Economic și Social European, Comitetul Regiunilor și diferite părți interesate: schimbările climatice, speciile alogene invazive, emisiile industriale și substanțele chimice, precum și informații noi. Cu toate acestea, structura rămâne similară cu cea a rapoartelor de evaluare din 2017 a punerii în aplicare a politicilor de mediu.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Stadiul punerii în aplicare: prioritățile principale</w:t>
      </w:r>
    </w:p>
    <w:p>
      <w:pPr>
        <w:pStyle w:val="ListParagraph"/>
        <w:ind w:left="360"/>
        <w:rPr>
          <w:rFonts w:cs="Times New Roman"/>
          <w:noProof/>
          <w:sz w:val="28"/>
        </w:rPr>
      </w:pPr>
    </w:p>
    <w:p>
      <w:pPr>
        <w:rPr>
          <w:rFonts w:cs="Times New Roman"/>
          <w:b/>
          <w:bCs/>
          <w:noProof/>
          <w:sz w:val="24"/>
          <w:szCs w:val="24"/>
        </w:rPr>
      </w:pPr>
      <w:r>
        <w:rPr>
          <w:b/>
          <w:noProof/>
          <w:sz w:val="24"/>
        </w:rPr>
        <w:t>2.1. Trecerea Uniunii Europene la o economie circulară, verde și competitivă, cu emisii reduse de dioxid de carbon și eficientă din punctul de vedere al utilizării resurselor</w:t>
      </w:r>
    </w:p>
    <w:p>
      <w:pPr>
        <w:rPr>
          <w:rFonts w:cs="Times New Roman"/>
          <w:noProof/>
        </w:rPr>
      </w:pPr>
      <w:r>
        <w:rPr>
          <w:b/>
          <w:noProof/>
        </w:rPr>
        <w:t>Trecerea de la o economie liniară la una circulară reprezintă o oportunitate de a transforma economia noastră</w:t>
      </w:r>
      <w:r>
        <w:rPr>
          <w:noProof/>
        </w:rPr>
        <w:t xml:space="preserve"> </w:t>
      </w:r>
      <w:r>
        <w:rPr>
          <w:b/>
          <w:noProof/>
        </w:rPr>
        <w:t>și de a o face mai durabilă</w:t>
      </w:r>
      <w:r>
        <w:rPr>
          <w:noProof/>
        </w:rPr>
        <w:t xml:space="preserve">, prin tranziția către un model în care produsele, materialele și resursele sunt menținute și utilizate cât mai mult timp posibil. Prevenirea și gestionarea solidă a deșeurilor reprezintă una dintre pietrele de temelie esențiale ale economiei circulare, deoarece contribuie la prevenirea impactului negativ al deșeurilor asupra mediului și asupra sănătății, dar le și direcționează către utilizări eficiente. </w:t>
      </w:r>
    </w:p>
    <w:p>
      <w:pPr>
        <w:rPr>
          <w:rFonts w:cs="Times New Roman"/>
          <w:noProof/>
        </w:rPr>
      </w:pPr>
      <w:r>
        <w:rPr>
          <w:noProof/>
          <w:lang w:val="en-GB" w:eastAsia="en-GB" w:bidi="ar-SA"/>
        </w:rPr>
        <w:drawing>
          <wp:anchor distT="0" distB="0" distL="114300" distR="114300" simplePos="0" relativeHeight="251663360" behindDoc="1" locked="0" layoutInCell="1" allowOverlap="1">
            <wp:simplePos x="0" y="0"/>
            <wp:positionH relativeFrom="column">
              <wp:posOffset>0</wp:posOffset>
            </wp:positionH>
            <wp:positionV relativeFrom="paragraph">
              <wp:posOffset>363855</wp:posOffset>
            </wp:positionV>
            <wp:extent cx="2040890" cy="2912745"/>
            <wp:effectExtent l="0" t="0" r="0" b="1905"/>
            <wp:wrapThrough wrapText="bothSides">
              <wp:wrapPolygon edited="0">
                <wp:start x="0" y="0"/>
                <wp:lineTo x="0" y="21473"/>
                <wp:lineTo x="21371" y="21473"/>
                <wp:lineTo x="2137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040890" cy="2912745"/>
                    </a:xfrm>
                    <a:prstGeom prst="rect">
                      <a:avLst/>
                    </a:prstGeom>
                  </pic:spPr>
                </pic:pic>
              </a:graphicData>
            </a:graphic>
            <wp14:sizeRelH relativeFrom="page">
              <wp14:pctWidth>0</wp14:pctWidth>
            </wp14:sizeRelH>
            <wp14:sizeRelV relativeFrom="page">
              <wp14:pctHeight>0</wp14:pctHeight>
            </wp14:sizeRelV>
          </wp:anchor>
        </w:drawing>
      </w:r>
      <w:r>
        <w:rPr>
          <w:noProof/>
        </w:rPr>
        <w:t>Din 2017, Comisia pune în aplicare planul său de acțiune privind economia circulară</w:t>
      </w:r>
      <w:r>
        <w:rPr>
          <w:noProof/>
          <w:vertAlign w:val="superscript"/>
        </w:rPr>
        <w:footnoteReference w:id="7"/>
      </w:r>
      <w:r>
        <w:rPr>
          <w:noProof/>
        </w:rPr>
        <w:t>, care a inclus publicarea Strategiei europene pentru materialele plastice într-o economie circulară în cadrul Pachetului din 2018 privind economia circulară</w:t>
      </w:r>
      <w:r>
        <w:rPr>
          <w:noProof/>
        </w:rPr>
        <w:footnoteReference w:id="8"/>
      </w:r>
      <w:r>
        <w:rPr>
          <w:noProof/>
        </w:rPr>
        <w:t xml:space="preserve"> și adoptarea de către colegiuitori a amendamentelor la legislația privind deșeurile</w:t>
      </w:r>
      <w:r>
        <w:rPr>
          <w:noProof/>
          <w:vertAlign w:val="superscript"/>
        </w:rPr>
        <w:footnoteReference w:id="9"/>
      </w:r>
      <w:r>
        <w:rPr>
          <w:noProof/>
        </w:rPr>
        <w:t>. Comisia a adoptat, de asemenea, un cadru de monitorizare pentru economia circulară</w:t>
      </w:r>
      <w:r>
        <w:rPr>
          <w:noProof/>
        </w:rPr>
        <w:footnoteReference w:id="10"/>
      </w:r>
      <w:r>
        <w:rPr>
          <w:noProof/>
        </w:rPr>
        <w:t>, un nou instrument care va permite factorilor politici de decizie să identifice bunele practici și să stabilească priorități în domeniile în care sunt necesare acțiuni suplimentare. O nouă comunicare intitulată „O bioeconomie durabilă pentru Europa”</w:t>
      </w:r>
      <w:r>
        <w:rPr>
          <w:noProof/>
        </w:rPr>
        <w:footnoteReference w:id="11"/>
      </w:r>
      <w:r>
        <w:rPr>
          <w:noProof/>
        </w:rPr>
        <w:t xml:space="preserve"> a fost publicată în octombrie 2018 și vizează consolidarea legăturilor dintre economie, societate și mediu. Propunerea din 2018 privind reducerea impactului anumitor produse din plastic asupra mediului</w:t>
      </w:r>
      <w:r>
        <w:rPr>
          <w:noProof/>
        </w:rPr>
        <w:footnoteReference w:id="12"/>
      </w:r>
      <w:r>
        <w:rPr>
          <w:noProof/>
        </w:rPr>
        <w:t xml:space="preserve"> ilustrează eforturile combinate din cadrul UE de a aborda mai eficient problemele de mediu legate de proiectarea, producția și eliminarea materialelor plastice; punerea sa în aplicare va fi evaluată în următoarele cicluri de evaluare a punerii în aplicare a politicilor de mediu. </w:t>
      </w:r>
    </w:p>
    <w:p>
      <w:pPr>
        <w:rPr>
          <w:rFonts w:cs="Times New Roman"/>
          <w:noProof/>
        </w:rPr>
      </w:pPr>
      <w:r>
        <w:rPr>
          <w:noProof/>
        </w:rPr>
        <w:t>În plus, Comisia a propus recent diverse cerințe care vor contribui la prelungirea duratei de viață a produselor</w:t>
      </w:r>
      <w:r>
        <w:rPr>
          <w:noProof/>
        </w:rPr>
        <w:footnoteReference w:id="13"/>
      </w:r>
      <w:r>
        <w:rPr>
          <w:noProof/>
        </w:rPr>
        <w:t>. Autoritățile responsabile de protecția consumatorilor se concentrează din ce în ce mai mult pe problema uzurii morale timpurii a produselor. Comisia va monitoriza în continuare aceste evoluții în cadrul cooperării în materie de protecție a consumatorului</w:t>
      </w:r>
      <w:r>
        <w:rPr>
          <w:noProof/>
        </w:rPr>
        <w:footnoteReference w:id="14"/>
      </w:r>
      <w:r>
        <w:rPr>
          <w:noProof/>
        </w:rPr>
        <w:t xml:space="preserve">. </w:t>
      </w:r>
    </w:p>
    <w:p>
      <w:pPr>
        <w:rPr>
          <w:rFonts w:cs="Times New Roman"/>
          <w:noProof/>
        </w:rPr>
      </w:pPr>
      <w:r>
        <w:rPr>
          <w:noProof/>
        </w:rPr>
        <w:t>În ceea ce privește progresul, s-au înregistrat unele evoluții în ceea ce privește îndeplinirea cerințelor UE privind gestionarea deșeurilor. La nivelul UE, ratele de reciclare au crescut de la 43,7 % în 2014 la 46,4 % în 2017, iar volumul de deșeuri municipale depozitate în gropi de gunoi a scăzut cu 20,6 % între 2013 și 2017</w:t>
      </w:r>
      <w:r>
        <w:rPr>
          <w:noProof/>
          <w:vertAlign w:val="superscript"/>
        </w:rPr>
        <w:footnoteReference w:id="15"/>
      </w:r>
      <w:r>
        <w:rPr>
          <w:noProof/>
        </w:rPr>
        <w:t>. Cu toate acestea, situația variază considerabil între statele membre. Obligațiile privind tratarea deșeurilor nu sunt încă pe deplin îndeplinite, existând mari divergențe în materie de performanță în cadrul UE.</w:t>
      </w:r>
    </w:p>
    <w:p>
      <w:pPr>
        <w:rPr>
          <w:rFonts w:cs="Times New Roman"/>
          <w:noProof/>
        </w:rPr>
      </w:pPr>
      <w:r>
        <w:rPr>
          <w:noProof/>
        </w:rPr>
        <w:t>Pentru țările care riscă să nu își îndeplinească obiectivul privind pregătirea pentru reutilizare/reciclarea deșeurilor municipale stabilit pentru 2020, Comisia a prezentat rapoarte de alertă timpurie</w:t>
      </w:r>
      <w:r>
        <w:rPr>
          <w:noProof/>
        </w:rPr>
        <w:footnoteReference w:id="16"/>
      </w:r>
      <w:r>
        <w:rPr>
          <w:noProof/>
        </w:rPr>
        <w:t xml:space="preserve"> cu planuri de acțiune pentru alinierea la legislația UE privind deșeurile. </w:t>
      </w:r>
    </w:p>
    <w:p>
      <w:pPr>
        <w:rPr>
          <w:rFonts w:cs="Times New Roman"/>
          <w:noProof/>
        </w:rPr>
      </w:pPr>
    </w:p>
    <w:p>
      <w:pPr>
        <w:spacing w:after="200" w:line="276" w:lineRule="auto"/>
        <w:rPr>
          <w:rFonts w:cs="Times New Roman"/>
          <w:i/>
          <w:iCs/>
          <w:noProof/>
        </w:rPr>
      </w:pPr>
      <w:r>
        <w:rPr>
          <w:i/>
          <w:noProof/>
        </w:rPr>
        <w:t>Constatări în materie de politici</w:t>
      </w:r>
    </w:p>
    <w:p>
      <w:pPr>
        <w:numPr>
          <w:ilvl w:val="0"/>
          <w:numId w:val="3"/>
        </w:numPr>
        <w:spacing w:after="200" w:line="240" w:lineRule="auto"/>
        <w:rPr>
          <w:rFonts w:cs="Times New Roman"/>
          <w:i/>
          <w:iCs/>
          <w:noProof/>
        </w:rPr>
      </w:pPr>
      <w:r>
        <w:rPr>
          <w:i/>
          <w:noProof/>
        </w:rPr>
        <w:t>În general, cadrul politic pentru economia circulară a fost consolidat începând din 2017. Cu toate acestea, mai multe state membre</w:t>
      </w:r>
      <w:r>
        <w:rPr>
          <w:i/>
          <w:noProof/>
        </w:rPr>
        <w:footnoteReference w:id="17"/>
      </w:r>
      <w:r>
        <w:rPr>
          <w:i/>
          <w:noProof/>
        </w:rPr>
        <w:t xml:space="preserve"> ar trebui să pună mai bine în aplicare principiile economiei circulare în diferite domenii, de exemplu în ceea ce privește economia de apă și energie, prevenirea deșeurilor, reciclarea materialelor, promovarea reutilizării și reparării și adoptarea de materii prime secundare.</w:t>
      </w:r>
    </w:p>
    <w:p>
      <w:pPr>
        <w:numPr>
          <w:ilvl w:val="0"/>
          <w:numId w:val="3"/>
        </w:numPr>
        <w:spacing w:after="200" w:line="240" w:lineRule="auto"/>
        <w:rPr>
          <w:rFonts w:cs="Times New Roman"/>
          <w:b/>
          <w:bCs/>
          <w:i/>
          <w:iCs/>
          <w:noProof/>
        </w:rPr>
      </w:pPr>
      <w:r>
        <w:rPr>
          <w:i/>
          <w:noProof/>
        </w:rPr>
        <w:t>Unele state membre</w:t>
      </w:r>
      <w:r>
        <w:rPr>
          <w:i/>
          <w:noProof/>
        </w:rPr>
        <w:footnoteReference w:id="18"/>
      </w:r>
      <w:r>
        <w:rPr>
          <w:i/>
          <w:noProof/>
        </w:rPr>
        <w:t xml:space="preserve"> ar trebui să stimuleze mai mult măsurile de utilizare eficientă a resurselor; să își îmbunătățească performanța în domeniul ecoinovării; să crească gradul de conștientizare și să încurajeze adoptarea de instrumente voluntare, cum ar fi eticheta ecologică a UE și sistemul de management de mediu și audit; să sporească măsurile de reciclare și măsurile circulare în sectorul IMM-urilor; și/sau să faciliteze investițiile ecologice și accesul la finanțare. </w:t>
      </w:r>
    </w:p>
    <w:p>
      <w:pPr>
        <w:numPr>
          <w:ilvl w:val="0"/>
          <w:numId w:val="3"/>
        </w:numPr>
        <w:spacing w:line="240" w:lineRule="auto"/>
        <w:ind w:left="357" w:hanging="357"/>
        <w:rPr>
          <w:rFonts w:cs="Times New Roman"/>
          <w:i/>
          <w:iCs/>
          <w:noProof/>
        </w:rPr>
      </w:pPr>
      <w:r>
        <w:rPr>
          <w:i/>
          <w:noProof/>
        </w:rPr>
        <w:t>Prevenirea deșeurilor rămâne o provocare importantă în toate statele membre, inclusiv în cele cu rate ridicate de reciclare. Șase dintre statele membre produc cel puțin de două ori mai multe deșeuri municipale pe cap de locuitor decât statul membru cu cea mai mică rată de producere a deșeurilor</w:t>
      </w:r>
      <w:r>
        <w:rPr>
          <w:i/>
          <w:noProof/>
        </w:rPr>
        <w:footnoteReference w:id="19"/>
      </w:r>
      <w:r>
        <w:rPr>
          <w:i/>
          <w:noProof/>
        </w:rPr>
        <w:t>. În plus, producția medie de deșeuri municipale în UE a crescut începând din 2014: numai nouă state membre și-au redus producția de deșeuri pe cap de locuitor între 2014 și 2016</w:t>
      </w:r>
      <w:r>
        <w:rPr>
          <w:i/>
          <w:noProof/>
        </w:rPr>
        <w:footnoteReference w:id="20"/>
      </w:r>
      <w:r>
        <w:rPr>
          <w:i/>
          <w:noProof/>
        </w:rPr>
        <w:t>.</w:t>
      </w:r>
    </w:p>
    <w:p>
      <w:pPr>
        <w:numPr>
          <w:ilvl w:val="0"/>
          <w:numId w:val="3"/>
        </w:numPr>
        <w:spacing w:line="240" w:lineRule="auto"/>
        <w:ind w:left="357" w:hanging="357"/>
        <w:rPr>
          <w:rFonts w:cs="Times New Roman"/>
          <w:i/>
          <w:iCs/>
          <w:noProof/>
        </w:rPr>
      </w:pPr>
      <w:r>
        <w:rPr>
          <w:i/>
          <w:noProof/>
        </w:rPr>
        <w:t xml:space="preserve">Conform datelor raportate Comisiei, doar câteva state membre au atins deja obiectivul de reciclare a deșeurilor municipale de 50 % stabilit pentru 2020 </w:t>
      </w:r>
      <w:r>
        <w:rPr>
          <w:i/>
          <w:noProof/>
        </w:rPr>
        <w:footnoteReference w:id="21"/>
      </w:r>
      <w:r>
        <w:rPr>
          <w:i/>
          <w:noProof/>
        </w:rPr>
        <w:t>, în timp ce mai multe state membre au fost identificate ca riscând să nu-l îndeplinească</w:t>
      </w:r>
      <w:r>
        <w:rPr>
          <w:i/>
          <w:noProof/>
          <w:vertAlign w:val="superscript"/>
        </w:rPr>
        <w:footnoteReference w:id="22"/>
      </w:r>
      <w:r>
        <w:rPr>
          <w:i/>
          <w:noProof/>
        </w:rPr>
        <w:t>. Este posibil să se introducă sau să se îmbunătățească politicile, inclusiv instrumentele economice (de exemplu, taxele pentru depozitarea deșeurilor, răspunderea extinsă a producătorilor, sistemele de plată în funcție de deșeurile generate), pentru a pune în aplicare ierarhia deșeurilor și pentru ca reutilizarea și reciclarea să fie mai atractive din punct de vedere economic.</w:t>
      </w:r>
    </w:p>
    <w:tbl>
      <w:tblPr>
        <w:tblStyle w:val="TableGrid"/>
        <w:tblpPr w:leftFromText="180" w:rightFromText="180" w:vertAnchor="text" w:horzAnchor="margin" w:tblpY="1935"/>
        <w:tblW w:w="0" w:type="auto"/>
        <w:tblLook w:val="04A0" w:firstRow="1" w:lastRow="0" w:firstColumn="1" w:lastColumn="0" w:noHBand="0" w:noVBand="1"/>
      </w:tblPr>
      <w:tblGrid>
        <w:gridCol w:w="9242"/>
      </w:tblGrid>
      <w:tr>
        <w:tc>
          <w:tcPr>
            <w:tcW w:w="9242" w:type="dxa"/>
            <w:shd w:val="clear" w:color="auto" w:fill="EAF1DD" w:themeFill="accent3" w:themeFillTint="33"/>
          </w:tcPr>
          <w:p>
            <w:pPr>
              <w:pageBreakBefore/>
              <w:spacing w:after="200" w:line="240" w:lineRule="auto"/>
              <w:jc w:val="left"/>
              <w:rPr>
                <w:rFonts w:cs="Times New Roman"/>
                <w:noProof/>
              </w:rPr>
            </w:pPr>
            <w:r>
              <w:rPr>
                <w:b/>
                <w:noProof/>
              </w:rPr>
              <w:t xml:space="preserve">Practici de succes: </w:t>
            </w:r>
          </w:p>
          <w:p>
            <w:pPr>
              <w:rPr>
                <w:rFonts w:eastAsia="Calibri" w:cs="Times New Roman"/>
                <w:noProof/>
              </w:rPr>
            </w:pPr>
            <w:r>
              <w:rPr>
                <w:b/>
                <w:noProof/>
              </w:rPr>
              <w:t>Slovenia</w:t>
            </w:r>
            <w:r>
              <w:rPr>
                <w:noProof/>
              </w:rPr>
              <w:t xml:space="preserve"> ilustrează faptul că politicile economice circulare și gestionarea îmbunătățită a deșeurilor pot fi realizate în perioade scurte de timp. O strategie cuprinzătoare privind circularitatea a stimulat colectarea și reciclarea selectivă, cu ajutorul fondurilor UE. </w:t>
            </w:r>
          </w:p>
          <w:p>
            <w:pPr>
              <w:spacing w:after="200" w:line="240" w:lineRule="auto"/>
              <w:rPr>
                <w:rFonts w:cs="Times New Roman"/>
                <w:noProof/>
              </w:rPr>
            </w:pPr>
            <w:r>
              <w:rPr>
                <w:b/>
                <w:noProof/>
              </w:rPr>
              <w:t>Danemarca</w:t>
            </w:r>
            <w:r>
              <w:rPr>
                <w:noProof/>
              </w:rPr>
              <w:t xml:space="preserve"> oferă un bun exemplu de cooperare deschisă de-a lungul lanțurilor valorice și de inovare pentru promovarea economiei circulare. Procentul IMM-urilor care oferă produse sau servicii ecologice este semnificativ mai mare decât media UE.</w:t>
            </w:r>
          </w:p>
          <w:p>
            <w:pPr>
              <w:spacing w:after="200" w:line="240" w:lineRule="auto"/>
              <w:rPr>
                <w:rFonts w:cs="Times New Roman"/>
                <w:noProof/>
              </w:rPr>
            </w:pPr>
            <w:r>
              <w:rPr>
                <w:b/>
                <w:noProof/>
              </w:rPr>
              <w:t xml:space="preserve">Franța </w:t>
            </w:r>
            <w:r>
              <w:rPr>
                <w:noProof/>
              </w:rPr>
              <w:t>a adoptat o foaie de parcurs ambițioasă pentru economia circulară</w:t>
            </w:r>
            <w:r>
              <w:rPr>
                <w:noProof/>
              </w:rPr>
              <w:footnoteReference w:id="23"/>
            </w:r>
            <w:r>
              <w:rPr>
                <w:noProof/>
              </w:rPr>
              <w:t xml:space="preserve"> în 2018, cu acțiuni menite să reducă utilizarea resurselor cu 30 % până în 2030. Aceasta a introdus un obiectiv ambițios de reciclare de 100 % pentru materiale plastice până în 2025, cu o estimare privind crearea a 300 000 de noi locuri de muncă verzi. </w:t>
            </w:r>
          </w:p>
        </w:tc>
      </w:tr>
    </w:tbl>
    <w:p>
      <w:pPr>
        <w:numPr>
          <w:ilvl w:val="0"/>
          <w:numId w:val="3"/>
        </w:numPr>
        <w:spacing w:line="240" w:lineRule="auto"/>
        <w:ind w:left="357" w:hanging="357"/>
        <w:rPr>
          <w:rFonts w:cs="Times New Roman"/>
          <w:noProof/>
        </w:rPr>
      </w:pPr>
      <w:r>
        <w:rPr>
          <w:i/>
          <w:noProof/>
        </w:rPr>
        <w:t>Multe state membre</w:t>
      </w:r>
      <w:r>
        <w:rPr>
          <w:i/>
          <w:noProof/>
        </w:rPr>
        <w:footnoteReference w:id="24"/>
      </w:r>
      <w:r>
        <w:rPr>
          <w:i/>
          <w:noProof/>
        </w:rPr>
        <w:t xml:space="preserve"> trebuie să sporească eficiența colectării selective a deșeurilor, o condiție prealabilă pentru îmbunătățirea reciclării în ceea ce privește cantitatea și/sau calitatea. O altă problemă o reprezintă incinerarea sau depozitarea deșeurilor reciclabile. Aproape toate statele membre sunt încurajate să pună în aplicare măsuri noi care vizează renunțarea la incinerarea și depozitarea deșeurilor refolosibile și reciclabile și îmbunătățirea și extinderea sistemelor de colectare selectivă a acestora.</w:t>
      </w:r>
      <w:r>
        <w:rPr>
          <w:noProof/>
        </w:rPr>
        <w:t xml:space="preserve"> </w:t>
      </w:r>
      <w:r>
        <w:rPr>
          <w:i/>
          <w:noProof/>
        </w:rPr>
        <w:t>Numărul de depozite de deșeuri care nu sunt conforme cu cerințele Directivei privind depozitele de deșeuri</w:t>
      </w:r>
      <w:r>
        <w:rPr>
          <w:i/>
          <w:noProof/>
        </w:rPr>
        <w:footnoteReference w:id="25"/>
      </w:r>
      <w:r>
        <w:rPr>
          <w:i/>
          <w:noProof/>
        </w:rPr>
        <w:t xml:space="preserve"> rămâne un subiect de îngrijorare. </w:t>
      </w:r>
    </w:p>
    <w:p>
      <w:pPr>
        <w:pStyle w:val="ListParagraph"/>
        <w:numPr>
          <w:ilvl w:val="1"/>
          <w:numId w:val="5"/>
        </w:numPr>
        <w:spacing w:before="240" w:line="240" w:lineRule="auto"/>
        <w:rPr>
          <w:rFonts w:cs="Times New Roman"/>
          <w:b/>
          <w:bCs/>
          <w:noProof/>
          <w:sz w:val="24"/>
          <w:szCs w:val="24"/>
        </w:rPr>
      </w:pPr>
      <w:r>
        <w:rPr>
          <w:b/>
          <w:noProof/>
          <w:sz w:val="24"/>
        </w:rPr>
        <w:t>Schimbările climatice și mediul</w:t>
      </w:r>
    </w:p>
    <w:p>
      <w:pPr>
        <w:spacing w:before="240" w:line="240" w:lineRule="auto"/>
        <w:rPr>
          <w:rFonts w:cs="Times New Roman"/>
          <w:noProof/>
        </w:rPr>
      </w:pPr>
      <w:r>
        <w:rPr>
          <w:noProof/>
        </w:rPr>
        <w:t>Multe ecosisteme, precum și unele dintre serviciile pe care le oferă, au suferit deja modificări din cauza încălzirii globale</w:t>
      </w:r>
      <w:r>
        <w:rPr>
          <w:noProof/>
        </w:rPr>
        <w:footnoteReference w:id="26"/>
      </w:r>
      <w:r>
        <w:rPr>
          <w:noProof/>
        </w:rPr>
        <w:t xml:space="preserve"> și prezintă un risc suplimentar din cauza condițiilor climatice în schimbare.</w:t>
      </w:r>
    </w:p>
    <w:p>
      <w:pPr>
        <w:spacing w:line="240" w:lineRule="auto"/>
        <w:rPr>
          <w:rFonts w:cs="Times New Roman"/>
          <w:noProof/>
        </w:rPr>
      </w:pPr>
      <w:r>
        <w:rPr>
          <w:noProof/>
        </w:rPr>
        <w:t>Acțiunile în domeniul climei sunt esențiale pentru a aborda numeroase provocări legate de mediu, cum ar fi, printre altele, poluarea aerului, biodiversitatea, apa sau speciile invazive. Pe de altă parte, luarea de măsuri în numeroase domenii în materie de mediu poate avea un beneficiu direct asupra climei; printre altele, asupra agriculturii și utilizării terenurilor, asupra deșeurilor sau poluării aerului. Viziunea europeană strategică pe termen lung a Comisiei privind o economie prosperă, modernă, competitivă și neutră din punctul de vedere al impactului asupra climei</w:t>
      </w:r>
      <w:r>
        <w:rPr>
          <w:noProof/>
        </w:rPr>
        <w:footnoteReference w:id="27"/>
      </w:r>
      <w:r>
        <w:rPr>
          <w:noProof/>
        </w:rPr>
        <w:t xml:space="preserve"> confirmă angajamentul Europei de a deschide calea în domeniul combaterii schimbărilor climatice la nivel mondial și de a prezenta o viziune care poate conduce la atingerea, până în 2050, a obiectivului de zero emisiilor nete de gaze cu efect de seră.</w:t>
      </w:r>
    </w:p>
    <w:p>
      <w:pPr>
        <w:rPr>
          <w:rFonts w:cs="Times New Roman"/>
          <w:noProof/>
        </w:rPr>
      </w:pPr>
      <w:r>
        <w:rPr>
          <w:noProof/>
        </w:rPr>
        <w:t>În 2018, UE a adoptat o legislație care vizează reducerea emisiilor de gaze cu efect de seră cu cel puțin 40 % până în 2030, comparativ cu 1990</w:t>
      </w:r>
      <w:r>
        <w:rPr>
          <w:noProof/>
        </w:rPr>
        <w:footnoteReference w:id="28"/>
      </w:r>
      <w:r>
        <w:rPr>
          <w:noProof/>
        </w:rPr>
        <w:t xml:space="preserve">. Pentru prima dată, cadrul UE acoperă atât emisiile, cât și absorbțiile rezultate din exploatarea terenurilor. De asemenea, UE și-a fixat obiective mai ambițioase în domeniul energiei din surse regenerabile și al eficienței energetice. Atunci când legislația convenită a UE va fi pusă în aplicare pe deplin, se estimează că reducerea emisiilor din UE va ajunge la aproximativ 45 % până în 2030. </w:t>
      </w:r>
    </w:p>
    <w:p>
      <w:pPr>
        <w:spacing w:line="240" w:lineRule="auto"/>
        <w:rPr>
          <w:rFonts w:cs="Times New Roman"/>
          <w:noProof/>
        </w:rPr>
      </w:pPr>
      <w:r>
        <w:rPr>
          <w:noProof/>
        </w:rPr>
        <w:t xml:space="preserve">Până la sfârșitul anului 2018, statele membre aveau obligația să prezinte proiectele de planuri naționale privind energia și clima, să lucreze la proiectele naționale privind programele de control al poluării aerului și la planurile de contabilizare a emisiilor de gaze cu efect de seră și a absorbțiilor rezultate din exploatarea terenurilor, din schimbarea utilizării terenurilor și din silvicultură. Aceste planuri ar trebui să consolideze coerența dintre politicile privind clima, aerul și energia și, prin urmare, ar putea deveni exemple bune de corelare a politicilor sectoriale specifice, cum ar fi agricultura-natura-apa și transportul-aerul-sănătatea, pentru a putea răspunde provocărilor comune. </w:t>
      </w:r>
    </w:p>
    <w:p>
      <w:pPr>
        <w:rPr>
          <w:rFonts w:cs="Times New Roman"/>
          <w:noProof/>
        </w:rPr>
      </w:pPr>
      <w:r>
        <w:rPr>
          <w:noProof/>
        </w:rPr>
        <w:t>Abordarea Comisiei în ceea ce privește adaptarea la schimbările climatice urmărește să contribuie la o Europă mai rezistentă la schimbările climatice printr-o pregătire mai bună și o capacitate mai mare de a răspunde la efectele schimbărilor climatice la nivel local, regional, național și la nivelul UE. Comisia a evaluat Strategia UE privind adaptarea la schimbările climatice din 2013, sugerând domenii în care trebuie depuse mai multe eforturi pentru a pregăti regiunile și sectoarele vulnerabile</w:t>
      </w:r>
      <w:r>
        <w:rPr>
          <w:noProof/>
        </w:rPr>
        <w:footnoteReference w:id="29"/>
      </w:r>
      <w:r>
        <w:rPr>
          <w:noProof/>
        </w:rPr>
        <w:t>. Sunt necesare sinergii între eforturile de adaptare, de dezvoltare durabilă și de reducere a riscului de dezastre, pentru a evita daunele care s-ar putea produce în viitor.</w:t>
      </w:r>
    </w:p>
    <w:p>
      <w:pPr>
        <w:rPr>
          <w:rFonts w:cs="Times New Roman"/>
          <w:noProof/>
        </w:rPr>
      </w:pPr>
      <w:r>
        <w:rPr>
          <w:noProof/>
        </w:rPr>
        <w:t>În general, statele membre au făcut progrese semnificative în ceea ce privește elaborarea unei strategii naționale privind adaptarea și/sau a unui plan național privind adaptarea. Acest progres sugerează că există un nivel semnificativ mai mare de politici privind pregătirea și adaptarea decât în 2013. Obiectivele privind adaptarea trebuie să fie incluse și în planurile naționale de energie și climă, prevăzute în cadrul de guvernanță a uniunii energetice</w:t>
      </w:r>
      <w:r>
        <w:rPr>
          <w:noProof/>
        </w:rPr>
        <w:footnoteReference w:id="30"/>
      </w:r>
      <w:r>
        <w:rPr>
          <w:noProof/>
        </w:rPr>
        <w:t>.</w:t>
      </w:r>
    </w:p>
    <w:p>
      <w:pPr>
        <w:spacing w:after="200" w:line="240" w:lineRule="auto"/>
        <w:jc w:val="left"/>
        <w:rPr>
          <w:rFonts w:cs="Times New Roman"/>
          <w:i/>
          <w:iCs/>
          <w:noProof/>
        </w:rPr>
      </w:pPr>
      <w:r>
        <w:rPr>
          <w:i/>
          <w:noProof/>
        </w:rPr>
        <w:t>Constatări în materie de politici:</w:t>
      </w:r>
    </w:p>
    <w:p>
      <w:pPr>
        <w:numPr>
          <w:ilvl w:val="0"/>
          <w:numId w:val="3"/>
        </w:numPr>
        <w:spacing w:line="240" w:lineRule="auto"/>
        <w:ind w:left="357" w:hanging="357"/>
        <w:rPr>
          <w:rFonts w:cs="Times New Roman"/>
          <w:i/>
          <w:iCs/>
          <w:noProof/>
        </w:rPr>
      </w:pPr>
      <w:r>
        <w:rPr>
          <w:i/>
          <w:noProof/>
        </w:rPr>
        <w:t xml:space="preserve">În general, există un nivel bun de punere în aplicare a legislației privind clima în întreaga UE și este probabil ca obiectivele pentru 2020 să fie îndeplinite. </w:t>
      </w:r>
    </w:p>
    <w:p>
      <w:pPr>
        <w:numPr>
          <w:ilvl w:val="0"/>
          <w:numId w:val="3"/>
        </w:numPr>
        <w:spacing w:line="240" w:lineRule="auto"/>
        <w:ind w:left="357" w:hanging="357"/>
        <w:rPr>
          <w:rFonts w:cs="Times New Roman"/>
          <w:i/>
          <w:iCs/>
          <w:noProof/>
        </w:rPr>
      </w:pPr>
      <w:r>
        <w:rPr>
          <w:i/>
          <w:noProof/>
        </w:rPr>
        <w:t>Toate statele membre și-au îndeplinit obligațiile care decurg din Decizia privind partajarea eforturilor în perioada 2013-2015. Unele state membre</w:t>
      </w:r>
      <w:r>
        <w:rPr>
          <w:i/>
          <w:noProof/>
        </w:rPr>
        <w:footnoteReference w:id="31"/>
      </w:r>
      <w:r>
        <w:rPr>
          <w:i/>
          <w:noProof/>
        </w:rPr>
        <w:t xml:space="preserve"> trebuie să mobilizeze mecanismele de flexibilitate prevăzute de legislație pentru a-și respecta obligațiile actuale. </w:t>
      </w:r>
    </w:p>
    <w:p>
      <w:pPr>
        <w:numPr>
          <w:ilvl w:val="0"/>
          <w:numId w:val="3"/>
        </w:numPr>
        <w:spacing w:line="240" w:lineRule="auto"/>
        <w:ind w:left="357" w:hanging="357"/>
        <w:rPr>
          <w:rFonts w:cs="Times New Roman"/>
          <w:i/>
          <w:iCs/>
          <w:noProof/>
        </w:rPr>
      </w:pPr>
      <w:r>
        <w:rPr>
          <w:i/>
          <w:noProof/>
        </w:rPr>
        <w:t xml:space="preserve">EU ETS are o rată de conformitate foarte ridicată, deoarece în fiecare an instalațiile acoperă în jur de 99 % din emisiile proprii cu numărul necesar de certificate. </w:t>
      </w:r>
    </w:p>
    <w:p>
      <w:pPr>
        <w:numPr>
          <w:ilvl w:val="0"/>
          <w:numId w:val="3"/>
        </w:numPr>
        <w:spacing w:line="240" w:lineRule="auto"/>
        <w:ind w:left="357" w:hanging="357"/>
        <w:rPr>
          <w:rFonts w:cs="Times New Roman"/>
          <w:noProof/>
        </w:rPr>
      </w:pPr>
      <w:r>
        <w:rPr>
          <w:i/>
          <w:noProof/>
        </w:rPr>
        <w:t>În octombrie 2018, douăzeci și cinci de state membre</w:t>
      </w:r>
      <w:r>
        <w:rPr>
          <w:i/>
          <w:noProof/>
        </w:rPr>
        <w:footnoteReference w:id="32"/>
      </w:r>
      <w:r>
        <w:rPr>
          <w:i/>
          <w:noProof/>
        </w:rPr>
        <w:t xml:space="preserve"> elaboraseră deja strategii naționale privind adaptarea, cu eforturi continue depuse în celelalte trei state membre pentru finalizarea acestora.</w:t>
      </w:r>
    </w:p>
    <w:p>
      <w:pPr>
        <w:numPr>
          <w:ilvl w:val="0"/>
          <w:numId w:val="3"/>
        </w:numPr>
        <w:spacing w:line="240" w:lineRule="auto"/>
        <w:rPr>
          <w:rFonts w:cs="Times New Roman"/>
          <w:noProof/>
        </w:rPr>
      </w:pPr>
      <w:r>
        <w:rPr>
          <w:i/>
          <w:noProof/>
        </w:rPr>
        <w:t>Trebuie intensificate eforturile privind adaptarea în fiecare stat membru și la nivelul UE, deoarece acțiunile adecvate de prevenire și/sau de reducere la minimum a daunelor care pot fi provocate de schimbările climatice au beneficii economice și sociale semnificative.</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Practici de succes:</w:t>
            </w:r>
          </w:p>
          <w:p>
            <w:pPr>
              <w:spacing w:after="200" w:line="240" w:lineRule="auto"/>
              <w:rPr>
                <w:rFonts w:cs="Times New Roman"/>
                <w:noProof/>
              </w:rPr>
            </w:pPr>
            <w:r>
              <w:rPr>
                <w:noProof/>
              </w:rPr>
              <w:t xml:space="preserve">În temeiul Deciziei privind partajarea eforturilor, </w:t>
            </w:r>
            <w:r>
              <w:rPr>
                <w:b/>
                <w:noProof/>
              </w:rPr>
              <w:t>Suedia</w:t>
            </w:r>
            <w:r>
              <w:rPr>
                <w:noProof/>
              </w:rPr>
              <w:t xml:space="preserve"> nu și-a utilizat nivelul complet de emisii alocate și a anulat alocarea anuală excedentară a emisiilor pentru a spori integritatea ecologică a sistemului în ansamblu. </w:t>
            </w:r>
          </w:p>
          <w:p>
            <w:pPr>
              <w:rPr>
                <w:rFonts w:cs="Times New Roman"/>
                <w:noProof/>
              </w:rPr>
            </w:pPr>
            <w:r>
              <w:rPr>
                <w:noProof/>
              </w:rPr>
              <w:t xml:space="preserve">Strategia UE pentru regiunea Dunării pune un accent deosebit pe adaptarea la fenomenele meteorologice extreme și oferă o platformă importantă pentru promovarea cooperării dintre </w:t>
            </w:r>
            <w:r>
              <w:rPr>
                <w:b/>
                <w:noProof/>
              </w:rPr>
              <w:t>Austria, Bulgaria, Croația, Republica Cehă, Germania, Ungaria, România și Slovacia</w:t>
            </w:r>
            <w:r>
              <w:rPr>
                <w:noProof/>
              </w:rPr>
              <w:t xml:space="preserve"> privind supravegherea comună și gestionarea inundațiilor</w:t>
            </w:r>
            <w:r>
              <w:rPr>
                <w:noProof/>
              </w:rPr>
              <w:footnoteReference w:id="33"/>
            </w:r>
            <w:r>
              <w:rPr>
                <w:noProof/>
              </w:rPr>
              <w:t xml:space="preserve">. </w:t>
            </w:r>
          </w:p>
          <w:p>
            <w:pPr>
              <w:rPr>
                <w:rFonts w:cs="Times New Roman"/>
                <w:noProof/>
              </w:rPr>
            </w:pPr>
            <w:r>
              <w:rPr>
                <w:noProof/>
              </w:rPr>
              <w:t>În plus, sunt în vigoare convenții internaționale privind Alpii</w:t>
            </w:r>
            <w:r>
              <w:rPr>
                <w:noProof/>
              </w:rPr>
              <w:footnoteReference w:id="34"/>
            </w:r>
            <w:r>
              <w:rPr>
                <w:noProof/>
              </w:rPr>
              <w:t xml:space="preserve"> și Carpații</w:t>
            </w:r>
            <w:r>
              <w:rPr>
                <w:noProof/>
              </w:rPr>
              <w:footnoteReference w:id="35"/>
            </w:r>
            <w:r>
              <w:rPr>
                <w:noProof/>
              </w:rPr>
              <w:t xml:space="preserve">. Există, de asemenea, o cooperare transfrontalieră cu membrii din afara UE în ceea ce privește biodiversitatea și problemele privind adaptarea din Europa de Nord. Inițiativa Fennoscandia Green Belt (Centura verde din Fennoscandia) sprijină cooperarea comună în domeniul conservării naturii între </w:t>
            </w:r>
            <w:r>
              <w:rPr>
                <w:b/>
                <w:noProof/>
              </w:rPr>
              <w:t>Finlanda</w:t>
            </w:r>
            <w:r>
              <w:rPr>
                <w:noProof/>
              </w:rPr>
              <w:t xml:space="preserve">, Norvegia și Rusia, printre alte puncte focale privind amenințările la adresa serviciilor ecosistemice generate de schimbările climatice. </w:t>
            </w:r>
          </w:p>
        </w:tc>
      </w:tr>
    </w:tbl>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Protejarea, conservarea și îmbunătățirea capitalului natural </w:t>
      </w:r>
    </w:p>
    <w:p>
      <w:pPr>
        <w:rPr>
          <w:rFonts w:cs="Times New Roman"/>
          <w:noProof/>
        </w:rPr>
      </w:pPr>
      <w:r>
        <w:rPr>
          <w:noProof/>
        </w:rPr>
        <w:t>Caracterul unic și bogat al naturii Europei are o valoare intrinsecă și este o sursă de resurse prețioase și de beneficii pentru oameni și economie. UE a elaborat un sistem cuprinzător de norme care acoperă natura, biodiversitatea, protecția solului și protecția marină, care sunt esențiale pentru atingerea obiectivului principal al Strategiei UE în domeniul biodiversității pentru 2020</w:t>
      </w:r>
      <w:r>
        <w:rPr>
          <w:noProof/>
        </w:rPr>
        <w:footnoteReference w:id="36"/>
      </w:r>
      <w:r>
        <w:rPr>
          <w:noProof/>
        </w:rPr>
        <w:t xml:space="preserve">, și anume stoparea pierderii biodiversității și a serviciilor ecosistemice și refacerea acestora în măsura posibilului. </w:t>
      </w:r>
    </w:p>
    <w:p>
      <w:pPr>
        <w:rPr>
          <w:rFonts w:cs="Times New Roman"/>
          <w:noProof/>
        </w:rPr>
      </w:pPr>
      <w:r>
        <w:rPr>
          <w:noProof/>
        </w:rPr>
        <w:t>Atingerea unui stadiu corespunzător de conservare a speciilor protejate și a habitatelor necesită punerea deplină în aplicare a Directivelor „Habitate” și „Păsări”</w:t>
      </w:r>
      <w:r>
        <w:rPr>
          <w:noProof/>
        </w:rPr>
        <w:footnoteReference w:id="37"/>
      </w:r>
      <w:r>
        <w:rPr>
          <w:noProof/>
        </w:rPr>
        <w:t>. Planul de acțiune pentru natură, cetățeni și economie</w:t>
      </w:r>
      <w:r>
        <w:rPr>
          <w:noProof/>
        </w:rPr>
        <w:footnoteReference w:id="38"/>
      </w:r>
      <w:r>
        <w:rPr>
          <w:noProof/>
        </w:rPr>
        <w:t xml:space="preserve"> urmărește să îmbunătățească rapid aplicarea practică a Directivelor „Natura” menționate mai sus și să accelereze progresul către obiectivul UE de stopare și de inversare a tendinței de pierdere a biodiversității și a serviciilor ecosistemice până în 2020</w:t>
      </w:r>
      <w:r>
        <w:rPr>
          <w:rFonts w:eastAsiaTheme="minorEastAsia"/>
          <w:noProof/>
        </w:rPr>
        <w:footnoteReference w:id="39"/>
      </w:r>
      <w:r>
        <w:rPr>
          <w:noProof/>
        </w:rPr>
        <w:t xml:space="preserve">. La fiecare șase ani, statele membre raportează cu privire la progresele înregistrate în acest sens și, prin urmare, nu sunt disponibile noi informații pentru acest ciclu al evaluării punerii în aplicare a politicilor de mediu. Raportarea programată în a doua parte a anului 2019 va fi reflectată în Raportul Comisiei privind starea naturii din 2020. </w:t>
      </w:r>
    </w:p>
    <w:p>
      <w:pPr>
        <w:rPr>
          <w:rFonts w:cs="Times New Roman"/>
          <w:noProof/>
        </w:rPr>
      </w:pPr>
      <w:r>
        <w:rPr>
          <w:noProof/>
        </w:rPr>
        <w:t xml:space="preserve">În general, deși rămân unele lacune importante, rețeaua Natura 2000 a continuat să se extindă în zonele marine, iar UE a îndeplinit deja obiectivul Aichi pentru 2020, și anume 10 % din zonele de coastă și marine să fie acoperite de zone protejate. De asemenea, s-au înregistrat progrese în ceea ce privește adoptarea măsurilor de conservare necesare, cum ar fi planurile de gestionare a siturilor, deși acestea acoperă în continuare doar 70 % din siturile Natura 2000. Sunt în continuare necesare eforturi majore pentru a asigura punerea în aplicare, inclusiv finanțarea, unor astfel de măsuri pe teren și îndeplinirea obiectivelor de conservare. Acest lucru se aplică și măsurilor din unele regiuni ultraperiferice și din țările și teritoriile de peste mări. </w:t>
      </w:r>
    </w:p>
    <w:p>
      <w:pPr>
        <w:rPr>
          <w:rFonts w:cs="Times New Roman"/>
          <w:noProof/>
        </w:rPr>
      </w:pPr>
      <w:r>
        <w:rPr>
          <w:noProof/>
        </w:rPr>
        <w:br/>
        <w:t xml:space="preserve">Introducerea și răspândirea speciilor alogene invazive reprezintă o amenințare tot mai mare pentru biodiversitatea Europei. Regulamentul privind speciile alogene invazive oferă un set de măsuri care trebuie luate în întreaga UE în ceea ce privește speciile incluse pe </w:t>
      </w:r>
      <w:hyperlink r:id="rId20">
        <w:r>
          <w:rPr>
            <w:noProof/>
          </w:rPr>
          <w:t>lista de interes pentru Uniune</w:t>
        </w:r>
      </w:hyperlink>
      <w:r>
        <w:rPr>
          <w:noProof/>
        </w:rPr>
        <w:footnoteReference w:id="40"/>
      </w:r>
      <w:r>
        <w:rPr>
          <w:noProof/>
        </w:rPr>
        <w:t xml:space="preserve">. </w:t>
      </w:r>
    </w:p>
    <w:p>
      <w:pPr>
        <w:rPr>
          <w:rFonts w:cs="Times New Roman"/>
          <w:noProof/>
        </w:rPr>
      </w:pPr>
      <w:r>
        <w:rPr>
          <w:noProof/>
        </w:rPr>
        <w:t xml:space="preserve">Informațiile disponibile indică faptul că ecosistemele marine și terestre, precum și solul, continuă să fie afectate de mai multe presiuni, de la practicile agricole inadecvate, abandonarea terenurilor, schimbările climatice, dezvoltarea infrastructurii, extinderea urbană, poluarea aerului, a solului și a apei, până la presiunile intense din partea speciilor alogene invazive. Abordarea unei game atât de largi de presiuni necesită, printre altele, integrarea eficientă a obiectivelor legate de biodiversitate în alte politici, în special în cadrul celor legate de finanțare, și promovarea dialogului între actori. </w:t>
      </w:r>
    </w:p>
    <w:p>
      <w:pPr>
        <w:spacing w:after="200" w:line="276" w:lineRule="auto"/>
        <w:jc w:val="left"/>
        <w:rPr>
          <w:rFonts w:cs="Times New Roman"/>
          <w:i/>
          <w:iCs/>
          <w:noProof/>
        </w:rPr>
      </w:pPr>
      <w:r>
        <w:rPr>
          <w:i/>
          <w:noProof/>
        </w:rPr>
        <w:t>Constatări în materie de politici:</w:t>
      </w:r>
    </w:p>
    <w:p>
      <w:pPr>
        <w:numPr>
          <w:ilvl w:val="0"/>
          <w:numId w:val="3"/>
        </w:numPr>
        <w:spacing w:line="240" w:lineRule="auto"/>
        <w:ind w:left="357" w:hanging="357"/>
        <w:rPr>
          <w:rFonts w:cs="Times New Roman"/>
          <w:i/>
          <w:iCs/>
          <w:noProof/>
        </w:rPr>
      </w:pPr>
      <w:r>
        <w:rPr>
          <w:i/>
          <w:noProof/>
        </w:rPr>
        <w:t xml:space="preserve">Lacunele semnificative în ceea ce privește punerea în aplicare, asigurarea respectării, finanțarea și integrarea politicilor afectează eforturile de protejare a ecosistemelor europene. Pierderea biodiversității continuă în UE, chiar dacă s-au înregistrat unele progrese la nivel local. </w:t>
      </w:r>
    </w:p>
    <w:p>
      <w:pPr>
        <w:numPr>
          <w:ilvl w:val="0"/>
          <w:numId w:val="3"/>
        </w:numPr>
        <w:spacing w:line="240" w:lineRule="auto"/>
        <w:ind w:left="357" w:hanging="357"/>
        <w:rPr>
          <w:rFonts w:cs="Times New Roman"/>
          <w:i/>
          <w:iCs/>
          <w:noProof/>
        </w:rPr>
      </w:pPr>
      <w:r>
        <w:rPr>
          <w:i/>
          <w:noProof/>
        </w:rPr>
        <w:t>În ciuda unor progrese înregistrate începând cu anul 2017 în ceea ce privește finalizarea și gestionarea programului Natura 2000, majoritatea statelor membre</w:t>
      </w:r>
      <w:r>
        <w:rPr>
          <w:i/>
          <w:noProof/>
          <w:vertAlign w:val="superscript"/>
        </w:rPr>
        <w:footnoteReference w:id="41"/>
      </w:r>
      <w:r>
        <w:rPr>
          <w:i/>
          <w:noProof/>
        </w:rPr>
        <w:t xml:space="preserve"> trebuie să accelereze eforturile de finalizare a rețelelor lor, în special pentru mediul marin, și să finalizeze procesul de desemnare a ariilor speciale de conservare, dezvoltând și punând totodată în aplicare măsuri de conservare mai eficiente. Unele state membre</w:t>
      </w:r>
      <w:r>
        <w:rPr>
          <w:noProof/>
          <w:vertAlign w:val="superscript"/>
        </w:rPr>
        <w:footnoteReference w:id="42"/>
      </w:r>
      <w:r>
        <w:rPr>
          <w:i/>
          <w:noProof/>
        </w:rPr>
        <w:t xml:space="preserve"> ar trebui, de asemenea, să dezvolte și să promoveze abordări mai inteligente și mai eficiente pentru punerea în aplicare, cu scopul de a asigura conformitatea. Pentru a preveni deteriorarea și a asigura buna gestionare a siturilor Natura 2000 sunt necesare o capacitate mai bună în cadrul administrațiilor naționale și o finanțare adecvată</w:t>
      </w:r>
      <w:r>
        <w:rPr>
          <w:i/>
          <w:noProof/>
        </w:rPr>
        <w:footnoteReference w:id="43"/>
      </w:r>
      <w:r>
        <w:rPr>
          <w:i/>
          <w:noProof/>
        </w:rPr>
        <w:t>.</w:t>
      </w:r>
    </w:p>
    <w:p>
      <w:pPr>
        <w:numPr>
          <w:ilvl w:val="0"/>
          <w:numId w:val="3"/>
        </w:numPr>
        <w:spacing w:line="240" w:lineRule="auto"/>
        <w:ind w:left="357" w:hanging="357"/>
        <w:rPr>
          <w:rFonts w:cs="Times New Roman"/>
          <w:i/>
          <w:iCs/>
          <w:noProof/>
        </w:rPr>
      </w:pPr>
      <w:r>
        <w:rPr>
          <w:i/>
          <w:noProof/>
        </w:rPr>
        <w:t>În general, cartografierea ecosistemelor și a serviciilor acestora s-a îmbunătățit din 2017, dar unele state membre</w:t>
      </w:r>
      <w:r>
        <w:rPr>
          <w:i/>
          <w:noProof/>
        </w:rPr>
        <w:footnoteReference w:id="44"/>
      </w:r>
      <w:r>
        <w:rPr>
          <w:i/>
          <w:noProof/>
        </w:rPr>
        <w:t xml:space="preserve"> sunt încă în urmă. </w:t>
      </w:r>
    </w:p>
    <w:p>
      <w:pPr>
        <w:numPr>
          <w:ilvl w:val="0"/>
          <w:numId w:val="3"/>
        </w:numPr>
        <w:spacing w:line="240" w:lineRule="auto"/>
        <w:ind w:left="357" w:hanging="357"/>
        <w:rPr>
          <w:rFonts w:eastAsia="Times New Roman,Calibri" w:cs="Times New Roman"/>
          <w:i/>
          <w:iCs/>
          <w:noProof/>
        </w:rPr>
      </w:pPr>
      <w:r>
        <w:rPr>
          <w:i/>
          <w:noProof/>
        </w:rPr>
        <w:t>Unele state membre</w:t>
      </w:r>
      <w:r>
        <w:rPr>
          <w:i/>
          <w:noProof/>
        </w:rPr>
        <w:footnoteReference w:id="45"/>
      </w:r>
      <w:r>
        <w:rPr>
          <w:i/>
          <w:noProof/>
        </w:rPr>
        <w:t xml:space="preserve"> ar trebui să își îmbunătățească protejarea habitatelor pădurilor și ale pășunilor prin stimulente pentru silvicultori și agricultori, în contextul Strategiei UE pentru păduri din 2013</w:t>
      </w:r>
      <w:r>
        <w:rPr>
          <w:i/>
          <w:noProof/>
        </w:rPr>
        <w:footnoteReference w:id="46"/>
      </w:r>
      <w:r>
        <w:rPr>
          <w:i/>
          <w:noProof/>
        </w:rPr>
        <w:t>. Gestionarea durabilă a pădurilor și utilizarea eficientă a biomasei sunt esențiale pentru o utilizare durabilă a resurselor naturale.</w:t>
      </w:r>
    </w:p>
    <w:p>
      <w:pPr>
        <w:numPr>
          <w:ilvl w:val="0"/>
          <w:numId w:val="3"/>
        </w:numPr>
        <w:spacing w:line="240" w:lineRule="auto"/>
        <w:ind w:left="357" w:hanging="357"/>
        <w:rPr>
          <w:rFonts w:eastAsia="Times New Roman,Calibri" w:cs="Times New Roman"/>
          <w:i/>
          <w:iCs/>
          <w:noProof/>
        </w:rPr>
      </w:pPr>
      <w:r>
        <w:rPr>
          <w:i/>
          <w:noProof/>
        </w:rPr>
        <w:t>Unele state membre</w:t>
      </w:r>
      <w:r>
        <w:rPr>
          <w:i/>
          <w:noProof/>
          <w:vertAlign w:val="superscript"/>
        </w:rPr>
        <w:footnoteReference w:id="47"/>
      </w:r>
      <w:r>
        <w:rPr>
          <w:i/>
          <w:noProof/>
        </w:rPr>
        <w:t xml:space="preserve"> nu au adoptat o legislație națională pentru a se conforma Regulamentului privind speciile alogene invazive și/sau nu au notificat la timp Comisia cu privire la măsurile de eradicare</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Datele insuficiente, monitorizarea și raportarea afectează evaluarea măsurilor de protecție pentru zonele marine. Unele țări</w:t>
      </w:r>
      <w:r>
        <w:rPr>
          <w:i/>
          <w:noProof/>
          <w:vertAlign w:val="superscript"/>
        </w:rPr>
        <w:footnoteReference w:id="49"/>
      </w:r>
      <w:r>
        <w:rPr>
          <w:i/>
          <w:noProof/>
        </w:rPr>
        <w:t xml:space="preserve"> nu au raportat la timp</w:t>
      </w:r>
      <w:r>
        <w:rPr>
          <w:i/>
          <w:noProof/>
        </w:rPr>
        <w:footnoteReference w:id="50"/>
      </w:r>
      <w:r>
        <w:rPr>
          <w:i/>
          <w:noProof/>
        </w:rPr>
        <w:t xml:space="preserve"> , în timp ce multe altele</w:t>
      </w:r>
      <w:r>
        <w:rPr>
          <w:i/>
          <w:noProof/>
          <w:vertAlign w:val="superscript"/>
        </w:rPr>
        <w:footnoteReference w:id="51"/>
      </w:r>
      <w:r>
        <w:rPr>
          <w:i/>
          <w:noProof/>
        </w:rPr>
        <w:t xml:space="preserve"> trebuie să își îmbunătățească programele de cooperare și monitorizare.</w:t>
      </w:r>
    </w:p>
    <w:p>
      <w:pPr>
        <w:spacing w:line="240" w:lineRule="auto"/>
        <w:rPr>
          <w:rFonts w:cs="Times New Roman"/>
          <w:i/>
          <w:iCs/>
          <w:noProof/>
        </w:rPr>
      </w:pPr>
    </w:p>
    <w:p>
      <w:pPr>
        <w:spacing w:line="240" w:lineRule="auto"/>
        <w:ind w:left="360"/>
        <w:rPr>
          <w:rFonts w:eastAsia="Times New Roman,Calibri" w:cs="Times New Roman"/>
          <w:i/>
          <w:iCs/>
          <w:noProof/>
        </w:rPr>
      </w:pP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Practici de succes:</w:t>
            </w:r>
          </w:p>
          <w:p>
            <w:pPr>
              <w:spacing w:after="200" w:line="240" w:lineRule="auto"/>
              <w:rPr>
                <w:rFonts w:cs="Times New Roman"/>
                <w:noProof/>
              </w:rPr>
            </w:pPr>
            <w:r>
              <w:rPr>
                <w:noProof/>
              </w:rPr>
              <w:t xml:space="preserve">În </w:t>
            </w:r>
            <w:r>
              <w:rPr>
                <w:b/>
                <w:noProof/>
              </w:rPr>
              <w:t>România</w:t>
            </w:r>
            <w:r>
              <w:rPr>
                <w:noProof/>
              </w:rPr>
              <w:t>, proiectul LIFE „Connect Carpathians”</w:t>
            </w:r>
            <w:r>
              <w:rPr>
                <w:noProof/>
              </w:rPr>
              <w:footnoteReference w:id="52"/>
            </w:r>
            <w:r>
              <w:rPr>
                <w:noProof/>
              </w:rPr>
              <w:t xml:space="preserve"> își propune să consolideze conectivitatea dintre peisaje în cadrul coridoarelor ecologice ale siturilor Natura 2000 din vestul României. Aceste situri sunt zone în care specii emblematice precum ursul și lupul se pot deplasa fără riscul de a fi vânate sau ucise accidental. Proiectul este completat de mai multe activități care au ca scop îmbunătățirea capacității administrative, implicarea părților interesate locale și asigurarea terenurilor pentru crearea coridoarelor de legătură. </w:t>
            </w:r>
          </w:p>
          <w:p>
            <w:pPr>
              <w:spacing w:after="200" w:line="240" w:lineRule="auto"/>
              <w:rPr>
                <w:rFonts w:cs="Times New Roman"/>
                <w:noProof/>
              </w:rPr>
            </w:pPr>
            <w:r>
              <w:rPr>
                <w:b/>
                <w:noProof/>
              </w:rPr>
              <w:t>Cipru</w:t>
            </w:r>
            <w:r>
              <w:rPr>
                <w:noProof/>
              </w:rPr>
              <w:t xml:space="preserve"> este una dintre țările cu un stadiu avansat de punere în aplicare a Regulamentului UE privind lemnul. În ciuda dimensiunilor sale reduse, această țară a efectuat mai multe controale asupra operatorilor de lemn din țară și din străinătate decât orice alt stat membru. 100 % dintre operatorii naționali au beneficiat de formare privind obligațiile legale pe care le au de îndeplinit, iar amenzile aplicabile în cazul încălcărilor sunt printre cele mai ridicate din UE.</w:t>
            </w:r>
          </w:p>
        </w:tc>
      </w:tr>
    </w:tbl>
    <w:p>
      <w:pPr>
        <w:pStyle w:val="ListParagraph"/>
        <w:numPr>
          <w:ilvl w:val="1"/>
          <w:numId w:val="5"/>
        </w:numPr>
        <w:spacing w:before="240"/>
        <w:rPr>
          <w:rFonts w:eastAsia="Calibri" w:cs="Times New Roman"/>
          <w:b/>
          <w:noProof/>
          <w:sz w:val="24"/>
          <w:szCs w:val="24"/>
        </w:rPr>
      </w:pPr>
      <w:r>
        <w:rPr>
          <w:b/>
          <w:noProof/>
          <w:sz w:val="24"/>
        </w:rPr>
        <w:t xml:space="preserve"> Asigurarea sănătății cetățenilor și a calității vieții</w:t>
      </w:r>
    </w:p>
    <w:p>
      <w:pPr>
        <w:spacing w:line="240" w:lineRule="auto"/>
        <w:rPr>
          <w:rFonts w:eastAsia="Calibri" w:cs="Times New Roman"/>
          <w:b/>
          <w:i/>
          <w:noProof/>
        </w:rPr>
      </w:pPr>
      <w:r>
        <w:rPr>
          <w:b/>
          <w:i/>
          <w:noProof/>
        </w:rPr>
        <w:t>Calitatea aerului și zgomotul</w:t>
      </w:r>
    </w:p>
    <w:p>
      <w:pPr>
        <w:spacing w:line="240" w:lineRule="auto"/>
        <w:rPr>
          <w:rFonts w:cs="Times New Roman"/>
          <w:noProof/>
        </w:rPr>
      </w:pPr>
      <w:r>
        <w:rPr>
          <w:noProof/>
        </w:rPr>
        <w:t>Calitatea aerului în Europa s-a îmbunătățit în ultimele decenii, datorită eforturilor comune ale UE și ale autorităților naționale, regionale și locale</w:t>
      </w:r>
      <w:r>
        <w:rPr>
          <w:noProof/>
          <w:vertAlign w:val="superscript"/>
        </w:rPr>
        <w:footnoteReference w:id="53"/>
      </w:r>
      <w:r>
        <w:rPr>
          <w:noProof/>
        </w:rPr>
        <w:t xml:space="preserve">. Din anul 2000, produsul intern brut al UE a crescut cu 32 %, în timp ce emisiile poluanților atmosferici principali au scăzut cu între 10 % și 70 %, în funcție de poluant. Concentrațiile din aerul înconjurător pentru majoritatea poluanților atmosferici au scăzut, de asemenea, în ultimii ani. Cu toate acestea, în majoritatea statelor membre, calitatea vieții cetățenilor rămâne în continuare afectată, deoarece </w:t>
      </w:r>
      <w:r>
        <w:rPr>
          <w:rStyle w:val="st"/>
          <w:noProof/>
        </w:rPr>
        <w:t>concentrația anumitorpoluanți</w:t>
      </w:r>
      <w:r>
        <w:rPr>
          <w:noProof/>
        </w:rPr>
        <w:t xml:space="preserve"> </w:t>
      </w:r>
      <w:r>
        <w:rPr>
          <w:rStyle w:val="Emphasis"/>
          <w:i w:val="0"/>
          <w:noProof/>
        </w:rPr>
        <w:t>atmosferici</w:t>
      </w:r>
      <w:r>
        <w:rPr>
          <w:noProof/>
        </w:rPr>
        <w:t xml:space="preserve"> depășește </w:t>
      </w:r>
      <w:r>
        <w:rPr>
          <w:rStyle w:val="st"/>
          <w:noProof/>
        </w:rPr>
        <w:t>standardele de calitate a aerului</w:t>
      </w:r>
      <w:r>
        <w:rPr>
          <w:noProof/>
        </w:rPr>
        <w:t xml:space="preserve"> ale </w:t>
      </w:r>
      <w:r>
        <w:rPr>
          <w:rStyle w:val="Emphasis"/>
          <w:i w:val="0"/>
          <w:noProof/>
        </w:rPr>
        <w:t>UE</w:t>
      </w:r>
      <w:r>
        <w:rPr>
          <w:noProof/>
        </w:rPr>
        <w:t xml:space="preserve">. Situația este deosebit de gravă în zonele urbane, în care locuiesc majoritatea europenilor. </w:t>
      </w:r>
    </w:p>
    <w:p>
      <w:pPr>
        <w:spacing w:line="240" w:lineRule="auto"/>
        <w:rPr>
          <w:rFonts w:cs="Times New Roman"/>
          <w:noProof/>
        </w:rPr>
      </w:pPr>
      <w:r>
        <w:rPr>
          <w:noProof/>
        </w:rPr>
        <w:t xml:space="preserve">În 2018, Comisia a prezentat Comunicarea </w:t>
      </w:r>
      <w:r>
        <w:rPr>
          <w:i/>
          <w:noProof/>
        </w:rPr>
        <w:t>„O Europă care oferă protecție:</w:t>
      </w:r>
      <w:r>
        <w:rPr>
          <w:noProof/>
        </w:rPr>
        <w:t xml:space="preserve"> </w:t>
      </w:r>
      <w:r>
        <w:rPr>
          <w:i/>
          <w:noProof/>
        </w:rPr>
        <w:t>Aer curat pentru toți</w:t>
      </w:r>
      <w:r>
        <w:rPr>
          <w:noProof/>
        </w:rPr>
        <w:t xml:space="preserve">”, care a subliniat măsurile disponibile pentru a ajuta statele membre să combată poluarea atmosferică și să inițieze mai multe dialoguri naționale la nivel înalt privind aerul curat </w:t>
      </w:r>
      <w:r>
        <w:rPr>
          <w:noProof/>
        </w:rPr>
        <w:footnoteReference w:id="54"/>
      </w:r>
      <w:r>
        <w:rPr>
          <w:noProof/>
        </w:rPr>
        <w:t>. Este în curs de desfășurare o verificare a adecvării celor două directive ale UE privind calitatea aerului, care evaluează relevanța, eficacitatea, eficiența, coerența și valoarea adăugată a acestora</w:t>
      </w:r>
      <w:r>
        <w:rPr>
          <w:noProof/>
        </w:rPr>
        <w:footnoteReference w:id="55"/>
      </w:r>
      <w:r>
        <w:rPr>
          <w:noProof/>
        </w:rPr>
        <w:t>. Statele membre au început să întocmească programele lor naționale de control al poluării aerului, care au termen de finalizare în 2019. În plus, au fost lansate inițiative de cercetare și inovare pentru a ajuta autoritățile naționale și locale să înțeleagă și să combată poluarea atmosferică</w:t>
      </w:r>
      <w:r>
        <w:rPr>
          <w:noProof/>
        </w:rPr>
        <w:footnoteReference w:id="56"/>
      </w:r>
      <w:r>
        <w:rPr>
          <w:noProof/>
        </w:rPr>
        <w:t>.</w:t>
      </w:r>
    </w:p>
    <w:p>
      <w:pPr>
        <w:spacing w:line="240" w:lineRule="auto"/>
        <w:rPr>
          <w:rFonts w:cs="Times New Roman"/>
          <w:noProof/>
        </w:rPr>
      </w:pPr>
      <w:r>
        <w:rPr>
          <w:noProof/>
        </w:rPr>
        <w:t>Ca parte a efortului de combatere a poluării fonice, UE a stabilit o abordare comună pentru prevenirea sau reducerea efectelor nocive ale expunerii la zgomotul ambiental. Această abordare se bazează pe utilizarea metodelor comune de cartografiere a zgomotului, pe informarea publicului și pe adoptarea și punerea în aplicare a unor planuri de acțiune personalizate la nivel local.</w:t>
      </w:r>
    </w:p>
    <w:p>
      <w:pPr>
        <w:spacing w:after="200" w:line="276" w:lineRule="auto"/>
        <w:jc w:val="left"/>
        <w:rPr>
          <w:rFonts w:cs="Times New Roman"/>
          <w:i/>
          <w:iCs/>
          <w:noProof/>
        </w:rPr>
      </w:pPr>
      <w:r>
        <w:rPr>
          <w:i/>
          <w:noProof/>
        </w:rPr>
        <w:t>Constatări în materie de politici:</w:t>
      </w:r>
    </w:p>
    <w:p>
      <w:pPr>
        <w:pStyle w:val="ListParagraph"/>
        <w:numPr>
          <w:ilvl w:val="0"/>
          <w:numId w:val="3"/>
        </w:numPr>
        <w:rPr>
          <w:rFonts w:cs="Times New Roman"/>
          <w:i/>
          <w:iCs/>
          <w:noProof/>
        </w:rPr>
      </w:pPr>
      <w:r>
        <w:rPr>
          <w:i/>
          <w:noProof/>
        </w:rPr>
        <w:t>Există riscul ca poluarea aerului să fie subestimată în unele cazuri deoarece este posibil ca aceasta să nu fie întotdeauna monitorizată în locurile potrivite</w:t>
      </w:r>
      <w:r>
        <w:rPr>
          <w:i/>
          <w:noProof/>
        </w:rPr>
        <w:footnoteReference w:id="57"/>
      </w:r>
      <w:r>
        <w:rPr>
          <w:i/>
          <w:noProof/>
        </w:rPr>
        <w:t>. Punctele de prelevare trebuie să fie amplasate atât „în zonele în care se înregistrează cele mai ridicate concentrații de poluanți”, cât și în zonele „reprezentative pentru expunerea populației în general”, pentru a măsura calitatea aerului și în apropierea industriilor majore sau a rutelor principale de trafic urban.</w:t>
      </w:r>
    </w:p>
    <w:p>
      <w:pPr>
        <w:numPr>
          <w:ilvl w:val="0"/>
          <w:numId w:val="3"/>
        </w:numPr>
        <w:spacing w:line="240" w:lineRule="auto"/>
        <w:ind w:left="357" w:hanging="357"/>
        <w:rPr>
          <w:rFonts w:cs="Times New Roman"/>
          <w:i/>
          <w:iCs/>
          <w:noProof/>
        </w:rPr>
      </w:pPr>
      <w:r>
        <w:rPr>
          <w:i/>
          <w:noProof/>
        </w:rPr>
        <w:t>Deși situația s-a îmbunătățit în unele dintre aceste țări, optsprezece state membre</w:t>
      </w:r>
      <w:r>
        <w:rPr>
          <w:i/>
          <w:noProof/>
        </w:rPr>
        <w:footnoteReference w:id="58"/>
      </w:r>
      <w:r>
        <w:rPr>
          <w:i/>
          <w:noProof/>
        </w:rPr>
        <w:t xml:space="preserve"> trebuie în continuare să accelereze reducerile concentrațiilor de oxid de azot (NO</w:t>
      </w:r>
      <w:r>
        <w:rPr>
          <w:i/>
          <w:noProof/>
          <w:vertAlign w:val="subscript"/>
        </w:rPr>
        <w:t>x</w:t>
      </w:r>
      <w:r>
        <w:rPr>
          <w:i/>
          <w:noProof/>
        </w:rPr>
        <w:t>) și de dioxid de azot (NO</w:t>
      </w:r>
      <w:r>
        <w:rPr>
          <w:i/>
          <w:noProof/>
          <w:vertAlign w:val="subscript"/>
        </w:rPr>
        <w:t>2</w:t>
      </w:r>
      <w:r>
        <w:rPr>
          <w:i/>
          <w:noProof/>
        </w:rPr>
        <w:t>) prin reducerea suplimentară a emisiilor produse de sectorul transporturilor, în special în zonele urbane. Acest lucru poate necesita, de asemenea, restricții proporționale și specifice privind accesul vehiculelor în zonele urbane și/sau stimulente fiscale. În cazul în care depășirile persistă, Comisia a inițiat proceduri de constatare a neîndeplinirii obligațiilor, inclusiv inițierea de acțiuni împotriva mai multor state membre la Curtea de Justiție a Uniunii Europene</w:t>
      </w:r>
      <w:r>
        <w:rPr>
          <w:i/>
          <w:noProof/>
          <w:color w:val="70AD47"/>
        </w:rPr>
        <w:t xml:space="preserve">. </w:t>
      </w:r>
    </w:p>
    <w:p>
      <w:pPr>
        <w:numPr>
          <w:ilvl w:val="0"/>
          <w:numId w:val="3"/>
        </w:numPr>
        <w:spacing w:line="240" w:lineRule="auto"/>
        <w:ind w:left="357" w:hanging="357"/>
        <w:rPr>
          <w:rFonts w:cs="Times New Roman"/>
          <w:i/>
          <w:iCs/>
          <w:noProof/>
        </w:rPr>
      </w:pPr>
      <w:r>
        <w:rPr>
          <w:i/>
          <w:noProof/>
        </w:rPr>
        <w:t>Accelerarea reducerilor de particule în suspensie (PM</w:t>
      </w:r>
      <w:r>
        <w:rPr>
          <w:i/>
          <w:noProof/>
          <w:vertAlign w:val="subscript"/>
        </w:rPr>
        <w:t>2,5</w:t>
      </w:r>
      <w:r>
        <w:rPr>
          <w:i/>
          <w:noProof/>
        </w:rPr>
        <w:t xml:space="preserve"> și PM</w:t>
      </w:r>
      <w:r>
        <w:rPr>
          <w:i/>
          <w:noProof/>
          <w:vertAlign w:val="subscript"/>
        </w:rPr>
        <w:t>10</w:t>
      </w:r>
      <w:r>
        <w:rPr>
          <w:i/>
          <w:noProof/>
        </w:rPr>
        <w:t>) este necesară în cincisprezece state membre ale UE</w:t>
      </w:r>
      <w:r>
        <w:rPr>
          <w:i/>
          <w:noProof/>
        </w:rPr>
        <w:footnoteReference w:id="59"/>
      </w:r>
      <w:r>
        <w:rPr>
          <w:i/>
          <w:noProof/>
        </w:rPr>
        <w:t>, printre altele, prin promovarea producției de energie mai curată și prin sisteme de termoficare eficiente și curate. În această privință, există mai multe proceduri de constatare a neîndeplinirii obligațiilor în curs. Curtea de Justiție a Uniunii Europene a fost sesizată cu privire la nivelurile permanent ridicate de particule în suspensie (PM</w:t>
      </w:r>
      <w:r>
        <w:rPr>
          <w:i/>
          <w:noProof/>
          <w:vertAlign w:val="subscript"/>
        </w:rPr>
        <w:t>10</w:t>
      </w:r>
      <w:r>
        <w:rPr>
          <w:i/>
          <w:noProof/>
        </w:rPr>
        <w:t xml:space="preserve">) în unele dintre statele membre în cauză și s-a pronunțat deja în două dintre aceste cazuri. </w:t>
      </w:r>
    </w:p>
    <w:p>
      <w:pPr>
        <w:numPr>
          <w:ilvl w:val="0"/>
          <w:numId w:val="3"/>
        </w:numPr>
        <w:spacing w:line="240" w:lineRule="auto"/>
        <w:ind w:left="357" w:hanging="357"/>
        <w:rPr>
          <w:rFonts w:cs="Times New Roman"/>
          <w:i/>
          <w:iCs/>
          <w:noProof/>
        </w:rPr>
      </w:pPr>
      <w:r>
        <w:rPr>
          <w:i/>
          <w:noProof/>
        </w:rPr>
        <w:t>Reducerea emisiilor de amoniac (NH</w:t>
      </w:r>
      <w:r>
        <w:rPr>
          <w:i/>
          <w:noProof/>
          <w:vertAlign w:val="subscript"/>
        </w:rPr>
        <w:t>3</w:t>
      </w:r>
      <w:r>
        <w:rPr>
          <w:i/>
          <w:noProof/>
        </w:rPr>
        <w:t>) în șase state membre</w:t>
      </w:r>
      <w:r>
        <w:rPr>
          <w:i/>
          <w:noProof/>
        </w:rPr>
        <w:footnoteReference w:id="60"/>
      </w:r>
      <w:r>
        <w:rPr>
          <w:i/>
          <w:noProof/>
        </w:rPr>
        <w:t xml:space="preserve"> necesită o reducere a emisiilor din agricultură. Acest lucru poate fi realizat prin introducerea unor tehnici agricole cu emisii scăzute, inclusiv pentru gestionarea animalelor, a gunoiului de grajd și a îngrășămintelor. </w:t>
      </w:r>
    </w:p>
    <w:p>
      <w:pPr>
        <w:numPr>
          <w:ilvl w:val="0"/>
          <w:numId w:val="3"/>
        </w:numPr>
        <w:spacing w:line="240" w:lineRule="auto"/>
        <w:rPr>
          <w:rFonts w:cs="Times New Roman"/>
          <w:i/>
          <w:iCs/>
          <w:noProof/>
        </w:rPr>
      </w:pPr>
      <w:r>
        <w:rPr>
          <w:i/>
          <w:noProof/>
        </w:rPr>
        <w:t>Planurile de acțiune pentru gestionarea zgomotului lipsesc în continuare în treisprezece state membre</w:t>
      </w:r>
      <w:r>
        <w:rPr>
          <w:i/>
          <w:noProof/>
        </w:rPr>
        <w:footnoteReference w:id="61"/>
      </w:r>
      <w:r>
        <w:rPr>
          <w:i/>
          <w:noProof/>
        </w:rPr>
        <w:t xml:space="preserve"> iar șapte dintre țări</w:t>
      </w:r>
      <w:r>
        <w:rPr>
          <w:i/>
          <w:noProof/>
        </w:rPr>
        <w:footnoteReference w:id="62"/>
      </w:r>
      <w:r>
        <w:rPr>
          <w:i/>
          <w:noProof/>
        </w:rPr>
        <w:t xml:space="preserve"> încă nu au adoptat hărțile de zgomot solicitate.</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Practici de succes:</w:t>
            </w:r>
          </w:p>
          <w:p>
            <w:pPr>
              <w:spacing w:after="200" w:line="240" w:lineRule="auto"/>
              <w:rPr>
                <w:rFonts w:cs="Times New Roman"/>
                <w:noProof/>
              </w:rPr>
            </w:pPr>
            <w:r>
              <w:rPr>
                <w:noProof/>
              </w:rPr>
              <w:t xml:space="preserve">Din 2017, statele membre și Comisia s-au angajat într-o rundă de dialoguri axate pe calitatea aerului. Până la sfârșitul anului 2018, au fost organizate șase „Dialoguri privind aerul curat” în vederea abordării provocărilor specifice din </w:t>
            </w:r>
            <w:r>
              <w:rPr>
                <w:b/>
                <w:noProof/>
              </w:rPr>
              <w:t>Republica Cehă, Ungaria, Irlanda, Luxemburg, Slovacia și Spania</w:t>
            </w:r>
            <w:r>
              <w:rPr>
                <w:noProof/>
              </w:rPr>
              <w:t>. Aceste eforturi au fost completate de organizarea de ateliere tematice, cu sprijinul mecanismului TAIEX-EIR Peer2Peer al Comisiei Europene.</w:t>
            </w:r>
          </w:p>
          <w:p>
            <w:pPr>
              <w:spacing w:after="200" w:line="240" w:lineRule="auto"/>
              <w:rPr>
                <w:rFonts w:cs="Times New Roman"/>
                <w:b/>
                <w:bCs/>
                <w:noProof/>
              </w:rPr>
            </w:pPr>
            <w:r>
              <w:rPr>
                <w:noProof/>
              </w:rPr>
              <w:t xml:space="preserve">În </w:t>
            </w:r>
            <w:r>
              <w:rPr>
                <w:b/>
                <w:noProof/>
              </w:rPr>
              <w:t>Polonia</w:t>
            </w:r>
            <w:r>
              <w:rPr>
                <w:noProof/>
              </w:rPr>
              <w:t>, proiectul LIFE „Regiunea Małopolska”</w:t>
            </w:r>
            <w:r>
              <w:rPr>
                <w:noProof/>
              </w:rPr>
              <w:footnoteReference w:id="63"/>
            </w:r>
            <w:r>
              <w:rPr>
                <w:noProof/>
              </w:rPr>
              <w:t xml:space="preserve"> oferă servicii de asistență și consultanță pentru punerea în aplicare a măsurilor care abordează poluarea gravă a aerului în regiune.</w:t>
            </w:r>
          </w:p>
        </w:tc>
      </w:tr>
    </w:tbl>
    <w:p>
      <w:pPr>
        <w:spacing w:before="240"/>
        <w:rPr>
          <w:rFonts w:eastAsia="Calibri" w:cs="Times New Roman"/>
          <w:b/>
          <w:i/>
          <w:noProof/>
        </w:rPr>
      </w:pPr>
      <w:r>
        <w:rPr>
          <w:b/>
          <w:i/>
          <w:noProof/>
        </w:rPr>
        <w:t>Emisiile industriale</w:t>
      </w:r>
    </w:p>
    <w:p>
      <w:pPr>
        <w:spacing w:line="240" w:lineRule="auto"/>
        <w:rPr>
          <w:rFonts w:cs="Times New Roman"/>
          <w:noProof/>
        </w:rPr>
      </w:pPr>
      <w:r>
        <w:rPr>
          <w:noProof/>
        </w:rPr>
        <w:t>Industria reprezintă 24 % din produsul intern brut al UE și este sursa a 50 de milioane de locuri de muncă, contribuind în mod semnificativ la bunăstarea economică și la dezvoltarea continentului nostru</w:t>
      </w:r>
      <w:r>
        <w:rPr>
          <w:noProof/>
        </w:rPr>
        <w:footnoteReference w:id="64"/>
      </w:r>
      <w:r>
        <w:rPr>
          <w:noProof/>
        </w:rPr>
        <w:t>. Cu toate acestea, poluarea cauzată de activitățile industriale poate afecta negativ oamenii și mediul. Prin urmare, un sector industrial curat este esențial. Printr-o abordare cuprinzătoare - care are la bază Directiva privind emisiile industriale</w:t>
      </w:r>
      <w:r>
        <w:rPr>
          <w:noProof/>
        </w:rPr>
        <w:footnoteReference w:id="65"/>
      </w:r>
      <w:r>
        <w:rPr>
          <w:noProof/>
        </w:rPr>
        <w:t xml:space="preserve"> - UE urmărește să asigure un nivel ridicat de protecție a sănătății umane și a mediului, sporind în același timp inovarea și competitivitatea.</w:t>
      </w:r>
    </w:p>
    <w:p>
      <w:pPr>
        <w:spacing w:line="240" w:lineRule="auto"/>
        <w:rPr>
          <w:rFonts w:cs="Times New Roman"/>
          <w:noProof/>
        </w:rPr>
      </w:pPr>
      <w:r>
        <w:rPr>
          <w:noProof/>
        </w:rPr>
        <w:t>În prezent, industria emite 40 % din totalul poluanților din aer și 20 % din totalul poluanților din apă</w:t>
      </w:r>
      <w:r>
        <w:rPr>
          <w:noProof/>
        </w:rPr>
        <w:footnoteReference w:id="66"/>
      </w:r>
      <w:r>
        <w:rPr>
          <w:noProof/>
        </w:rPr>
        <w:t xml:space="preserve">. Directiva privind emisiile industriale abordează aceste emisii prin monitorizarea impactului asupra mediului al celor mai mari 50 de mii de instalații industriale și prin stabilirea de valori limită de emisie pentru mai mult de 80 de poluanți atmosferici și acvatici. Impactul industriei asupra mediului este redus, de asemenea, prin standardele de performanță. Directiva stabilește principalele principii pentru autorizarea și controlul instalațiilor, pe baza unei abordări integrate și a aplicării celor mai bune tehnici disponibile pentru a atinge un nivel ridicat de protecție a mediului, luând în considerare costurile și beneficiile. Se utilizează deja numeroase tehnologii inovatoare care sunt capabile să realizeze reduceri semnificative ale gazelor cu efect de seră și ale poluanților, combinate adesea cu tehnologii pentru industria circulară. </w:t>
      </w:r>
    </w:p>
    <w:p>
      <w:pPr>
        <w:spacing w:after="200" w:line="276" w:lineRule="auto"/>
        <w:jc w:val="left"/>
        <w:rPr>
          <w:rFonts w:cs="Times New Roman"/>
          <w:i/>
          <w:iCs/>
          <w:noProof/>
        </w:rPr>
      </w:pPr>
      <w:r>
        <w:rPr>
          <w:i/>
          <w:noProof/>
        </w:rPr>
        <w:t>Constatări în materie de politici:</w:t>
      </w:r>
    </w:p>
    <w:p>
      <w:pPr>
        <w:pStyle w:val="ListParagraph"/>
        <w:numPr>
          <w:ilvl w:val="0"/>
          <w:numId w:val="3"/>
        </w:numPr>
        <w:spacing w:line="240" w:lineRule="auto"/>
        <w:contextualSpacing w:val="0"/>
        <w:rPr>
          <w:rFonts w:cs="Times New Roman"/>
          <w:noProof/>
        </w:rPr>
      </w:pPr>
      <w:r>
        <w:rPr>
          <w:i/>
          <w:noProof/>
        </w:rPr>
        <w:t>Toate statele membre ale UE trebuie să revizuiască autorizațiile acordate în ceea ce privește conformitatea cu concluziile recent adoptate privind cele mai bune tehnici disponibile, precum și să consolideze controlul și punerea în aplicare pe teren.</w:t>
      </w:r>
    </w:p>
    <w:p>
      <w:pPr>
        <w:pStyle w:val="ListParagraph"/>
        <w:numPr>
          <w:ilvl w:val="0"/>
          <w:numId w:val="3"/>
        </w:numPr>
        <w:spacing w:line="240" w:lineRule="auto"/>
        <w:contextualSpacing w:val="0"/>
        <w:rPr>
          <w:rFonts w:cs="Times New Roman"/>
          <w:noProof/>
        </w:rPr>
      </w:pPr>
      <w:r>
        <w:rPr>
          <w:i/>
          <w:noProof/>
        </w:rPr>
        <w:t>Poluarea aerului și/sau a apei, asociată emisiilor provenite de la instalațiile din sectorul energetic, reprezintă principala sursă de poluare pentru unsprezece state membre ale UE</w:t>
      </w:r>
      <w:r>
        <w:rPr>
          <w:i/>
          <w:noProof/>
        </w:rPr>
        <w:footnoteReference w:id="67"/>
      </w:r>
      <w:r>
        <w:rPr>
          <w:i/>
          <w:noProof/>
        </w:rPr>
        <w:t>. Pentru șapte dintre țări</w:t>
      </w:r>
      <w:r>
        <w:rPr>
          <w:i/>
          <w:noProof/>
        </w:rPr>
        <w:footnoteReference w:id="68"/>
      </w:r>
      <w:r>
        <w:rPr>
          <w:i/>
          <w:noProof/>
        </w:rPr>
        <w:t>, emisiile din sectorul creșterii intensive a păsărilor de curte și a porcilor reprezintă cea mai mare parte a emisiilor. În plus, situația actuală în două state membre</w:t>
      </w:r>
      <w:r>
        <w:rPr>
          <w:i/>
          <w:noProof/>
        </w:rPr>
        <w:footnoteReference w:id="69"/>
      </w:r>
      <w:r>
        <w:rPr>
          <w:i/>
          <w:noProof/>
        </w:rPr>
        <w:t xml:space="preserve"> în ceea ce privește emisiile de poluanți atmosferici proveniți de la instalațiile siderurgice și oțelării reprezintă un motiv serios de îngrijorare. Emisiile provenite de la activitățile de tratare a deșeurilor rămân un subiect de îngrijorare în trei state membre</w:t>
      </w:r>
      <w:r>
        <w:rPr>
          <w:i/>
          <w:noProof/>
        </w:rPr>
        <w:footnoteReference w:id="70"/>
      </w:r>
      <w:r>
        <w:rPr>
          <w:i/>
          <w:noProof/>
        </w:rPr>
        <w:t>.</w:t>
      </w:r>
    </w:p>
    <w:p>
      <w:pPr>
        <w:spacing w:before="240"/>
        <w:rPr>
          <w:rFonts w:eastAsia="Calibri" w:cs="Times New Roman"/>
          <w:b/>
          <w:i/>
          <w:noProof/>
        </w:rPr>
      </w:pPr>
      <w:r>
        <w:rPr>
          <w:b/>
          <w:i/>
          <w:noProof/>
        </w:rPr>
        <w:t>Calitatea apei, inundațiile și gestionarea apei</w:t>
      </w:r>
    </w:p>
    <w:p>
      <w:pPr>
        <w:widowControl w:val="0"/>
        <w:autoSpaceDE w:val="0"/>
        <w:spacing w:line="240" w:lineRule="auto"/>
        <w:rPr>
          <w:rFonts w:cs="Times New Roman"/>
          <w:noProof/>
        </w:rPr>
      </w:pPr>
      <w:r>
        <w:rPr>
          <w:noProof/>
        </w:rPr>
        <w:t>Protejarea resurselor de apă, a ecosistemelor de apă dulce și de apă de mare, precum și a apei potabile și a apei de scăldat reprezintă o componentă importantă a protecției mediului în Europa. Actuala legislație a UE în domeniul apei</w:t>
      </w:r>
      <w:r>
        <w:rPr>
          <w:noProof/>
          <w:vertAlign w:val="superscript"/>
        </w:rPr>
        <w:footnoteReference w:id="71"/>
      </w:r>
      <w:r>
        <w:rPr>
          <w:noProof/>
        </w:rPr>
        <w:t xml:space="preserve"> a instituit un cadru pentru gestionarea apelor dulci și a apelor marine, precum și pentru abordarea surselor de poluare specifice. Politica comună în domeniul pescuitului vizează limitarea impactului pescuitului la niveluri adecvate în vederea valorificării durabile a potențialului productiv al stocurilor de pește, limitând totodată impactul asupra ecosistemului. </w:t>
      </w:r>
    </w:p>
    <w:p>
      <w:pPr>
        <w:widowControl w:val="0"/>
        <w:autoSpaceDE w:val="0"/>
        <w:spacing w:line="240" w:lineRule="auto"/>
        <w:rPr>
          <w:rFonts w:cs="Times New Roman"/>
          <w:noProof/>
        </w:rPr>
      </w:pPr>
      <w:r>
        <w:rPr>
          <w:noProof/>
        </w:rPr>
        <w:t>Apele Europei sunt din ce în ce mai afectate de schimbările climatice. Respectarea legislației UE din domeniul apei contribuie deja la gestionarea efectelor unei clime în schimbare, anticipând mai multe secete și inundații. Politica UE din domeniul apei are un potențial considerabil de atenuare a schimbărilor climatice, cu condiția să se ia măsuri eficiente acum. În plus, politica UE din domeniul apei a contribuit la evoluția unui sector al apei dinamic, care ocupă poziția de lider la nivel mondial și care include 9 000 de întreprinderi mici și mijlocii, asigurând aproape o jumătate de milion de locuri de muncă cu normă întreagă</w:t>
      </w:r>
      <w:r>
        <w:rPr>
          <w:noProof/>
          <w:vertAlign w:val="superscript"/>
        </w:rPr>
        <w:footnoteReference w:id="72"/>
      </w:r>
      <w:r>
        <w:rPr>
          <w:noProof/>
        </w:rPr>
        <w:t xml:space="preserve">. </w:t>
      </w:r>
    </w:p>
    <w:p>
      <w:pPr>
        <w:spacing w:line="240" w:lineRule="auto"/>
        <w:rPr>
          <w:rFonts w:cs="Times New Roman"/>
          <w:noProof/>
        </w:rPr>
      </w:pPr>
      <w:r>
        <w:rPr>
          <w:noProof/>
        </w:rPr>
        <w:t>Evaluarea de către Comisie a celui de al doilea ciclu de planuri de management al bazinelor hidrografice ale statelor membre în temeiul Directivei-cadru privind apa a concluzionat că nivelul de cunoștințe și raportarea privind Directiva-cadru privind apa s-au îmbunătățit semnificativ. Evaluarea de către Comisie a primelor planuri de management al riscului la inundații ale statelor membre în temeiul Directivei privind inundațiile a concluzionat că s-au luat măsuri importante, chiar dacă gradul de elaborare la nivel practic variază. Comisia a luat în considerare rezultatele Conferinței UE privind apa din 2018 de la Viena</w:t>
      </w:r>
      <w:r>
        <w:rPr>
          <w:noProof/>
        </w:rPr>
        <w:footnoteReference w:id="73"/>
      </w:r>
      <w:r>
        <w:rPr>
          <w:noProof/>
        </w:rPr>
        <w:t xml:space="preserve">, care a permis mai multor părți interesate și state membre să își aducă contribuția cu privire la punerea în aplicare a legislației UE din domeniul apei, prezentând o imagine mixtă. </w:t>
      </w:r>
    </w:p>
    <w:p>
      <w:pPr>
        <w:spacing w:line="240" w:lineRule="auto"/>
        <w:rPr>
          <w:rFonts w:cs="Times New Roman"/>
          <w:i/>
          <w:iCs/>
          <w:noProof/>
        </w:rPr>
      </w:pPr>
      <w:r>
        <w:rPr>
          <w:i/>
          <w:noProof/>
        </w:rPr>
        <w:t>Constatări în materie de politici:</w:t>
      </w:r>
    </w:p>
    <w:p>
      <w:pPr>
        <w:pStyle w:val="ListParagraph"/>
        <w:numPr>
          <w:ilvl w:val="0"/>
          <w:numId w:val="3"/>
        </w:numPr>
        <w:spacing w:line="240" w:lineRule="auto"/>
        <w:contextualSpacing w:val="0"/>
        <w:rPr>
          <w:rFonts w:cs="Times New Roman"/>
          <w:i/>
          <w:iCs/>
          <w:noProof/>
        </w:rPr>
      </w:pPr>
      <w:r>
        <w:rPr>
          <w:i/>
          <w:noProof/>
        </w:rPr>
        <w:t>Comisia a evaluat conformitatea cu obiectivele Directivei-cadru privind apa pe baza celei de a doua generații de planuri de management al bazinelor hidrografice</w:t>
      </w:r>
      <w:r>
        <w:rPr>
          <w:i/>
          <w:noProof/>
          <w:vertAlign w:val="superscript"/>
        </w:rPr>
        <w:footnoteReference w:id="74"/>
      </w:r>
      <w:r>
        <w:rPr>
          <w:i/>
          <w:noProof/>
        </w:rPr>
        <w:t xml:space="preserve"> și a concluzionat că aceasta crește treptat. Totuși, calea spre respectarea deplină a obiectivelor Directivei-cadru privind apa până în 2027, după care posibilitățile de exceptare sunt limitate, pare foarte dificilă în acest stadiu.</w:t>
      </w:r>
    </w:p>
    <w:p>
      <w:pPr>
        <w:pStyle w:val="ListParagraph"/>
        <w:numPr>
          <w:ilvl w:val="0"/>
          <w:numId w:val="3"/>
        </w:numPr>
        <w:spacing w:line="240" w:lineRule="auto"/>
        <w:contextualSpacing w:val="0"/>
        <w:rPr>
          <w:rFonts w:cs="Times New Roman"/>
          <w:i/>
          <w:iCs/>
          <w:noProof/>
        </w:rPr>
      </w:pPr>
      <w:r>
        <w:rPr>
          <w:i/>
          <w:noProof/>
        </w:rPr>
        <w:t xml:space="preserve">Sunt încă multe de făcut pentru a realiza pe deplin obiectivele Directivei-cadru privind apa și ale altor directive conexe. Creșterea investițiilor este esențială pentru atingerea acestor obiective. Statele membre vor beneficia de o mai mare implicare a tuturor actorilor relevanți ai pieței și ai societății civile pentru a asigura o mai bună aplicare a principiului „poluatorul plătește”. Fondurile UE vor continua să sprijine aceste eforturi de punere în aplicare. </w:t>
      </w:r>
    </w:p>
    <w:p>
      <w:pPr>
        <w:pStyle w:val="ListParagraph"/>
        <w:numPr>
          <w:ilvl w:val="0"/>
          <w:numId w:val="3"/>
        </w:numPr>
        <w:spacing w:line="240" w:lineRule="auto"/>
        <w:contextualSpacing w:val="0"/>
        <w:rPr>
          <w:rFonts w:cs="Times New Roman"/>
          <w:i/>
          <w:iCs/>
          <w:noProof/>
        </w:rPr>
      </w:pPr>
      <w:r>
        <w:rPr>
          <w:i/>
          <w:noProof/>
        </w:rPr>
        <w:t xml:space="preserve">Deși un număr de state membre au luat măsuri de politică adecvate, inclusiv referitoare la investiții, îmbunătățirea calității apei va fi un proces de durată pentru multe bazine hidrografice. </w:t>
      </w:r>
    </w:p>
    <w:p>
      <w:pPr>
        <w:pStyle w:val="ListParagraph"/>
        <w:numPr>
          <w:ilvl w:val="0"/>
          <w:numId w:val="3"/>
        </w:numPr>
        <w:spacing w:line="240" w:lineRule="auto"/>
        <w:contextualSpacing w:val="0"/>
        <w:rPr>
          <w:rFonts w:cs="Times New Roman"/>
          <w:i/>
          <w:iCs/>
          <w:noProof/>
        </w:rPr>
      </w:pPr>
      <w:r>
        <w:rPr>
          <w:i/>
          <w:noProof/>
        </w:rPr>
        <w:t xml:space="preserve">Deși marea majoritate a corpurilor de apă subterane au atins o „stare bună”, mai puțin de jumătate dintre corpurile de apă de suprafață au o stare bună. Cu toate acestea, tendințele în ceea ce privește mai multe elemente individuale de calitate subsidiare și substanțe sunt pozitive. </w:t>
      </w:r>
    </w:p>
    <w:p>
      <w:pPr>
        <w:pStyle w:val="ListParagraph"/>
        <w:numPr>
          <w:ilvl w:val="0"/>
          <w:numId w:val="3"/>
        </w:numPr>
        <w:spacing w:line="240" w:lineRule="auto"/>
        <w:contextualSpacing w:val="0"/>
        <w:rPr>
          <w:rFonts w:cs="Times New Roman"/>
          <w:i/>
          <w:iCs/>
          <w:noProof/>
        </w:rPr>
      </w:pPr>
      <w:r>
        <w:rPr>
          <w:i/>
          <w:noProof/>
        </w:rPr>
        <w:t>Urmărirea realizării obiectivului Directivei privind inundațiile de diminuare a consecințelor negative potențiale provocate de inundațiile semnificative va necesita eforturi susținute din partea statelor membre în următoarele cicluri.</w:t>
      </w:r>
    </w:p>
    <w:p>
      <w:pPr>
        <w:pStyle w:val="ListParagraph"/>
        <w:numPr>
          <w:ilvl w:val="0"/>
          <w:numId w:val="3"/>
        </w:numPr>
        <w:spacing w:line="240" w:lineRule="auto"/>
        <w:contextualSpacing w:val="0"/>
        <w:rPr>
          <w:rFonts w:cs="Times New Roman"/>
          <w:i/>
          <w:iCs/>
          <w:noProof/>
        </w:rPr>
      </w:pPr>
      <w:r>
        <w:rPr>
          <w:i/>
          <w:noProof/>
        </w:rPr>
        <w:t>În continuare, apele urbane reziduale nu sunt tratate așa cum ar trebui să fie în multe state membre</w:t>
      </w:r>
      <w:r>
        <w:rPr>
          <w:i/>
          <w:noProof/>
          <w:vertAlign w:val="superscript"/>
        </w:rPr>
        <w:footnoteReference w:id="75"/>
      </w:r>
      <w:r>
        <w:rPr>
          <w:i/>
          <w:noProof/>
        </w:rPr>
        <w:t>, motiv pentru care majoritatea se confruntă încă cu proceduri de constatare a neîndeplinirii obligațiilor iar câteva state membre au fost supuse unor sancțiuni financiare. Progresul depinde de prioritizarea de către statele membre a investițiilor în stațiile de epurare a apelor urbane reziduale, inclusiv prin utilizarea eficientă a fondurilor din cadrul politicii de coeziune, dacă este posibil, și a împrumuturilor acordate de Banca Europeană de Investiții.</w:t>
      </w:r>
    </w:p>
    <w:p>
      <w:pPr>
        <w:pStyle w:val="ListParagraph"/>
        <w:numPr>
          <w:ilvl w:val="0"/>
          <w:numId w:val="3"/>
        </w:numPr>
        <w:spacing w:line="240" w:lineRule="auto"/>
        <w:contextualSpacing w:val="0"/>
        <w:rPr>
          <w:rFonts w:cs="Times New Roman"/>
          <w:i/>
          <w:iCs/>
          <w:noProof/>
        </w:rPr>
      </w:pPr>
      <w:r>
        <w:rPr>
          <w:i/>
          <w:noProof/>
        </w:rPr>
        <w:t>Poluarea apelor cu nitrați proveniți în urma practicilor agricole intensive a scăzut în Europa în ultimele două decenii. Totuși, în ciuda acestei tendințe generale pozitive, poluarea cu nitrați și eutrofizarea continuă să provoace probleme în multe state membre</w:t>
      </w:r>
      <w:r>
        <w:rPr>
          <w:i/>
          <w:noProof/>
        </w:rPr>
        <w:footnoteReference w:id="76"/>
      </w:r>
      <w:r>
        <w:rPr>
          <w:i/>
          <w:noProof/>
        </w:rPr>
        <w:t>, deoarece presiunile agricole asupra calității apei sunt în continuare în creștere în anumite zone. Statele membre ar trebui să-și intensifice eforturile pentru a aborda poluarea difuză cu nitrați și fosfați</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Practici de succes:</w:t>
            </w:r>
          </w:p>
          <w:p>
            <w:pPr>
              <w:widowControl w:val="0"/>
              <w:rPr>
                <w:rFonts w:eastAsiaTheme="minorEastAsia" w:cs="Times New Roman"/>
                <w:noProof/>
              </w:rPr>
            </w:pPr>
            <w:r>
              <w:rPr>
                <w:noProof/>
              </w:rPr>
              <w:t xml:space="preserve">În </w:t>
            </w:r>
            <w:r>
              <w:rPr>
                <w:b/>
                <w:noProof/>
              </w:rPr>
              <w:t>Belgia</w:t>
            </w:r>
            <w:r>
              <w:rPr>
                <w:noProof/>
              </w:rPr>
              <w:t xml:space="preserve">, </w:t>
            </w:r>
            <w:r>
              <w:rPr>
                <w:rFonts w:eastAsiaTheme="minorEastAsia"/>
                <w:noProof/>
                <w:color w:val="000000" w:themeColor="text1"/>
              </w:rPr>
              <w:t>infrastructura ecologică este finanțată în cadrul</w:t>
            </w:r>
            <w:r>
              <w:rPr>
                <w:noProof/>
              </w:rPr>
              <w:t xml:space="preserve"> planului SIGMA II pentru protejarea estuarului Scheldt.</w:t>
            </w:r>
          </w:p>
          <w:p>
            <w:pPr>
              <w:widowControl w:val="0"/>
              <w:rPr>
                <w:rFonts w:eastAsiaTheme="minorEastAsia" w:cs="Times New Roman"/>
                <w:noProof/>
                <w:color w:val="000000" w:themeColor="text1"/>
              </w:rPr>
            </w:pPr>
            <w:r>
              <w:rPr>
                <w:rFonts w:eastAsiaTheme="minorEastAsia"/>
                <w:b/>
                <w:noProof/>
                <w:color w:val="000000" w:themeColor="text1"/>
              </w:rPr>
              <w:t>Luxemburg</w:t>
            </w:r>
            <w:r>
              <w:rPr>
                <w:noProof/>
              </w:rPr>
              <w:t xml:space="preserve"> </w:t>
            </w:r>
            <w:r>
              <w:rPr>
                <w:rFonts w:eastAsiaTheme="minorEastAsia"/>
                <w:noProof/>
                <w:color w:val="000000" w:themeColor="text1"/>
              </w:rPr>
              <w:t xml:space="preserve">și </w:t>
            </w:r>
            <w:r>
              <w:rPr>
                <w:rFonts w:eastAsiaTheme="minorEastAsia"/>
                <w:b/>
                <w:noProof/>
                <w:color w:val="000000" w:themeColor="text1"/>
              </w:rPr>
              <w:t>Portugalia</w:t>
            </w:r>
            <w:r>
              <w:rPr>
                <w:rFonts w:eastAsiaTheme="minorEastAsia"/>
                <w:noProof/>
                <w:color w:val="000000" w:themeColor="text1"/>
              </w:rPr>
              <w:t xml:space="preserve"> au obținut recent</w:t>
            </w:r>
            <w:r>
              <w:rPr>
                <w:noProof/>
              </w:rPr>
              <w:t xml:space="preserve"> niveluri satisfăcătoare de conformitate cu cerințele Directivei privind tratarea apelor urbane reziduale, în ciuda dificultăților din trecut. Acestea sunt exemple bune ale felului în care investițiile publice care abordează probleme de conformitate pot reduce riscurile pentru mediu și pot proteja cetățenii în viața lor de zi cu zi. </w:t>
            </w:r>
          </w:p>
        </w:tc>
      </w:tr>
    </w:tbl>
    <w:p>
      <w:pPr>
        <w:spacing w:before="240" w:after="200" w:line="276" w:lineRule="auto"/>
        <w:rPr>
          <w:rFonts w:cs="Times New Roman"/>
          <w:b/>
          <w:bCs/>
          <w:i/>
          <w:iCs/>
          <w:noProof/>
        </w:rPr>
      </w:pPr>
      <w:r>
        <w:rPr>
          <w:b/>
          <w:i/>
          <w:noProof/>
        </w:rPr>
        <w:t>Substanțele chimice</w:t>
      </w:r>
    </w:p>
    <w:p>
      <w:pPr>
        <w:widowControl w:val="0"/>
        <w:suppressAutoHyphens/>
        <w:spacing w:line="240" w:lineRule="auto"/>
        <w:rPr>
          <w:rFonts w:cs="Times New Roman"/>
          <w:noProof/>
        </w:rPr>
      </w:pPr>
      <w:r>
        <w:rPr>
          <w:noProof/>
        </w:rPr>
        <w:t>Gestionarea rațională din punct de vedere ecologic a substanțelor chimice, precum și utilizarea în siguranță a acestora în cadrul pieței unice, reprezintă obiectivul principal al legislației UE privind substanțele chimice. Regulamentele privind înregistrarea, evaluarea, autorizarea și restricționarea substanțelor chimice (REACH)</w:t>
      </w:r>
      <w:r>
        <w:rPr>
          <w:noProof/>
        </w:rPr>
        <w:footnoteReference w:id="77"/>
      </w:r>
      <w:r>
        <w:rPr>
          <w:noProof/>
        </w:rPr>
        <w:t xml:space="preserve"> și clasificarea, etichetarea și ambalarea substanțelor și a amestecurilor (CLP)</w:t>
      </w:r>
      <w:r>
        <w:rPr>
          <w:noProof/>
        </w:rPr>
        <w:footnoteReference w:id="78"/>
      </w:r>
      <w:r>
        <w:rPr>
          <w:noProof/>
        </w:rPr>
        <w:t xml:space="preserve"> stau la baza acestei legislații. Cu toate acestea, grupuri specifice de produse, cum ar fi biocidele, pesticidele, produsele farmaceutice sau cosmeticele</w:t>
      </w:r>
      <w:r>
        <w:rPr>
          <w:noProof/>
        </w:rPr>
        <w:footnoteReference w:id="79"/>
      </w:r>
      <w:r>
        <w:rPr>
          <w:noProof/>
        </w:rPr>
        <w:t xml:space="preserve">, sunt reglementate de propria lor legislație. </w:t>
      </w:r>
    </w:p>
    <w:p>
      <w:pPr>
        <w:widowControl w:val="0"/>
        <w:suppressAutoHyphens/>
        <w:spacing w:line="240" w:lineRule="auto"/>
        <w:rPr>
          <w:rFonts w:cs="Times New Roman"/>
          <w:noProof/>
        </w:rPr>
      </w:pPr>
      <w:r>
        <w:rPr>
          <w:noProof/>
        </w:rPr>
        <w:t>Legislația direct aplicabilă asigură libera circulație a substanțelor pe piața internă, sporind în același timp competitivitatea și încurajând inovația. Iunie 2018 a marcat termenul limită pentru înregistrarea ultimului lot de substanțe existente în temeiul REACH, adică cele fabricate sau importate în cantități de cel puțin o tonă. Aceasta înseamnă că REACH a devenit pe deplin operațional abia în 2018, primul raport de punere în aplicare, care este așteptat în 2021, urmând să ofere o imagine completă a punerii în aplicare în statele membre.</w:t>
      </w:r>
    </w:p>
    <w:p>
      <w:pPr>
        <w:widowControl w:val="0"/>
        <w:suppressAutoHyphens/>
        <w:spacing w:line="240" w:lineRule="auto"/>
        <w:rPr>
          <w:rFonts w:cs="Times New Roman"/>
          <w:noProof/>
        </w:rPr>
      </w:pPr>
      <w:r>
        <w:rPr>
          <w:noProof/>
        </w:rPr>
        <w:t>Controale de conformitate specifice sunt efectuate în mod regulat de către Agenția Europeană pentru Produse Chimice (ECHA) pentru a garanta că dosarele de înregistrare sunt în conformitate cu cerințele privind informațiile. Cu toate acestea, în comunicarea Comisiei „Raport General al Comisiei privind funcționarea REACH și revizuirea anumitor elemente”</w:t>
      </w:r>
      <w:r>
        <w:rPr>
          <w:noProof/>
          <w:vertAlign w:val="superscript"/>
        </w:rPr>
        <w:footnoteReference w:id="80"/>
      </w:r>
      <w:r>
        <w:rPr>
          <w:noProof/>
        </w:rPr>
        <w:t xml:space="preserve"> au fost identificate deficiențe ale acestui proces, iar ECHA a fost obligată să sporească semnificativ eficiența procedurilor de evaluare până în 2019 prin diferite acțiuni.</w:t>
      </w:r>
    </w:p>
    <w:p>
      <w:pPr>
        <w:widowControl w:val="0"/>
        <w:suppressAutoHyphens/>
        <w:spacing w:line="240" w:lineRule="auto"/>
        <w:rPr>
          <w:rFonts w:cs="Times New Roman"/>
          <w:noProof/>
        </w:rPr>
      </w:pPr>
      <w:r>
        <w:rPr>
          <w:noProof/>
        </w:rPr>
        <w:t>Deși la nivelul UE sunt disponibile date privind proprietățile substanțelor, comunicarea menționată anterior a concluzionat, de asemenea, că trebuie consolidată respectarea „obligațiilor în ceea ce îi privește pe toți actorii implicați, inclusiv pe solicitanții înregistrării, pe utilizatorii din aval și în special, pe importatori”. Pentru a coordona și a evalua proiecte de aplicare și inspecții comune armonizate, statele membre cooperează în cadrul Forumului pentru schimbul de informații privind aplicarea, instituit în temeiul REACH. O sarcină importantă în viitor va viza mai buna integrare a controalelor vamale la frontieră pentru a împiedica pătrunderea substanțelor interzise pe piața internă, ca atare sau în componența articolelor fabricate.</w:t>
      </w:r>
    </w:p>
    <w:p>
      <w:pPr>
        <w:widowControl w:val="0"/>
        <w:suppressAutoHyphens/>
        <w:spacing w:line="240" w:lineRule="auto"/>
        <w:rPr>
          <w:rFonts w:cs="Times New Roman"/>
          <w:noProof/>
        </w:rPr>
      </w:pPr>
      <w:r>
        <w:rPr>
          <w:noProof/>
        </w:rPr>
        <w:t xml:space="preserve">Următoarele cicluri de evaluare a punerii în aplicare a politicilor de mediu vor încerca să includă mai multe informații privind conformitatea la nivelul statelor membre, abordând chestiuni precum numărul și calitatea controalelor vamale efectuate de autoritățile naționale și capacitatea inspectoratelor naționale.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Practici de succes:</w:t>
            </w:r>
          </w:p>
          <w:p>
            <w:pPr>
              <w:spacing w:line="240" w:lineRule="auto"/>
              <w:rPr>
                <w:rFonts w:cs="Times New Roman"/>
                <w:noProof/>
              </w:rPr>
            </w:pPr>
            <w:r>
              <w:rPr>
                <w:b/>
                <w:noProof/>
              </w:rPr>
              <w:t>Italia</w:t>
            </w:r>
            <w:r>
              <w:rPr>
                <w:noProof/>
              </w:rPr>
              <w:t xml:space="preserve"> utilizează Rețeaua întreprinderilor europene a Comisiei pentru a îmbunătăți sensibilizarea întreprinderilor cu privire la rolul și obligațiile pe care le au în temeiul REACH, o provocare deosebită având în vedere numărul mare de întreprinderi micro și mici și mijlocii din sectorul chimic din această țară. </w:t>
            </w:r>
          </w:p>
          <w:p>
            <w:pPr>
              <w:widowControl w:val="0"/>
              <w:suppressAutoHyphens/>
              <w:spacing w:line="240" w:lineRule="auto"/>
              <w:rPr>
                <w:rFonts w:cs="Times New Roman"/>
                <w:noProof/>
              </w:rPr>
            </w:pPr>
            <w:r>
              <w:rPr>
                <w:noProof/>
              </w:rPr>
              <w:t>Guvernul Țărilor de Jos pregătește o „Agendă națională de inovare în domeniul substanțelor chimice sigure” (SCIA), o inițiativă menită să promoveze materiale și produse sigure care pot înlocui substanțele chimice periculoase. Această agendă de cercetare își propune să servească drept ghid pentru politicile de cercetare și dezvoltare la nivelul UE și al statelor membre</w:t>
            </w:r>
            <w:r>
              <w:rPr>
                <w:rFonts w:eastAsiaTheme="minorEastAsia"/>
                <w:noProof/>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noProof/>
          <w:lang w:val="en-GB" w:eastAsia="en-GB" w:bidi="ar-SA"/>
        </w:rPr>
        <w:drawing>
          <wp:anchor distT="0" distB="0" distL="114300" distR="114300" simplePos="0" relativeHeight="251665408" behindDoc="1" locked="0" layoutInCell="1" allowOverlap="1">
            <wp:simplePos x="0" y="0"/>
            <wp:positionH relativeFrom="column">
              <wp:posOffset>3615055</wp:posOffset>
            </wp:positionH>
            <wp:positionV relativeFrom="paragraph">
              <wp:posOffset>208280</wp:posOffset>
            </wp:positionV>
            <wp:extent cx="2369820" cy="3115310"/>
            <wp:effectExtent l="0" t="0" r="0" b="8890"/>
            <wp:wrapTight wrapText="bothSides">
              <wp:wrapPolygon edited="0">
                <wp:start x="0" y="0"/>
                <wp:lineTo x="0" y="21530"/>
                <wp:lineTo x="21357" y="21530"/>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369820" cy="3115310"/>
                    </a:xfrm>
                    <a:prstGeom prst="rect">
                      <a:avLst/>
                    </a:prstGeom>
                  </pic:spPr>
                </pic:pic>
              </a:graphicData>
            </a:graphic>
            <wp14:sizeRelH relativeFrom="page">
              <wp14:pctWidth>0</wp14:pctWidth>
            </wp14:sizeRelH>
            <wp14:sizeRelV relativeFrom="page">
              <wp14:pctHeight>0</wp14:pctHeight>
            </wp14:sizeRelV>
          </wp:anchor>
        </w:drawing>
      </w:r>
      <w:r>
        <w:rPr>
          <w:b/>
          <w:noProof/>
          <w:sz w:val="24"/>
        </w:rPr>
        <w:t xml:space="preserve"> Impozitarea verde, achizițiile publice verzi și finanțarea pentru mediu</w:t>
      </w:r>
    </w:p>
    <w:p>
      <w:pPr>
        <w:rPr>
          <w:rFonts w:cs="Times New Roman"/>
          <w:noProof/>
        </w:rPr>
      </w:pPr>
      <w:r>
        <w:rPr>
          <w:noProof/>
        </w:rPr>
        <w:t xml:space="preserve">Stimulentele financiare și instrumentele economice oferă o modalitate eficace și eficientă de a atinge obiectivele politicii de mediu. Rapoartele de țară furnizează o analiză a taxelor de mediu, a eliminării treptate a subvențiilor dăunătoare mediului și a achizițiilor publice verzi. Comisia discută utilizarea unor astfel de instrumente economice în contextul mai larg al semestrului european și, prin urmare, nu sunt incluse aici acțiuni specifice prioritare noi. </w:t>
      </w:r>
    </w:p>
    <w:p>
      <w:pPr>
        <w:rPr>
          <w:rFonts w:cs="Times New Roman"/>
          <w:noProof/>
        </w:rPr>
      </w:pPr>
      <w:r>
        <w:rPr>
          <w:noProof/>
        </w:rPr>
        <w:t>Finanțarea dedicată este adesea necesară pentru atingerea obiectivelor de mediu. O astfel de finanțare poate proveni din fonduri publice ale UE și naționale, precum și din împrumuturi de la BEI și bănci naționale, putând completa investițiile private necesare. Analiza din cadrul rapoartelor de țară încearcă să reflecte diversele surse de investiții publice și să le pună într-o anumită perspectivă, de exemplu ca procent din PIB</w:t>
      </w:r>
      <w:r>
        <w:rPr>
          <w:noProof/>
          <w:vertAlign w:val="superscript"/>
        </w:rPr>
        <w:footnoteReference w:id="82"/>
      </w:r>
      <w:r>
        <w:rPr>
          <w:noProof/>
        </w:rPr>
        <w:t>.</w:t>
      </w:r>
    </w:p>
    <w:p>
      <w:pPr>
        <w:pageBreakBefore/>
        <w:spacing w:after="200" w:line="276" w:lineRule="auto"/>
        <w:jc w:val="left"/>
        <w:rPr>
          <w:rFonts w:cs="Times New Roman"/>
          <w:i/>
          <w:iCs/>
          <w:noProof/>
        </w:rPr>
      </w:pPr>
      <w:r>
        <w:rPr>
          <w:i/>
          <w:noProof/>
        </w:rPr>
        <w:t>Constatări în materie de politici:</w:t>
      </w:r>
    </w:p>
    <w:p>
      <w:pPr>
        <w:pStyle w:val="ListParagraph"/>
        <w:numPr>
          <w:ilvl w:val="0"/>
          <w:numId w:val="3"/>
        </w:numPr>
        <w:spacing w:line="240" w:lineRule="auto"/>
        <w:contextualSpacing w:val="0"/>
        <w:rPr>
          <w:rFonts w:cs="Times New Roman"/>
          <w:i/>
          <w:iCs/>
          <w:noProof/>
        </w:rPr>
      </w:pPr>
      <w:r>
        <w:rPr>
          <w:i/>
          <w:noProof/>
        </w:rPr>
        <w:t>Raportul dintre taxele de mediu și PIB variază între aproximativ 1,7 % și 4 %. Mai multe state membre au introdus taxe de mediu în 2017, inclusiv prin creșterea costului motorinei</w:t>
      </w:r>
      <w:r>
        <w:rPr>
          <w:i/>
          <w:noProof/>
          <w:vertAlign w:val="superscript"/>
        </w:rPr>
        <w:footnoteReference w:id="83"/>
      </w:r>
      <w:r>
        <w:rPr>
          <w:i/>
          <w:noProof/>
        </w:rPr>
        <w:t xml:space="preserve"> sau prin reducerea subvențiilor dăunătoare mediului. Cu toate acestea, în mai multe state membre persistă avantajele fiscale pentru utilizarea privată a autoturismelor de serviciu, lucru care împiedică progresul în ceea ce privește abordarea congestiei traficului și a poluării aerului</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În cadrul fondurilor structurale și de investiții europene (fondurile ESI), „protecția mediului și eficiența utilizării resurselor” reprezintă cea mai mare alocare în perioada 2014-2020 în 12 state membre</w:t>
      </w:r>
      <w:r>
        <w:rPr>
          <w:i/>
          <w:noProof/>
        </w:rPr>
        <w:footnoteReference w:id="85"/>
      </w:r>
      <w:r>
        <w:rPr>
          <w:i/>
          <w:noProof/>
        </w:rPr>
        <w:t>. În plus, alocările din partea UE pentru mediu au fost mai mari decât cheltuielile publice guvernamentale naționale pentru mediu în perioada 2014-2018 pentru 11 state membre</w:t>
      </w:r>
      <w:r>
        <w:rPr>
          <w:i/>
          <w:noProof/>
        </w:rPr>
        <w:footnoteReference w:id="86"/>
      </w:r>
      <w:r>
        <w:rPr>
          <w:i/>
          <w:noProof/>
        </w:rPr>
        <w:t xml:space="preserve">. </w:t>
      </w:r>
    </w:p>
    <w:p>
      <w:pPr>
        <w:pStyle w:val="ListParagraph"/>
        <w:numPr>
          <w:ilvl w:val="0"/>
          <w:numId w:val="3"/>
        </w:numPr>
        <w:spacing w:line="240" w:lineRule="auto"/>
        <w:contextualSpacing w:val="0"/>
        <w:rPr>
          <w:rFonts w:cs="Times New Roman"/>
          <w:i/>
          <w:iCs/>
          <w:noProof/>
        </w:rPr>
      </w:pPr>
      <w:r>
        <w:rPr>
          <w:i/>
          <w:noProof/>
        </w:rPr>
        <w:t>În mai multe state membre, principala provocare pentru finanțarea pentru mediu este asigurarea menținerii acesteia la un nivel adecvat</w:t>
      </w:r>
      <w:r>
        <w:rPr>
          <w:noProof/>
          <w:vertAlign w:val="superscript"/>
        </w:rPr>
        <w:footnoteReference w:id="87"/>
      </w:r>
      <w:r>
        <w:rPr>
          <w:i/>
          <w:noProof/>
        </w:rPr>
        <w:t>. În unele state membre, există problema utilizării eficace a fondurilor UE</w:t>
      </w:r>
      <w:r>
        <w:rPr>
          <w:noProof/>
          <w:vertAlign w:val="superscript"/>
        </w:rPr>
        <w:footnoteReference w:id="88"/>
      </w:r>
      <w:r>
        <w:rPr>
          <w:i/>
          <w:noProof/>
        </w:rPr>
        <w:t>, datorându-se uneori capacității insuficiente a administrațiilor. Redirecționarea fondurilor către proiecte care nu implică mediul poate evita pierderea de bani, dar acest lucru poate genera întârzieri în ceea ce privește punerea în aplicare în materie de mediu.</w:t>
      </w:r>
    </w:p>
    <w:tbl>
      <w:tblPr>
        <w:tblStyle w:val="TableGrid"/>
        <w:tblpPr w:leftFromText="180" w:rightFromText="180" w:vertAnchor="text" w:horzAnchor="margin" w:tblpY="68"/>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Practici de succes:</w:t>
            </w:r>
          </w:p>
          <w:p>
            <w:pPr>
              <w:rPr>
                <w:rFonts w:cs="Times New Roman"/>
                <w:noProof/>
              </w:rPr>
            </w:pPr>
            <w:r>
              <w:rPr>
                <w:noProof/>
              </w:rPr>
              <w:t xml:space="preserve">Taxa pentru depozitarea deșeurilor din </w:t>
            </w:r>
            <w:r>
              <w:rPr>
                <w:b/>
                <w:noProof/>
              </w:rPr>
              <w:t>Regatul Unit</w:t>
            </w:r>
            <w:r>
              <w:rPr>
                <w:noProof/>
              </w:rPr>
              <w:t xml:space="preserve"> a început să producă efecte clare de reducere a depozitelor de deșeuri. Creșterea taxei de depozitare a deșeurilor - în prezent, una dintre cele mai ridicate din Europa - a redus în mod eficace eliminarea deșeurilor, maximizând astfel reciclarea materiilor uscate și a deșeurilor alimentare.</w:t>
            </w:r>
          </w:p>
          <w:p>
            <w:pPr>
              <w:rPr>
                <w:rFonts w:cs="Times New Roman"/>
                <w:noProof/>
              </w:rPr>
            </w:pPr>
            <w:r>
              <w:rPr>
                <w:b/>
                <w:noProof/>
              </w:rPr>
              <w:t>Austria</w:t>
            </w:r>
            <w:r>
              <w:rPr>
                <w:noProof/>
              </w:rPr>
              <w:t xml:space="preserve"> a creat o platformă și un birou de asistență pentru a facilita schimbul de experiență între responsabilii cu achizițiile publice verzi de la diferite niveluri guvernamentale. </w:t>
            </w:r>
          </w:p>
          <w:p>
            <w:pPr>
              <w:spacing w:line="240" w:lineRule="auto"/>
              <w:rPr>
                <w:rFonts w:cs="Times New Roman"/>
                <w:noProof/>
              </w:rPr>
            </w:pPr>
            <w:r>
              <w:rPr>
                <w:b/>
                <w:noProof/>
              </w:rPr>
              <w:t>Polonia</w:t>
            </w:r>
            <w:r>
              <w:rPr>
                <w:noProof/>
              </w:rPr>
              <w:t xml:space="preserve"> are o taxă pentru apele reziduale, venitul respectiv fiind utilizat pentru investiții în domeniul protecției mediului. </w:t>
            </w:r>
            <w:r>
              <w:rPr>
                <w:b/>
                <w:noProof/>
              </w:rPr>
              <w:t>Suedia</w:t>
            </w:r>
            <w:r>
              <w:rPr>
                <w:noProof/>
              </w:rPr>
              <w:t xml:space="preserve"> are în vigoare taxe pentru NO</w:t>
            </w:r>
            <w:r>
              <w:rPr>
                <w:noProof/>
                <w:vertAlign w:val="subscript"/>
              </w:rPr>
              <w:t>x</w:t>
            </w:r>
            <w:r>
              <w:rPr>
                <w:noProof/>
              </w:rPr>
              <w:t xml:space="preserve"> și SO</w:t>
            </w:r>
            <w:r>
              <w:rPr>
                <w:noProof/>
                <w:vertAlign w:val="subscript"/>
              </w:rPr>
              <w:t>2</w:t>
            </w:r>
            <w:r>
              <w:rPr>
                <w:noProof/>
              </w:rPr>
              <w:t xml:space="preserve">, ceea ce a dus la reducerea acestor poluanți atmosferici; iar în 2018 au fost introduse taxe pe substanțele chimice, pe transportul aerian, precum și un sistem de indexare a taxelor de mediu. </w:t>
            </w:r>
            <w:r>
              <w:rPr>
                <w:b/>
                <w:noProof/>
              </w:rPr>
              <w:t>Croația</w:t>
            </w:r>
            <w:r>
              <w:rPr>
                <w:noProof/>
              </w:rPr>
              <w:t xml:space="preserve"> percepe o taxă de funcționare a pădurilor în beneficiul public, care impune companiilor să contribuie financiar la gestionarea pădurilor. Landul Baden-Wurttemberg (</w:t>
            </w:r>
            <w:r>
              <w:rPr>
                <w:b/>
                <w:noProof/>
              </w:rPr>
              <w:t>Germania</w:t>
            </w:r>
            <w:r>
              <w:rPr>
                <w:noProof/>
              </w:rPr>
              <w:t>) acordă agricultorilor plăți pentru deținerea de specii de flori sălbatice pe pășunile lor.</w:t>
            </w:r>
          </w:p>
        </w:tc>
      </w:tr>
    </w:tbl>
    <w:p>
      <w:pPr>
        <w:spacing w:before="240"/>
        <w:rPr>
          <w:rFonts w:cs="Times New Roman"/>
          <w:b/>
          <w:bCs/>
          <w:noProof/>
          <w:sz w:val="24"/>
          <w:szCs w:val="24"/>
        </w:rPr>
      </w:pPr>
      <w:r>
        <w:rPr>
          <w:b/>
          <w:noProof/>
          <w:sz w:val="24"/>
        </w:rPr>
        <w:t xml:space="preserve">2.6. </w:t>
      </w:r>
      <w:r>
        <w:rPr>
          <w:noProof/>
        </w:rPr>
        <w:tab/>
      </w:r>
      <w:r>
        <w:rPr>
          <w:b/>
          <w:noProof/>
          <w:sz w:val="24"/>
        </w:rPr>
        <w:t>Sprijinirea acțiunilor multilaterale</w:t>
      </w:r>
    </w:p>
    <w:p>
      <w:pPr>
        <w:rPr>
          <w:rFonts w:cs="Times New Roman"/>
          <w:noProof/>
        </w:rPr>
      </w:pPr>
      <w:r>
        <w:rPr>
          <w:noProof/>
        </w:rPr>
        <w:t xml:space="preserve">UE se angajează să consolideze legile de mediu și punerea acestora în aplicare la nivel mondial, printre altele prin sprijinirea procesului Pactului mondial pentru mediu, aprobat de Adunarea Generală a Organizației Națiunilor Unite (ONU) în mai 2018. Acordul de la Paris privind schimbările climatice este, de asemenea, de o importanță crucială, și atât Comisia, cât și statele membre acționează în mod activ în ceea ce privește punerea sa deplină în aplicare. În plus, ca parte a obligațiilor sale internaționale și în lumina naturii globale a provocărilor și oportunităților referitoare la mediu, UE se angajează să sprijine protecția mediului în țările partenere prin intermediul mecanismelor sale de cooperare internațională și de dezvoltare. </w:t>
      </w:r>
    </w:p>
    <w:p>
      <w:pPr>
        <w:rPr>
          <w:rFonts w:cs="Times New Roman"/>
          <w:noProof/>
        </w:rPr>
      </w:pPr>
      <w:r>
        <w:rPr>
          <w:noProof/>
        </w:rPr>
        <w:t xml:space="preserve">Evaluarea punerii în aplicare a politicilor de mediu reprezintă unul dintre instrumentele care asigură faptul că statele membre oferă un bun exemplu prin respectarea politicilor europene, a legilor și a acordurilor internaționale în domeniul mediului și, prin urmare, acest instrument continuă să monitorizeze stadiul ratificării și al punerii în aplicare a acordurilor internaționale. </w:t>
      </w:r>
    </w:p>
    <w:p>
      <w:pPr>
        <w:rPr>
          <w:rFonts w:cs="Times New Roman"/>
          <w:noProof/>
        </w:rPr>
      </w:pPr>
      <w:r>
        <w:rPr>
          <w:noProof/>
        </w:rPr>
        <w:t>De asemenea, noile rapoarte de țară analizează cadrele administrative privind comerțul internațional cu lemn tropical, accesul la resursele genetice și comerțul internațional cu specii sălbatice. Regulamentul privind lemnul al Uniunii Europene reprezintă un exemplu de sprijin concret din partea Comisiei Europene; în 2018, au fost organizate două ateliere multinaționale cu privire la îmbunătățirea punerii sale în aplicare, în cadrul instrumentului TAIEX-EIR Peer to Peer, la care au participat douăsprezece state membre.</w:t>
      </w:r>
    </w:p>
    <w:p>
      <w:pPr>
        <w:rPr>
          <w:rFonts w:cs="Times New Roman"/>
          <w:noProof/>
        </w:rPr>
      </w:pPr>
      <w:r>
        <w:rPr>
          <w:noProof/>
        </w:rPr>
        <w:t>O bună punere în aplicare în domeniul mediului, în cadrul UE, este esențială pentru realizarea pe deplin a obiectivelor de dezvoltare durabilă (ODD), convenite în 2015. Aceasta se referă în special la obiectivele privind protejarea ecosistemelor acvatice împotriva poluării și utilizarea durabilă a apei (ODD6), consumul și producția durabile (ODD12), acțiunea în domeniul climei (ODD13), protejarea ecosistemelor marine (ODD14) și combaterea presiunilor asupra capitalului natural european (ODD15). Pentru a aborda lacunele în ceea ce privește punerea în aplicare a politicilor de mediu, este esențial să existe o guvernare și instituții eficiente (ODD16), precum și să se îmbunătățească coerența politicilor și să se stimuleze colaborarea în cadrul parteneriatelor cu multiple părți interesate (ODD17). De asemenea, obiectivele de dezvoltare durabilă stimulează integrarea aspectelor legate de mediu, deoarece aduc laolaltă politicile sociale, economice și sociale într-un cadru coerent.</w:t>
      </w:r>
    </w:p>
    <w:p>
      <w:pPr>
        <w:rPr>
          <w:rFonts w:cs="Times New Roman"/>
          <w:i/>
          <w:iCs/>
          <w:noProof/>
        </w:rPr>
      </w:pPr>
      <w:r>
        <w:rPr>
          <w:i/>
          <w:noProof/>
        </w:rPr>
        <w:t>Constatări în materie de politici:</w:t>
      </w:r>
    </w:p>
    <w:p>
      <w:pPr>
        <w:pStyle w:val="ListParagraph"/>
        <w:numPr>
          <w:ilvl w:val="0"/>
          <w:numId w:val="3"/>
        </w:numPr>
        <w:spacing w:line="240" w:lineRule="auto"/>
        <w:contextualSpacing w:val="0"/>
        <w:rPr>
          <w:rFonts w:cs="Times New Roman"/>
          <w:i/>
          <w:iCs/>
          <w:noProof/>
        </w:rPr>
      </w:pPr>
      <w:r>
        <w:rPr>
          <w:i/>
          <w:noProof/>
        </w:rPr>
        <w:t>Multe state membre nu au semnat și nu au ratificat încă unul sau mai multe acorduri multilaterale în domeniul mediului</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Unele state membre ar trebui să își îmbunătățească punerea în aplicare a normelor UE privind utilizarea resurselor genetice, iar mai multe țări nu aplică încă pe deplin normele privind lemnul tropical.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Practici de succes:</w:t>
            </w:r>
          </w:p>
          <w:p>
            <w:pPr>
              <w:pStyle w:val="CommentText"/>
              <w:rPr>
                <w:rFonts w:cs="Times New Roman"/>
                <w:noProof/>
              </w:rPr>
            </w:pPr>
            <w:r>
              <w:rPr>
                <w:noProof/>
                <w:sz w:val="22"/>
              </w:rPr>
              <w:t xml:space="preserve">Coordonarea orizontală a acțiunilor de realizare a ODD-urilor capătă amploare în Europa. </w:t>
            </w:r>
            <w:r>
              <w:rPr>
                <w:b/>
                <w:noProof/>
                <w:sz w:val="22"/>
              </w:rPr>
              <w:t>Spania a</w:t>
            </w:r>
            <w:r>
              <w:rPr>
                <w:noProof/>
                <w:sz w:val="22"/>
              </w:rPr>
              <w:t xml:space="preserve"> numit un înalt comisar pentru Agenda 2030, care raportează direct prim-ministrului. </w:t>
            </w:r>
            <w:r>
              <w:rPr>
                <w:b/>
                <w:noProof/>
                <w:sz w:val="22"/>
              </w:rPr>
              <w:t>Franța</w:t>
            </w:r>
            <w:r>
              <w:rPr>
                <w:noProof/>
                <w:sz w:val="22"/>
              </w:rPr>
              <w:t xml:space="preserve"> a numit un delegat interministerial pentru dezvoltare durabilă sub autoritatea prim-ministrului.</w:t>
            </w:r>
          </w:p>
        </w:tc>
      </w:tr>
    </w:tbl>
    <w:p>
      <w:pPr>
        <w:pStyle w:val="ListParagraph"/>
        <w:numPr>
          <w:ilvl w:val="0"/>
          <w:numId w:val="5"/>
        </w:numPr>
        <w:spacing w:before="240"/>
        <w:rPr>
          <w:rFonts w:cs="Times New Roman"/>
          <w:b/>
          <w:bCs/>
          <w:noProof/>
          <w:sz w:val="28"/>
          <w:szCs w:val="28"/>
        </w:rPr>
      </w:pPr>
      <w:r>
        <w:rPr>
          <w:b/>
          <w:noProof/>
          <w:sz w:val="28"/>
        </w:rPr>
        <w:t>Consolidarea guvernanței de mediu</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Guvernanța de mediu</w:t>
      </w:r>
    </w:p>
    <w:p>
      <w:pPr>
        <w:rPr>
          <w:rFonts w:cs="Times New Roman"/>
          <w:noProof/>
        </w:rPr>
      </w:pPr>
      <w:r>
        <w:rPr>
          <w:noProof/>
        </w:rPr>
        <w:t>Calitatea administrației publice a statelor membre are un impact semnificativ asupra rezultatelor politicilor UE. Potrivit unui studiu realizat în 2018</w:t>
      </w:r>
      <w:r>
        <w:rPr>
          <w:noProof/>
        </w:rPr>
        <w:footnoteReference w:id="90"/>
      </w:r>
      <w:r>
        <w:rPr>
          <w:noProof/>
        </w:rPr>
        <w:t xml:space="preserve">, calitatea serviciilor publice ale unei țări se corelează cu nivelul încrederii în administrația publică, cu climatul favorabil de afaceri și cu nivelul de bunăstare a societății. </w:t>
      </w:r>
    </w:p>
    <w:p>
      <w:pPr>
        <w:rPr>
          <w:rFonts w:cs="Times New Roman"/>
          <w:noProof/>
        </w:rPr>
      </w:pPr>
      <w:r>
        <w:rPr>
          <w:noProof/>
        </w:rPr>
        <w:t>Evaluarea punerii în aplicare a politicilor de mediu din 2017 a identificat o serie de cauze comune ale lacunelor în ceea ce privește punerea în aplicare referitoare la guvernanță</w:t>
      </w:r>
      <w:r>
        <w:rPr>
          <w:noProof/>
        </w:rPr>
        <w:footnoteReference w:id="91"/>
      </w:r>
      <w:r>
        <w:rPr>
          <w:noProof/>
        </w:rPr>
        <w:t>, dar se impune o analiză mai sistematică. A fost lansată o evaluare a performanței guvernanței de mediu a statelor membre ca prim pas către învățarea reciprocă și găsirea unor soluții personalizate</w:t>
      </w:r>
      <w:r>
        <w:rPr>
          <w:noProof/>
        </w:rPr>
        <w:footnoteReference w:id="92"/>
      </w:r>
      <w:r>
        <w:rPr>
          <w:noProof/>
        </w:rPr>
        <w:t>. Comisia va discuta, în cadrul Forumului privind conformarea cu legislația de mediu și guvernanța de mediu</w:t>
      </w:r>
      <w:r>
        <w:rPr>
          <w:noProof/>
        </w:rPr>
        <w:footnoteReference w:id="93"/>
      </w:r>
      <w:r>
        <w:rPr>
          <w:noProof/>
        </w:rPr>
        <w:t xml:space="preserve"> și în cadrul grupului de experți privind evaluarea punerii în aplicare a politicilor de mediu</w:t>
      </w:r>
      <w:r>
        <w:rPr>
          <w:noProof/>
        </w:rPr>
        <w:footnoteReference w:id="94"/>
      </w:r>
      <w:r>
        <w:rPr>
          <w:noProof/>
        </w:rPr>
        <w:t>, modul în care rezultatele și datele colectate în cadrul proiectului pot fi utilizate și actualizate pentru a sprijini următoarele cicluri de evaluare a punerii în aplicare a politicilor de mediu.</w:t>
      </w:r>
    </w:p>
    <w:p>
      <w:pPr>
        <w:rPr>
          <w:rFonts w:cs="Times New Roman"/>
          <w:noProof/>
        </w:rPr>
      </w:pPr>
      <w:r>
        <w:rPr>
          <w:noProof/>
        </w:rPr>
        <w:t>În ceea ce privește progresele înregistrate începând cu 2017, standardele importante privind transparența, participarea publicului și accesul la justiție, stabilite în Convenția de la Aarhus</w:t>
      </w:r>
      <w:r>
        <w:rPr>
          <w:noProof/>
        </w:rPr>
        <w:footnoteReference w:id="95"/>
      </w:r>
      <w:r>
        <w:rPr>
          <w:noProof/>
        </w:rPr>
        <w:t>, nu au fost încă realizate pe deplin în UE. Eforturile suplimentare în aceste domenii ar aduce beneficii cetățenilor, întreprinderilor și administrațiilor. Dreptul părților interesate de a introduce căi de atac în fața instanțelor naționale, adesea bazat pe hotărârile Curții de Justiție a Uniunii Europene, este recunoscut din ce în ce mai mult. Pentru a facilita acțiunile în justiție ale persoanelor fizice și juridice, în 2017 a fost adoptată o comunicare interpretativă privind accesul la justiție în materie de mediu</w:t>
      </w:r>
      <w:r>
        <w:rPr>
          <w:noProof/>
        </w:rPr>
        <w:footnoteReference w:id="96"/>
      </w:r>
      <w:r>
        <w:rPr>
          <w:noProof/>
        </w:rPr>
        <w:t xml:space="preserve">. </w:t>
      </w:r>
    </w:p>
    <w:p>
      <w:pPr>
        <w:rPr>
          <w:rFonts w:cs="Times New Roman"/>
          <w:noProof/>
        </w:rPr>
      </w:pPr>
      <w:r>
        <w:rPr>
          <w:noProof/>
        </w:rPr>
        <w:t>În plus, Planul de acțiune privind asigurarea conformității cu privire la mediu</w:t>
      </w:r>
      <w:r>
        <w:rPr>
          <w:noProof/>
        </w:rPr>
        <w:footnoteReference w:id="97"/>
      </w:r>
      <w:r>
        <w:rPr>
          <w:noProof/>
        </w:rPr>
        <w:t xml:space="preserve">, adoptat la începutul anului 2018, are scopul de a furniza bune practici și îndrumări cu privire la gestionarea plângerilor, combaterea infracțiunilor împotriva mediului și asigurarea conformității în zonele rurale, precum și un cadru mai amplu pentru evaluarea modului în care statele membre respectă normele de mediu. </w:t>
      </w:r>
    </w:p>
    <w:p>
      <w:pPr>
        <w:rPr>
          <w:rFonts w:cs="Times New Roman"/>
          <w:noProof/>
        </w:rPr>
      </w:pPr>
      <w:r>
        <w:rPr>
          <w:noProof/>
        </w:rPr>
        <w:t>Regulamentul privind guvernanța uniunii energetice și a acțiunilor climatice a intrat în vigoare în decembrie 2018 și va consolida în mod semnificativ integrarea între politicile energetice, climatice și de mediu, în special cu obligația statelor membre de a pregăti planurile naționale privind energia și clima</w:t>
      </w:r>
      <w:r>
        <w:rPr>
          <w:noProof/>
        </w:rPr>
        <w:footnoteReference w:id="98"/>
      </w:r>
      <w:r>
        <w:rPr>
          <w:noProof/>
        </w:rPr>
        <w:t>.</w:t>
      </w:r>
    </w:p>
    <w:p>
      <w:pPr>
        <w:rPr>
          <w:rFonts w:cs="Times New Roman"/>
          <w:noProof/>
        </w:rPr>
      </w:pPr>
      <w:r>
        <w:rPr>
          <w:noProof/>
        </w:rPr>
        <w:t>Necesitatea combaterii infracțiunilor împotriva mediului, în special a traficului cu specii sălbatice de faună și floră și a traficului de deșeuri, a fost recunoscută drept o prioritate în cadrul politicii UE împotriva criminalității organizate pentru perioada 2018-2021</w:t>
      </w:r>
      <w:r>
        <w:rPr>
          <w:noProof/>
        </w:rPr>
        <w:footnoteReference w:id="99"/>
      </w:r>
      <w:r>
        <w:rPr>
          <w:noProof/>
        </w:rPr>
        <w:t xml:space="preserve">. În consecință, în întreaga UE s-au desfășurat multe acțiuni concrete cu sprijinul Europol și cu finanțare din partea UE, conduse de agențiile de aplicare a legii din statele membre, împotriva diferitelor tipuri de infracțiuni de natură ecologică. </w:t>
      </w:r>
    </w:p>
    <w:p>
      <w:pPr>
        <w:rPr>
          <w:rFonts w:cs="Times New Roman"/>
          <w:noProof/>
        </w:rPr>
      </w:pPr>
      <w:r>
        <w:rPr>
          <w:noProof/>
        </w:rPr>
        <w:t>Nu în ultimul rând, rețelele de profesioniști (de exemplu, IMPEL</w:t>
      </w:r>
      <w:r>
        <w:rPr>
          <w:noProof/>
        </w:rPr>
        <w:footnoteReference w:id="100"/>
      </w:r>
      <w:r>
        <w:rPr>
          <w:noProof/>
        </w:rPr>
        <w:t>) joacă un rol crucial iar Comisia intenționează să le consolideze în continuare rolul. Serviciile de digitalizare și de e-guvernare pot contribui, de asemenea, la dezvoltarea unei administrații de aplicare a legii mai eficientă și mai bine integrată. Mai multe inițiative ale UE</w:t>
      </w:r>
      <w:r>
        <w:rPr>
          <w:noProof/>
        </w:rPr>
        <w:footnoteReference w:id="101"/>
      </w:r>
      <w:r>
        <w:rPr>
          <w:noProof/>
        </w:rPr>
        <w:t xml:space="preserve"> sprijină statele membre în acest scop. </w:t>
      </w:r>
    </w:p>
    <w:p>
      <w:pPr>
        <w:spacing w:after="200" w:line="240" w:lineRule="auto"/>
        <w:jc w:val="left"/>
        <w:rPr>
          <w:rFonts w:cs="Times New Roman"/>
          <w:i/>
          <w:iCs/>
          <w:noProof/>
        </w:rPr>
      </w:pPr>
      <w:r>
        <w:rPr>
          <w:i/>
          <w:noProof/>
        </w:rPr>
        <w:t>Constatări în materie de politici:</w:t>
      </w:r>
    </w:p>
    <w:p>
      <w:pPr>
        <w:pStyle w:val="ListParagraph"/>
        <w:numPr>
          <w:ilvl w:val="0"/>
          <w:numId w:val="3"/>
        </w:numPr>
        <w:spacing w:line="240" w:lineRule="auto"/>
        <w:contextualSpacing w:val="0"/>
        <w:rPr>
          <w:rFonts w:cs="Times New Roman"/>
          <w:noProof/>
        </w:rPr>
      </w:pPr>
      <w:r>
        <w:rPr>
          <w:i/>
          <w:noProof/>
        </w:rPr>
        <w:t xml:space="preserve">O guvernanță a mediului mai solidă în statele membre îmbunătățește punerea în aplicare a politicii de mediu. Statele membre își pot îmbunătăți în permanență guvernanța de mediu globală. </w:t>
      </w:r>
    </w:p>
    <w:p>
      <w:pPr>
        <w:pStyle w:val="ListParagraph"/>
        <w:numPr>
          <w:ilvl w:val="0"/>
          <w:numId w:val="3"/>
        </w:numPr>
        <w:spacing w:line="240" w:lineRule="auto"/>
        <w:contextualSpacing w:val="0"/>
        <w:rPr>
          <w:rFonts w:cs="Times New Roman"/>
          <w:i/>
          <w:iCs/>
          <w:noProof/>
        </w:rPr>
      </w:pPr>
      <w:r>
        <w:rPr>
          <w:i/>
          <w:noProof/>
        </w:rPr>
        <w:t>Sporirea transparenței are efecte pozitive clare asupra punerii în aplicare. Aceasta îmbunătățește nivelul de cunoștințe, responsabilitatea, implicarea publică și sprijinul public. Statele membre ar trebui să valorifice mai bine oportunitățile digitale de îmbunătățire a transparenței, printr-o mai bună informare a publicului cu privire la starea actuală a mediului la nivel local/regional, stimulând schimbări comportamentale.</w:t>
      </w:r>
    </w:p>
    <w:p>
      <w:pPr>
        <w:pStyle w:val="ListParagraph"/>
        <w:numPr>
          <w:ilvl w:val="0"/>
          <w:numId w:val="3"/>
        </w:numPr>
        <w:spacing w:line="240" w:lineRule="auto"/>
        <w:contextualSpacing w:val="0"/>
        <w:rPr>
          <w:rFonts w:cs="Times New Roman"/>
          <w:i/>
          <w:iCs/>
          <w:noProof/>
        </w:rPr>
      </w:pPr>
      <w:r>
        <w:rPr>
          <w:i/>
          <w:noProof/>
        </w:rPr>
        <w:t>În ciuda progresului general, statele membre trebuie să îmbunătățească în continuare accesul la informațiile privind mediul, în special la datele și serviciile spațiale, astfel încât acestea să poată fi reutilizate cu ușurință și în mod liber (în conformitate cu Directiva INSPIRE</w:t>
      </w:r>
      <w:r>
        <w:rPr>
          <w:i/>
          <w:noProof/>
        </w:rPr>
        <w:footnoteReference w:id="102"/>
      </w:r>
      <w:r>
        <w:rPr>
          <w:i/>
          <w:noProof/>
        </w:rPr>
        <w:t>, cu Directiva privind accesul publicului la informațiile despre mediu și cu Directiva privind reutilizarea informațiilor din sectorul public)</w:t>
      </w:r>
      <w:r>
        <w:rPr>
          <w:i/>
          <w:noProof/>
        </w:rPr>
        <w:footnoteReference w:id="103"/>
      </w:r>
      <w:r>
        <w:rPr>
          <w:i/>
          <w:noProof/>
        </w:rPr>
        <w:t>.</w:t>
      </w:r>
    </w:p>
    <w:p>
      <w:pPr>
        <w:pStyle w:val="ListParagraph"/>
        <w:numPr>
          <w:ilvl w:val="0"/>
          <w:numId w:val="3"/>
        </w:numPr>
        <w:spacing w:line="240" w:lineRule="auto"/>
        <w:contextualSpacing w:val="0"/>
        <w:rPr>
          <w:rFonts w:cs="Times New Roman"/>
          <w:noProof/>
        </w:rPr>
      </w:pPr>
      <w:r>
        <w:rPr>
          <w:i/>
          <w:noProof/>
        </w:rPr>
        <w:t>Mai multe state membre</w:t>
      </w:r>
      <w:r>
        <w:rPr>
          <w:i/>
          <w:noProof/>
        </w:rPr>
        <w:footnoteReference w:id="104"/>
      </w:r>
      <w:r>
        <w:rPr>
          <w:i/>
          <w:noProof/>
        </w:rPr>
        <w:t xml:space="preserve"> ar trebui să se asigure că ONG-urile din domeniul protecției mediului dețin calitate procesuală pentru a putea introduce căi de atac în probleme de mediu și că entitățile care vor să depună reclamații pe probleme de medii nu se mai confruntă cu obstacole, cum ar fi costurile prohibitive. </w:t>
      </w:r>
    </w:p>
    <w:p>
      <w:pPr>
        <w:pStyle w:val="ListParagraph"/>
        <w:numPr>
          <w:ilvl w:val="0"/>
          <w:numId w:val="3"/>
        </w:numPr>
        <w:spacing w:line="240" w:lineRule="auto"/>
        <w:contextualSpacing w:val="0"/>
        <w:rPr>
          <w:rFonts w:cs="Times New Roman"/>
          <w:noProof/>
        </w:rPr>
      </w:pPr>
      <w:r>
        <w:rPr>
          <w:i/>
          <w:noProof/>
        </w:rPr>
        <w:t>Douăzeci și șase de state membre</w:t>
      </w:r>
      <w:r>
        <w:rPr>
          <w:i/>
          <w:noProof/>
        </w:rPr>
        <w:footnoteReference w:id="105"/>
      </w:r>
      <w:r>
        <w:rPr>
          <w:i/>
          <w:noProof/>
        </w:rPr>
        <w:t xml:space="preserve"> ar trebui să îmbunătățească aplicarea Directivei privind răspunderea pentru mediul înconjurător în unul sau mai multe dintre următoarele domenii: securitatea financiară, orientările și colectarea și publicarea informațiilor privind daunele aduse mediului.</w:t>
      </w:r>
    </w:p>
    <w:p>
      <w:pPr>
        <w:spacing w:line="240" w:lineRule="auto"/>
        <w:rPr>
          <w:rFonts w:cs="Times New Roman"/>
          <w:noProof/>
        </w:rPr>
      </w:pPr>
    </w:p>
    <w:p>
      <w:pPr>
        <w:spacing w:before="240"/>
        <w:rPr>
          <w:rFonts w:cs="Times New Roman"/>
          <w:b/>
          <w:noProof/>
          <w:sz w:val="24"/>
        </w:rPr>
      </w:pPr>
      <w:r>
        <w:rPr>
          <w:b/>
          <w:noProof/>
          <w:sz w:val="24"/>
        </w:rPr>
        <w:t xml:space="preserve">3.2. </w:t>
      </w:r>
      <w:r>
        <w:rPr>
          <w:noProof/>
        </w:rPr>
        <w:tab/>
      </w:r>
      <w:r>
        <w:rPr>
          <w:b/>
          <w:noProof/>
          <w:sz w:val="24"/>
        </w:rPr>
        <w:t>Integrarea aspectelor legate de mediu</w:t>
      </w:r>
    </w:p>
    <w:p>
      <w:pPr>
        <w:rPr>
          <w:rFonts w:eastAsia="Times New Roman" w:cs="Times New Roman"/>
          <w:noProof/>
        </w:rPr>
      </w:pPr>
      <w:r>
        <w:rPr>
          <w:noProof/>
        </w:rPr>
        <w:t>Realizarea obiectivelor de mediu și climatice nu depinde numai de punerea în aplicare a legislației în materie de mediu, ci necesită, de asemenea, integrarea aspectelor legate de mediu în alte politici, așa cum s-a subliniat în mod repetat în programele de acțiune pentru mediu ale Comisiei</w:t>
      </w:r>
      <w:r>
        <w:rPr>
          <w:noProof/>
        </w:rPr>
        <w:footnoteReference w:id="106"/>
      </w:r>
      <w:r>
        <w:rPr>
          <w:noProof/>
        </w:rPr>
        <w:t>. Acest lucru poate fi ilustrat cu ajutorul exemplului politicii agricole comune (PAC): dat fiind faptul că terenurile agricole acoperă aproximativ jumătate din suprafața Uniunii. Politica agricolă comună poate contribui în mod semnificativ la realizarea obiectivelor de mediu și climatice, cum ar fi stoparea pierderii biodiversității, reducerea degradării terenurilor și a solului, asigurarea calității apei, reducerea emisiilor de amoniac, precum și gestionarea și reducerea emisiilor de gaze cu efect de seră. Reformele recente din cadrul politicii agricole comune au adus schimbări promițătoare ale cadrului politic în ceea ce privește îmbunătățirea coerenței cu obiectivele de mediu și climatice. Propunerile legislative pentru politica agricolă comună după 2020 vor consolida în continuare această coerență. Strategia actualizată privind bioeconomia</w:t>
      </w:r>
      <w:r>
        <w:rPr>
          <w:noProof/>
        </w:rPr>
        <w:footnoteReference w:id="107"/>
      </w:r>
      <w:r>
        <w:rPr>
          <w:noProof/>
        </w:rPr>
        <w:t xml:space="preserve"> este, de asemenea, o încercare de integrare a obiectivelor de mediu, sociale și economice într-o manieră transversală și coerentă.</w:t>
      </w:r>
    </w:p>
    <w:p>
      <w:pPr>
        <w:rPr>
          <w:rFonts w:eastAsia="Times New Roman" w:cs="Times New Roman"/>
          <w:noProof/>
        </w:rPr>
      </w:pPr>
      <w:r>
        <w:rPr>
          <w:noProof/>
        </w:rPr>
        <w:t xml:space="preserve">Politica și legile elaborate de diferite autorități în diferite sectoare ar trebui să fie coerente și bazate pe o logică comună, pe dovezi științifice și pe o bună utilizare a tehnologiilor disponibile. Acest lucru este subliniat, de asemenea, și în articolul 11 din Tratatul privind funcționarea UE. Integrarea aspectelor legate de mediu necesită o cooperare eficace între autorități, când de fapt, în realitate, diferite ministere și autorități subnaționale au în continuare tendința să lucreze în „compartimente” izolate. Politicile insuficiente și coerența instituțională reprezintă una dintre principalele cauze ale lacunelor de punere în aplicare în ceea ce privește atingerea obiectivelor politicilor și legislației UE în materie de mediu. </w:t>
      </w:r>
    </w:p>
    <w:p>
      <w:pPr>
        <w:rPr>
          <w:rFonts w:eastAsia="Times New Roman" w:cs="Times New Roman"/>
          <w:noProof/>
        </w:rPr>
      </w:pPr>
      <w:r>
        <w:rPr>
          <w:noProof/>
        </w:rPr>
        <w:t>Promovarea politicii și a coerenței instituționale reprezintă o provocare permanentă. Rapoartele de țară arată că, în multe state membre, presiunile asupra mediului sunt strâns legate de sectoarele economice (agricultură, transport, industrie, alimente sau energie, printre altele). Un exemplu este modul în care economia circulară depinde de inovarea în materie de produse, de gestionarea eficace a deșeurilor și de stimularea prin achiziții publice durabile. La nivelul UE, o analiză a relațiilor la punctul de intersecție dintre agricultură și apă a arătat că este posibilă o abordare mai integrată</w:t>
      </w:r>
      <w:r>
        <w:rPr>
          <w:noProof/>
        </w:rPr>
        <w:footnoteReference w:id="108"/>
      </w:r>
      <w:r>
        <w:rPr>
          <w:noProof/>
        </w:rPr>
        <w:t xml:space="preserve">. În multe cazuri, o abordare colaborativă cu privire la interese diferite ar putea fi o cale mai bună de urmat, mai degrabă decât adoptarea unei noi legislații. </w:t>
      </w:r>
    </w:p>
    <w:p>
      <w:pPr>
        <w:rPr>
          <w:rFonts w:eastAsia="Times New Roman" w:cs="Times New Roman"/>
          <w:noProof/>
        </w:rPr>
      </w:pPr>
      <w:r>
        <w:rPr>
          <w:noProof/>
          <w:lang w:val="en-GB" w:eastAsia="en-GB" w:bidi="ar-SA"/>
        </w:rPr>
        <w:drawing>
          <wp:anchor distT="0" distB="0" distL="114300" distR="114300" simplePos="0" relativeHeight="251667456" behindDoc="1" locked="0" layoutInCell="1" allowOverlap="1">
            <wp:simplePos x="0" y="0"/>
            <wp:positionH relativeFrom="column">
              <wp:posOffset>2849245</wp:posOffset>
            </wp:positionH>
            <wp:positionV relativeFrom="paragraph">
              <wp:posOffset>261620</wp:posOffset>
            </wp:positionV>
            <wp:extent cx="3019425" cy="1896110"/>
            <wp:effectExtent l="0" t="0" r="9525" b="8890"/>
            <wp:wrapTight wrapText="bothSides">
              <wp:wrapPolygon edited="0">
                <wp:start x="0" y="0"/>
                <wp:lineTo x="0" y="21484"/>
                <wp:lineTo x="21532" y="21484"/>
                <wp:lineTo x="2153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19425" cy="189611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În plus, reuniunile intersectoriale la nivel politic (de exemplu, reuniunile comune ale formațiunilor Consiliului) și echipele comune de experți în proiecte oferă mijloacele de identificare, analiză și rezolvare a cazurilor de integrare slabă a aspectelor legate de mediu. </w:t>
      </w:r>
    </w:p>
    <w:p>
      <w:pPr>
        <w:rPr>
          <w:rFonts w:cs="Times New Roman"/>
          <w:noProof/>
        </w:rPr>
      </w:pPr>
      <w:r>
        <w:rPr>
          <w:noProof/>
        </w:rPr>
        <w:t xml:space="preserve">Învățarea </w:t>
      </w:r>
      <w:r>
        <w:rPr>
          <w:i/>
          <w:noProof/>
        </w:rPr>
        <w:t>inter pares</w:t>
      </w:r>
      <w:r>
        <w:rPr>
          <w:noProof/>
        </w:rPr>
        <w:t xml:space="preserve"> s-a dovedit a fi un instrument important în ceea privește îmbunătățirea punerii în aplicare a aspectelor legate de mediu. Instrumentul TAIEX-EIR P2P, introdus în primul ciclu de evaluare a punerii în aplicare a politicilor de mediu, a fost bine primit de autoritățile de mediu.</w:t>
      </w:r>
      <w:r>
        <w:rPr>
          <w:b/>
          <w:noProof/>
        </w:rPr>
        <w:t xml:space="preserve"> </w:t>
      </w:r>
      <w:r>
        <w:rPr>
          <w:noProof/>
        </w:rPr>
        <w:t>În anul 2018, primul an operațional al instrumentului, toate statele membre au fost implicate în cel puțin un eveniment, iar peste 50 % dintre evenimente au fost ateliere multinaționale. În cele 19 proiecte realizate în 2018, instrumentul a fost utilizat în principal de autoritățile de mediu, dar poate servi la o mai bună integrare prin includerea altor autorități relevante, după cum indică constatările în materie de politici.</w:t>
      </w:r>
    </w:p>
    <w:p>
      <w:pPr>
        <w:rPr>
          <w:rFonts w:cs="Times New Roman"/>
          <w:noProof/>
        </w:rPr>
      </w:pPr>
    </w:p>
    <w:p>
      <w:pPr>
        <w:spacing w:after="200" w:line="240" w:lineRule="auto"/>
        <w:jc w:val="left"/>
        <w:rPr>
          <w:rFonts w:cs="Times New Roman"/>
          <w:i/>
          <w:iCs/>
          <w:noProof/>
        </w:rPr>
      </w:pPr>
      <w:r>
        <w:rPr>
          <w:i/>
          <w:noProof/>
        </w:rPr>
        <w:t>Constatări în materie de politici:</w:t>
      </w:r>
    </w:p>
    <w:p>
      <w:pPr>
        <w:pStyle w:val="ListParagraph"/>
        <w:numPr>
          <w:ilvl w:val="0"/>
          <w:numId w:val="3"/>
        </w:numPr>
        <w:spacing w:line="240" w:lineRule="auto"/>
        <w:contextualSpacing w:val="0"/>
        <w:rPr>
          <w:rFonts w:cs="Times New Roman"/>
          <w:i/>
          <w:iCs/>
          <w:noProof/>
        </w:rPr>
      </w:pPr>
      <w:r>
        <w:rPr>
          <w:i/>
          <w:noProof/>
        </w:rPr>
        <w:t>Toate statele membre își pot îmbunătăți în permanență guvernanța de mediu globală. În mai multe state membre, autoritățile de mediu au un deficit sever de personal, iar această lipsă de capacitate și de resurse le afectează capacitatea de punere în aplicare și de respectare a aplicării. Structurile de coordonare între administrațiile sectoriale și de la niveluri diferite există în majoritatea statelor membre, dar eficacitatea acestora variază. Trei state membre</w:t>
      </w:r>
      <w:r>
        <w:rPr>
          <w:i/>
          <w:noProof/>
        </w:rPr>
        <w:footnoteReference w:id="109"/>
      </w:r>
      <w:r>
        <w:rPr>
          <w:i/>
          <w:noProof/>
        </w:rPr>
        <w:t xml:space="preserve"> sunt încurajate în mod insistent să abordeze fragmentarea regională și locală prin dezvoltarea unor mecanisme de coordonare mai bune pentru mediu.</w:t>
      </w:r>
    </w:p>
    <w:p>
      <w:pPr>
        <w:pStyle w:val="ListParagraph"/>
        <w:numPr>
          <w:ilvl w:val="0"/>
          <w:numId w:val="3"/>
        </w:numPr>
        <w:spacing w:line="240" w:lineRule="auto"/>
        <w:contextualSpacing w:val="0"/>
        <w:rPr>
          <w:rFonts w:cs="Times New Roman"/>
          <w:i/>
          <w:iCs/>
          <w:noProof/>
        </w:rPr>
      </w:pPr>
      <w:r>
        <w:rPr>
          <w:i/>
          <w:noProof/>
        </w:rPr>
        <w:t>Două state membre</w:t>
      </w:r>
      <w:r>
        <w:rPr>
          <w:i/>
          <w:noProof/>
        </w:rPr>
        <w:footnoteReference w:id="110"/>
      </w:r>
      <w:r>
        <w:rPr>
          <w:i/>
          <w:noProof/>
        </w:rPr>
        <w:t xml:space="preserve"> nu au finalizat încă transpunerea Directivei revizuite privind evaluarea impactului asupra mediului (EIM) în legislație națională. Procedurile de evaluare a mediului trebuie să fie simplificate și trebuie asigurată o participare publică eficientă în întreaga UE.</w:t>
      </w:r>
    </w:p>
    <w:p>
      <w:pPr>
        <w:pStyle w:val="ListParagraph"/>
        <w:numPr>
          <w:ilvl w:val="0"/>
          <w:numId w:val="3"/>
        </w:numPr>
        <w:spacing w:line="240" w:lineRule="auto"/>
        <w:contextualSpacing w:val="0"/>
        <w:rPr>
          <w:rFonts w:cs="Times New Roman"/>
          <w:i/>
          <w:iCs/>
          <w:noProof/>
        </w:rPr>
      </w:pPr>
      <w:r>
        <w:rPr>
          <w:i/>
          <w:noProof/>
        </w:rPr>
        <w:t>Schimburile inter pares au fost folosite în principal pentru provocările tematice, dar există și posibilitatea utilizării instrumentului pentru schimburi privind cauzele principale ale punerii în aplicare deficitare în domeniul calității administrației publice și al mecanismelor de guvernanță.</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pageBreakBefore/>
              <w:spacing w:after="200" w:line="240" w:lineRule="auto"/>
              <w:jc w:val="left"/>
              <w:rPr>
                <w:rFonts w:cs="Times New Roman"/>
                <w:b/>
                <w:bCs/>
                <w:noProof/>
              </w:rPr>
            </w:pPr>
            <w:r>
              <w:rPr>
                <w:b/>
                <w:noProof/>
              </w:rPr>
              <w:t>Practici de succes:</w:t>
            </w:r>
          </w:p>
          <w:p>
            <w:pPr>
              <w:spacing w:after="200" w:line="240" w:lineRule="auto"/>
              <w:rPr>
                <w:rFonts w:cs="Times New Roman"/>
                <w:noProof/>
              </w:rPr>
            </w:pPr>
            <w:r>
              <w:rPr>
                <w:b/>
                <w:noProof/>
              </w:rPr>
              <w:t>Bulgaria</w:t>
            </w:r>
            <w:r>
              <w:rPr>
                <w:noProof/>
              </w:rPr>
              <w:t xml:space="preserve"> a luat măsuri pentru asigurarea de evaluări simplificate ale mediului prin includerea în procedurile sale de EIM a evaluării corespunzătoare în temeiul Directivei „Habitate”, a procesului de autorizare a prevenirii și controlului integrat al poluării (IPPC) și a procesului „Seveso” pentru securitatea chimică. Simplificarea contribuie la reducerea sarcinii administrative, sporește coerența și accelerează luarea deciziilor, iar eforturile ar trebui să se îndrepte în direcția punerii în aplicare adecvate a acestor dispoziții.</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Calea de urmat</w:t>
      </w:r>
    </w:p>
    <w:p>
      <w:pPr>
        <w:rPr>
          <w:rFonts w:cs="Times New Roman"/>
          <w:noProof/>
        </w:rPr>
      </w:pPr>
      <w:r>
        <w:rPr>
          <w:noProof/>
        </w:rPr>
        <w:t xml:space="preserve">Evaluarea punerii în aplicare a politicilor de mediu a identificat câteva probleme fundamentale care necesită o atenție deosebită în următorii ani și a atras atenția autorităților cheie și cetățenilor asupra lacunelor cu privire la punerea în aplicare a politicilor de mediu din țările lor. </w:t>
      </w:r>
    </w:p>
    <w:p>
      <w:pPr>
        <w:rPr>
          <w:rFonts w:cs="Times New Roman"/>
          <w:noProof/>
        </w:rPr>
      </w:pPr>
      <w:r>
        <w:rPr>
          <w:b/>
          <w:noProof/>
        </w:rPr>
        <w:t>Integrarea obiectivelor legate de mediu</w:t>
      </w:r>
      <w:r>
        <w:rPr>
          <w:noProof/>
        </w:rPr>
        <w:t xml:space="preserve"> cu alte obiective politice legitime este adesea deficitară iar acest lucru are efecte negative asupra punerii în aplicare</w:t>
      </w:r>
      <w:r>
        <w:rPr>
          <w:b/>
          <w:noProof/>
        </w:rPr>
        <w:t>.</w:t>
      </w:r>
      <w:r>
        <w:rPr>
          <w:noProof/>
        </w:rPr>
        <w:t xml:space="preserve"> O mai bună integrare a tuturor acestor obiective în etapele de planificare și punere în aplicare a politicilor este esențială pentru succesul fiecăruia dintre domeniile relevante ale politicilor și, în cele din urmă, pentru societățile noastre. Perspectivele indicate de cel mai recent Raport privind starea mediului</w:t>
      </w:r>
      <w:r>
        <w:rPr>
          <w:noProof/>
          <w:vertAlign w:val="superscript"/>
        </w:rPr>
        <w:footnoteReference w:id="111"/>
      </w:r>
      <w:r>
        <w:rPr>
          <w:noProof/>
        </w:rPr>
        <w:t xml:space="preserve"> și de Raportul privind indicatorii de mediu pentru 2018</w:t>
      </w:r>
      <w:r>
        <w:rPr>
          <w:noProof/>
        </w:rPr>
        <w:footnoteReference w:id="112"/>
      </w:r>
      <w:r>
        <w:rPr>
          <w:noProof/>
        </w:rPr>
        <w:t xml:space="preserve"> sunt destul de sumbre iar punerea în aplicare integrală a actualei legislații a UE în materie de mediu este, într-adevăr, doar un punct de plecare în vederea schimbării tendințelor. </w:t>
      </w:r>
    </w:p>
    <w:p>
      <w:pPr>
        <w:rPr>
          <w:rFonts w:cs="Times New Roman"/>
          <w:noProof/>
        </w:rPr>
      </w:pPr>
      <w:r>
        <w:rPr>
          <w:noProof/>
        </w:rPr>
        <w:t xml:space="preserve">Progresul actual în ceea ce privește aplicarea efectivă este prea lent iar o integrare mai bună a aspectelor legate de mediu poate schimba regulile jocului. Situația poate fi îmbunătățită numai dacă preocupările legate de mediu sunt luate în considerare la elaborarea și executarea politicilor publice cu o amprentă ecologică semnificativă, cum ar fi cele din domeniul energiei, transportului și agriculturii. Abordarea bazată pe conexiune </w:t>
      </w:r>
      <w:r>
        <w:rPr>
          <w:noProof/>
          <w:vertAlign w:val="superscript"/>
        </w:rPr>
        <w:footnoteReference w:id="113"/>
      </w:r>
      <w:r>
        <w:rPr>
          <w:noProof/>
        </w:rPr>
        <w:t xml:space="preserve"> ar putea fi consolidată ca principiu director: aceasta se referă la examinarea sistematică și în prealabil a problemelor, în vederea identificării unor soluții integrate ulterioare pentru sectoarele implicate și a susținerii investițiilor de mediu la nivelul UE, la nivel național, regional și local. </w:t>
      </w:r>
    </w:p>
    <w:p>
      <w:pPr>
        <w:rPr>
          <w:rFonts w:cs="Times New Roman"/>
          <w:noProof/>
        </w:rPr>
      </w:pPr>
      <w:r>
        <w:rPr>
          <w:b/>
          <w:noProof/>
        </w:rPr>
        <w:t>Calitatea sistemelor de guvernanță relevante</w:t>
      </w:r>
      <w:r>
        <w:rPr>
          <w:noProof/>
        </w:rPr>
        <w:t xml:space="preserve"> reprezintă un catalizator cheie pentru punerea deplină în aplicare. Rapoartele de țară au identificat faptul că ineficiența și ineficacitatea administrațiilor publice constituie o altă cauză fundamentală importantă a punerii în aplicare deficitare. Comisia abordează deja calitatea administrației publice și a guvernanței în contextul semestrului european, prin intermediul fondurilor structurale și de investiții, al programului de sprijin pentru reforme structurale și al unor instrumente de orientare specifice</w:t>
      </w:r>
      <w:r>
        <w:rPr>
          <w:noProof/>
          <w:vertAlign w:val="superscript"/>
        </w:rPr>
        <w:footnoteReference w:id="114"/>
      </w:r>
      <w:r>
        <w:rPr>
          <w:noProof/>
        </w:rPr>
        <w:t>. În special, este clar că, deși nevoile diferă de la un sistem la altul, nu se pot face îmbunătățiri în acest sens fără a se asigura resursele umane și financiare necesare administrațiilor relevante.</w:t>
      </w:r>
    </w:p>
    <w:p>
      <w:pPr>
        <w:rPr>
          <w:rFonts w:cs="Times New Roman"/>
          <w:noProof/>
          <w:color w:val="FF0000"/>
        </w:rPr>
      </w:pPr>
      <w:r>
        <w:rPr>
          <w:noProof/>
        </w:rPr>
        <w:t xml:space="preserve">Punerea în aplicare a politicilor de mediu se intersectează cu și depinde de implicarea activă a unui spectru larg de părți interesate, publice și private, de la factorii de decizie la cetățeni, întreprinderi și industrii. O astfel de gamă largă de părți interesate poate fi activată numai dacă informațiile relevante sunt puse la dispoziția acestora într-un mod eficient. </w:t>
      </w:r>
      <w:r>
        <w:rPr>
          <w:b/>
          <w:noProof/>
        </w:rPr>
        <w:t>Transparența informațiilor relevante din punct de vedere al mediului înconjurător</w:t>
      </w:r>
      <w:r>
        <w:rPr>
          <w:noProof/>
        </w:rPr>
        <w:t xml:space="preserve"> depășește obligațiile legale: este o condiție prealabilă pentru o colaborare eficientă în privința punerii în aplicare a aspectelor de mediu. Fără transparență, încrederea dispare, iar mobilizarea părților interesate nu este îndeplinită. </w:t>
      </w:r>
    </w:p>
    <w:p>
      <w:pPr>
        <w:rPr>
          <w:rFonts w:cs="Times New Roman"/>
          <w:noProof/>
        </w:rPr>
      </w:pPr>
      <w:r>
        <w:rPr>
          <w:noProof/>
        </w:rPr>
        <w:t>Abordarea lacunelor de punere în aplicare necesită dovezi solide pentru identificarea „distanței față de obiectiv”, a dificultăților aferente și a opțiunilor disponibile și, ulterior, pentru monitorizarea eficacității soluțiilor alese. Prin urmare, Comisia invită statele membre să fie transparente în punerea în aplicare a normelor și politicilor UE, inspirându-se din portalul de date deschise al UE</w:t>
      </w:r>
      <w:r>
        <w:rPr>
          <w:noProof/>
          <w:vertAlign w:val="superscript"/>
        </w:rPr>
        <w:footnoteReference w:id="115"/>
      </w:r>
      <w:r>
        <w:rPr>
          <w:noProof/>
        </w:rPr>
        <w:t xml:space="preserve">, precum și atunci când utilizează tehnologii moderne pentru comunicare, colectare de date și informații. De asemenea, aceasta va permite Comisiei să își adapteze sprijinul la realitățile de la fața locului. </w:t>
      </w:r>
    </w:p>
    <w:p>
      <w:pPr>
        <w:rPr>
          <w:rFonts w:cs="Times New Roman"/>
          <w:noProof/>
        </w:rPr>
      </w:pPr>
      <w:r>
        <w:rPr>
          <w:noProof/>
        </w:rPr>
        <w:t xml:space="preserve">Comisia se angajează să sprijine statele membre în vederea îmbunătățirii punerii în aplicare a aspectelor legate de mediu. Exemple în acest sens includ dialogurile tematice privind evaluarea punerii în aplicare a politicilor de mediu și instrumentul dedicat Peer2Peer, care contribuie la evaluarea problemelor, la schimbul de bune practici și la învățarea </w:t>
      </w:r>
      <w:r>
        <w:rPr>
          <w:i/>
          <w:noProof/>
        </w:rPr>
        <w:t>inter pares</w:t>
      </w:r>
      <w:r>
        <w:rPr>
          <w:noProof/>
        </w:rPr>
        <w:t xml:space="preserve">. Cu toate acestea, dialogurile naționale de succes presupun </w:t>
      </w:r>
      <w:r>
        <w:rPr>
          <w:b/>
          <w:noProof/>
        </w:rPr>
        <w:t>implicarea activă a autorităților regionale și locale și a altor părți interesate</w:t>
      </w:r>
      <w:r>
        <w:rPr>
          <w:noProof/>
        </w:rPr>
        <w:t xml:space="preserve">. Este </w:t>
      </w:r>
      <w:r>
        <w:rPr>
          <w:noProof/>
          <w:color w:val="000000"/>
        </w:rPr>
        <w:t>nevoie de mai multe dezbateri tematice la și între toate nivelurile de administrare, care ar trebui să ducă la concluzii operaționale urmate de acțiuni. Dezbaterile ar trebui să țină cont de o posibilă integrare suplimentară a aspectelor de mediu în alte politici. Comisia a publicat documente care pot servi drept punct de plecare, inclusiv Comunicarea privind aerul curat (2018)</w:t>
      </w:r>
      <w:r>
        <w:rPr>
          <w:noProof/>
          <w:color w:val="000000"/>
          <w:vertAlign w:val="superscript"/>
        </w:rPr>
        <w:footnoteReference w:id="116"/>
      </w:r>
      <w:r>
        <w:rPr>
          <w:noProof/>
          <w:color w:val="000000"/>
        </w:rPr>
        <w:t>, Documentul de lucru privind agricultura și apa (2017)</w:t>
      </w:r>
      <w:r>
        <w:rPr>
          <w:noProof/>
          <w:color w:val="000000"/>
          <w:vertAlign w:val="superscript"/>
        </w:rPr>
        <w:footnoteReference w:id="117"/>
      </w:r>
      <w:r>
        <w:rPr>
          <w:noProof/>
          <w:color w:val="000000"/>
        </w:rPr>
        <w:t>,</w:t>
      </w:r>
      <w:r>
        <w:rPr>
          <w:noProof/>
        </w:rPr>
        <w:t xml:space="preserve"> Planul de acțiune pentru natură, cetățeni și economie</w:t>
      </w:r>
      <w:r>
        <w:rPr>
          <w:noProof/>
          <w:vertAlign w:val="superscript"/>
        </w:rPr>
        <w:footnoteReference w:id="118"/>
      </w:r>
      <w:r>
        <w:rPr>
          <w:noProof/>
        </w:rPr>
        <w:t xml:space="preserve"> </w:t>
      </w:r>
      <w:r>
        <w:rPr>
          <w:noProof/>
          <w:color w:val="000000"/>
        </w:rPr>
        <w:t>și rapoartele de alertă timpurie privind reutilizarea/reciclarea deșeurilor</w:t>
      </w:r>
      <w:r>
        <w:rPr>
          <w:noProof/>
          <w:color w:val="000000"/>
          <w:vertAlign w:val="superscript"/>
        </w:rPr>
        <w:footnoteReference w:id="119"/>
      </w:r>
      <w:r>
        <w:rPr>
          <w:noProof/>
          <w:color w:val="000000"/>
        </w:rPr>
        <w:t xml:space="preserve">. </w:t>
      </w:r>
    </w:p>
    <w:p>
      <w:pPr>
        <w:rPr>
          <w:rFonts w:cs="Times New Roman"/>
          <w:noProof/>
        </w:rPr>
      </w:pPr>
      <w:r>
        <w:rPr>
          <w:noProof/>
        </w:rPr>
        <w:t xml:space="preserve">Comisia invită statele membre să acționeze în baza constatărilor evaluării punerii în aplicare a politicilor de mediu și să utilizeze rapoartele de țară ca bază pentru discuții ulterioare. De asemenea, statele membre sunt încurajate să continue să depună eforturi pentru punerea în aplicare a normelor de mediu în vigoare pentru a oferi cetățenilor rezultate mai bune în materie de mediu, a proteja sănătatea acestora, a amortiza și a contrabalansa presiunile asupra mediului, care sunt costisitoare pentru societățile și economiile noastre. </w:t>
      </w:r>
    </w:p>
    <w:p>
      <w:pPr>
        <w:rPr>
          <w:rFonts w:cs="Times New Roman"/>
          <w:noProof/>
        </w:rPr>
      </w:pPr>
      <w:r>
        <w:rPr>
          <w:noProof/>
          <w:color w:val="000000"/>
        </w:rPr>
        <w:t xml:space="preserve">Un mediu bun reprezintă un bun comun al cetățenilor din UE, atât cei din generațiile actuale, cât și cei din generațiile viitoare, și reprezintă o bază critică pentru celelalte activități sociale și economice. UE a elaborat o legislație cuprinzătoare în materie de mediu, cu scopul de a se asigura că aerul este respirabil, că apa este sigură de utilizat, că hrana pentru consum este sănătoasă, că este sigur să utilizăm lucrurile din jurul nostru și că poluarea este ținută la distanță. Aceste standarde sunt la fel de valoroase ca punerea lor în aplicare. </w:t>
      </w:r>
      <w:r>
        <w:rPr>
          <w:noProof/>
        </w:rPr>
        <w:t xml:space="preserve">Realizarea punerii în aplicare este în mâinile noastre, indiferent dacă acționăm ca instituții publice sau ca persoane private. </w:t>
      </w:r>
    </w:p>
    <w:p>
      <w:pPr>
        <w:rPr>
          <w:rFonts w:cs="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eastAsia="Times New Roman" w:cs="Times New Roman"/>
          <w:sz w:val="16"/>
          <w:szCs w:val="16"/>
        </w:rPr>
      </w:pPr>
      <w:r>
        <w:rPr>
          <w:sz w:val="16"/>
        </w:rPr>
        <w:footnoteRef/>
      </w:r>
      <w:r>
        <w:rPr>
          <w:sz w:val="16"/>
        </w:rPr>
        <w:t xml:space="preserve"> COWI și Eunomia, „Costs of not implementing EU environmental law” (</w:t>
      </w:r>
      <w:r>
        <w:rPr>
          <w:i/>
          <w:sz w:val="16"/>
        </w:rPr>
        <w:t>Costurile aferente nepunerii în aplicare a legislației UE din domeniul mediului</w:t>
      </w:r>
      <w:r>
        <w:rPr>
          <w:sz w:val="16"/>
        </w:rPr>
        <w:t>), 2019.</w:t>
      </w:r>
    </w:p>
  </w:footnote>
  <w:footnote w:id="3">
    <w:p>
      <w:pPr>
        <w:pStyle w:val="FootnoteText"/>
        <w:jc w:val="left"/>
        <w:rPr>
          <w:rFonts w:eastAsia="Times New Roman" w:cs="Times New Roman"/>
          <w:sz w:val="16"/>
          <w:szCs w:val="16"/>
        </w:rPr>
      </w:pPr>
      <w:r>
        <w:rPr>
          <w:sz w:val="16"/>
        </w:rPr>
        <w:footnoteRef/>
      </w:r>
      <w:r>
        <w:rPr>
          <w:sz w:val="16"/>
        </w:rPr>
        <w:t xml:space="preserve"> </w:t>
      </w:r>
      <w:hyperlink r:id="rId1">
        <w:r>
          <w:rPr>
            <w:rStyle w:val="Hyperlink"/>
            <w:sz w:val="16"/>
          </w:rPr>
          <w:t>COM(2017) 63</w:t>
        </w:r>
      </w:hyperlink>
      <w:r>
        <w:rPr>
          <w:sz w:val="16"/>
        </w:rPr>
        <w:t xml:space="preserve">. </w:t>
      </w:r>
    </w:p>
  </w:footnote>
  <w:footnote w:id="4">
    <w:p>
      <w:pPr>
        <w:pStyle w:val="FootnoteText"/>
        <w:rPr>
          <w:rFonts w:cs="Times New Roman"/>
          <w:sz w:val="16"/>
          <w:szCs w:val="16"/>
        </w:rPr>
      </w:pPr>
      <w:r>
        <w:rPr>
          <w:sz w:val="16"/>
        </w:rPr>
        <w:footnoteRef/>
      </w:r>
      <w:r>
        <w:rPr>
          <w:sz w:val="16"/>
        </w:rPr>
        <w:t xml:space="preserve"> </w:t>
      </w:r>
      <w:hyperlink r:id="rId2">
        <w:r>
          <w:rPr>
            <w:rStyle w:val="Hyperlink"/>
            <w:sz w:val="16"/>
          </w:rPr>
          <w:t>TAIEX-EIR Peer to Peer</w:t>
        </w:r>
      </w:hyperlink>
      <w:r>
        <w:rPr>
          <w:sz w:val="16"/>
        </w:rPr>
        <w:t xml:space="preserve"> </w:t>
      </w:r>
    </w:p>
  </w:footnote>
  <w:footnote w:id="5">
    <w:p>
      <w:pPr>
        <w:pStyle w:val="FootnoteText"/>
        <w:rPr>
          <w:sz w:val="16"/>
          <w:szCs w:val="16"/>
        </w:rPr>
      </w:pPr>
      <w:r>
        <w:rPr>
          <w:sz w:val="16"/>
        </w:rPr>
        <w:footnoteRef/>
      </w:r>
      <w:r>
        <w:rPr>
          <w:sz w:val="16"/>
        </w:rPr>
        <w:t xml:space="preserve"> </w:t>
      </w:r>
      <w:hyperlink r:id="rId3">
        <w:r>
          <w:rPr>
            <w:rStyle w:val="Hyperlink"/>
            <w:sz w:val="16"/>
          </w:rPr>
          <w:t>COM(2016) 316</w:t>
        </w:r>
      </w:hyperlink>
      <w:r>
        <w:rPr>
          <w:sz w:val="16"/>
        </w:rPr>
        <w:t>.</w:t>
      </w:r>
    </w:p>
  </w:footnote>
  <w:footnote w:id="6">
    <w:p>
      <w:pPr>
        <w:pStyle w:val="FootnoteText"/>
        <w:rPr>
          <w:sz w:val="16"/>
          <w:szCs w:val="16"/>
        </w:rPr>
      </w:pPr>
      <w:r>
        <w:rPr>
          <w:sz w:val="16"/>
        </w:rPr>
        <w:footnoteRef/>
      </w:r>
      <w:r>
        <w:rPr>
          <w:sz w:val="16"/>
        </w:rPr>
        <w:t xml:space="preserve"> Constatările referitoare la anumite state membre din prezenta comunicare și din anexa care o însoțește se bazează pe informațiile aflate la dispoziția Comisiei înainte de data adoptării acestei comunicări și nu aduc atingere niciunei acțiuni în justiție pe care Comisia ar putea-o întreprinde după această dată.</w:t>
      </w:r>
    </w:p>
  </w:footnote>
  <w:footnote w:id="7">
    <w:p>
      <w:pPr>
        <w:pStyle w:val="FootnoteText"/>
        <w:ind w:left="170" w:hanging="170"/>
        <w:jc w:val="left"/>
        <w:rPr>
          <w:rFonts w:eastAsia="Times New Roman" w:cs="Times New Roman"/>
          <w:sz w:val="16"/>
          <w:szCs w:val="16"/>
        </w:rPr>
      </w:pPr>
      <w:r>
        <w:rPr>
          <w:sz w:val="16"/>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sz w:val="16"/>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sz w:val="16"/>
        </w:rPr>
        <w:footnoteRef/>
      </w:r>
      <w:r>
        <w:rPr>
          <w:sz w:val="16"/>
        </w:rPr>
        <w:t xml:space="preserve"> Oficiul pentru Publicații al Uniunii Europene,</w:t>
      </w:r>
      <w:r>
        <w:t xml:space="preserve"> </w:t>
      </w:r>
      <w:hyperlink r:id="rId6">
        <w:r>
          <w:rPr>
            <w:rStyle w:val="Hyperlink"/>
            <w:sz w:val="16"/>
          </w:rPr>
          <w:t>Pachetul privind deșeurile</w:t>
        </w:r>
      </w:hyperlink>
      <w:r>
        <w:t xml:space="preserve"> </w:t>
      </w:r>
      <w:r>
        <w:rPr>
          <w:sz w:val="16"/>
        </w:rPr>
        <w:t>(Jurnalul Oficial al Uniunii Europene, L 150, 14 iunie 2018).</w:t>
      </w:r>
    </w:p>
  </w:footnote>
  <w:footnote w:id="10">
    <w:p>
      <w:pPr>
        <w:pStyle w:val="FootnoteText"/>
        <w:rPr>
          <w:rFonts w:eastAsia="Times New Roman" w:cs="Times New Roman"/>
          <w:sz w:val="16"/>
          <w:szCs w:val="16"/>
        </w:rPr>
      </w:pPr>
      <w:r>
        <w:rPr>
          <w:sz w:val="16"/>
        </w:rPr>
        <w:footnoteRef/>
      </w:r>
      <w:r>
        <w:rPr>
          <w:sz w:val="16"/>
        </w:rPr>
        <w:t xml:space="preserve"> Comisia Europeană,</w:t>
      </w:r>
      <w:r>
        <w:t xml:space="preserve"> </w:t>
      </w:r>
      <w:hyperlink r:id="rId7">
        <w:r>
          <w:rPr>
            <w:rStyle w:val="Hyperlink"/>
            <w:sz w:val="16"/>
          </w:rPr>
          <w:t>Cadrul de monitorizare pentru economia circulară</w:t>
        </w:r>
      </w:hyperlink>
      <w:r>
        <w:t xml:space="preserve"> </w:t>
      </w:r>
      <w:r>
        <w:rPr>
          <w:sz w:val="16"/>
        </w:rPr>
        <w:t>.</w:t>
      </w:r>
    </w:p>
  </w:footnote>
  <w:footnote w:id="11">
    <w:p>
      <w:pPr>
        <w:pStyle w:val="FootnoteText"/>
        <w:rPr>
          <w:sz w:val="16"/>
          <w:szCs w:val="16"/>
        </w:rPr>
      </w:pPr>
      <w:r>
        <w:rPr>
          <w:sz w:val="16"/>
        </w:rPr>
        <w:footnoteRef/>
      </w:r>
      <w:r>
        <w:rPr>
          <w:sz w:val="16"/>
        </w:rPr>
        <w:t xml:space="preserve"> </w:t>
      </w:r>
      <w:r>
        <w:rPr>
          <w:rStyle w:val="Hyperlink"/>
          <w:sz w:val="16"/>
        </w:rPr>
        <w:t>COM(2018) 673</w:t>
      </w:r>
      <w:r>
        <w:rPr>
          <w:rStyle w:val="Hyperlink"/>
          <w:color w:val="auto"/>
          <w:sz w:val="16"/>
          <w:u w:val="none"/>
        </w:rPr>
        <w:t>.</w:t>
      </w:r>
      <w:r>
        <w:rPr>
          <w:rStyle w:val="Hyperlink"/>
          <w:sz w:val="16"/>
        </w:rPr>
        <w:t xml:space="preserve"> </w:t>
      </w:r>
    </w:p>
  </w:footnote>
  <w:footnote w:id="12">
    <w:p>
      <w:pPr>
        <w:pStyle w:val="FootnoteText"/>
        <w:rPr>
          <w:sz w:val="16"/>
          <w:szCs w:val="16"/>
        </w:rPr>
      </w:pPr>
      <w:r>
        <w:rPr>
          <w:sz w:val="16"/>
        </w:rPr>
        <w:footnoteRef/>
      </w:r>
      <w:r>
        <w:rPr>
          <w:sz w:val="16"/>
        </w:rPr>
        <w:t xml:space="preserve"> </w:t>
      </w:r>
      <w:hyperlink r:id="rId8">
        <w:r>
          <w:rPr>
            <w:rStyle w:val="Hyperlink"/>
            <w:sz w:val="16"/>
          </w:rPr>
          <w:t>Acord interinstituțional provizoriu din 19 decembrie 2018</w:t>
        </w:r>
      </w:hyperlink>
      <w:r>
        <w:rPr>
          <w:sz w:val="16"/>
        </w:rPr>
        <w:t>.</w:t>
      </w:r>
    </w:p>
  </w:footnote>
  <w:footnote w:id="13">
    <w:p>
      <w:pPr>
        <w:pStyle w:val="NoSpacing"/>
        <w:rPr>
          <w:sz w:val="16"/>
          <w:szCs w:val="16"/>
        </w:rPr>
      </w:pPr>
      <w:r>
        <w:rPr>
          <w:sz w:val="16"/>
        </w:rPr>
        <w:footnoteRef/>
      </w:r>
      <w:r>
        <w:rPr>
          <w:sz w:val="16"/>
        </w:rPr>
        <w:t xml:space="preserve"> Printre altele, cerințele în materie de proiectare ecologică din regulamentele privind produsele, care sprijină o posibilitate mai mare de reparare, furnizarea de informații utile pentru reparații și furnizarea de piese de schimb.</w:t>
      </w:r>
    </w:p>
  </w:footnote>
  <w:footnote w:id="14">
    <w:p>
      <w:pPr>
        <w:pStyle w:val="FootnoteText"/>
        <w:rPr>
          <w:sz w:val="16"/>
          <w:szCs w:val="16"/>
        </w:rPr>
      </w:pPr>
      <w:r>
        <w:rPr>
          <w:sz w:val="16"/>
        </w:rPr>
        <w:footnoteRef/>
      </w:r>
      <w:r>
        <w:rPr>
          <w:sz w:val="16"/>
        </w:rPr>
        <w:t> În acest context, în octombrie 2018, Comisia a organizat un atelier cu privire la uzura morală planificată/prematură, la care au fost invitate autoritățile de protecție a consumatorilor din statele membre.</w:t>
      </w:r>
    </w:p>
  </w:footnote>
  <w:footnote w:id="15">
    <w:p>
      <w:pPr>
        <w:pStyle w:val="FootnoteText"/>
        <w:rPr>
          <w:rFonts w:eastAsia="Times New Roman" w:cs="Times New Roman"/>
          <w:sz w:val="16"/>
          <w:szCs w:val="16"/>
        </w:rPr>
      </w:pPr>
      <w:r>
        <w:rPr>
          <w:sz w:val="16"/>
        </w:rPr>
        <w:footnoteRef/>
      </w:r>
      <w:r>
        <w:rPr>
          <w:sz w:val="16"/>
        </w:rPr>
        <w:t xml:space="preserve"> Comisia Europeană,</w:t>
      </w:r>
      <w:r>
        <w:t xml:space="preserve"> </w:t>
      </w:r>
      <w:hyperlink r:id="rId9">
        <w:r>
          <w:rPr>
            <w:rStyle w:val="Hyperlink"/>
            <w:sz w:val="16"/>
          </w:rPr>
          <w:t>Rata de reciclare a deșeurilor municipale</w:t>
        </w:r>
      </w:hyperlink>
      <w:r>
        <w:t xml:space="preserve"> </w:t>
      </w:r>
      <w:r>
        <w:rPr>
          <w:rStyle w:val="Hyperlink"/>
          <w:sz w:val="16"/>
        </w:rPr>
        <w:t>.</w:t>
      </w:r>
    </w:p>
  </w:footnote>
  <w:footnote w:id="16">
    <w:p>
      <w:pPr>
        <w:pStyle w:val="FootnoteText"/>
        <w:rPr>
          <w:rFonts w:eastAsia="Times New Roman" w:cs="Times New Roman"/>
          <w:sz w:val="16"/>
          <w:szCs w:val="16"/>
          <w:lang w:val="pt-PT"/>
        </w:rPr>
      </w:pPr>
      <w:r>
        <w:rPr>
          <w:sz w:val="16"/>
        </w:rPr>
        <w:footnoteRef/>
      </w:r>
      <w:r>
        <w:rPr>
          <w:sz w:val="16"/>
        </w:rPr>
        <w:t xml:space="preserve"> </w:t>
      </w:r>
      <w:hyperlink r:id="rId10">
        <w:r>
          <w:rPr>
            <w:rStyle w:val="Hyperlink"/>
            <w:sz w:val="16"/>
          </w:rPr>
          <w:t>COM(2018) 656</w:t>
        </w:r>
      </w:hyperlink>
      <w:r>
        <w:rPr>
          <w:sz w:val="16"/>
        </w:rPr>
        <w:t xml:space="preserve">. </w:t>
      </w:r>
    </w:p>
  </w:footnote>
  <w:footnote w:id="17">
    <w:p>
      <w:pPr>
        <w:pStyle w:val="FootnoteText"/>
        <w:rPr>
          <w:rFonts w:eastAsia="Times New Roman" w:cs="Times New Roman"/>
          <w:sz w:val="16"/>
          <w:szCs w:val="16"/>
          <w:lang w:val="it-IT"/>
        </w:rPr>
      </w:pPr>
      <w:r>
        <w:rPr>
          <w:sz w:val="16"/>
        </w:rPr>
        <w:footnoteRef/>
      </w:r>
      <w:r>
        <w:rPr>
          <w:sz w:val="16"/>
        </w:rPr>
        <w:t xml:space="preserve"> Austria, Bulgaria, Croația, Cipru, Republica Cehă, Estonia, Germania, Grecia, Ungaria, Irlanda, Letonia, Malta, Polonia, Portugalia, România, Slovacia și Spania.</w:t>
      </w:r>
    </w:p>
  </w:footnote>
  <w:footnote w:id="18">
    <w:p>
      <w:pPr>
        <w:pStyle w:val="FootnoteText"/>
        <w:rPr>
          <w:rFonts w:eastAsia="Times New Roman" w:cs="Times New Roman"/>
          <w:sz w:val="16"/>
          <w:szCs w:val="16"/>
          <w:lang w:val="it-IT"/>
        </w:rPr>
      </w:pPr>
      <w:r>
        <w:rPr>
          <w:sz w:val="16"/>
        </w:rPr>
        <w:footnoteRef/>
      </w:r>
      <w:r>
        <w:rPr>
          <w:sz w:val="16"/>
        </w:rPr>
        <w:t xml:space="preserve"> Austria, Cipru, Grecia, Ungaria, Italia, Malta, Țările de Jos, România și Slovacia.</w:t>
      </w:r>
    </w:p>
  </w:footnote>
  <w:footnote w:id="19">
    <w:p>
      <w:pPr>
        <w:pStyle w:val="FootnoteText"/>
        <w:jc w:val="left"/>
        <w:rPr>
          <w:rFonts w:eastAsia="Times New Roman" w:cs="Times New Roman"/>
          <w:sz w:val="16"/>
          <w:szCs w:val="16"/>
        </w:rPr>
      </w:pPr>
      <w:r>
        <w:rPr>
          <w:sz w:val="16"/>
        </w:rPr>
        <w:footnoteRef/>
      </w:r>
      <w:r>
        <w:rPr>
          <w:rFonts w:ascii="Times New Roman," w:hAnsi="Times New Roman,"/>
          <w:sz w:val="16"/>
        </w:rPr>
        <w:t>Comisia Europeană,</w:t>
      </w:r>
      <w:r>
        <w:t xml:space="preserve"> </w:t>
      </w:r>
      <w:hyperlink r:id="rId11">
        <w:r>
          <w:rPr>
            <w:rStyle w:val="Hyperlink"/>
            <w:rFonts w:ascii="Times New Roman," w:hAnsi="Times New Roman,"/>
            <w:sz w:val="16"/>
          </w:rPr>
          <w:t>Deșeurile municipale, în funcție de operațiunile de gestionare a deșeurilor</w:t>
        </w:r>
      </w:hyperlink>
      <w:r>
        <w:rPr>
          <w:rFonts w:ascii="Times New Roman," w:hAnsi="Times New Roman,"/>
          <w:sz w:val="16"/>
        </w:rPr>
        <w:t>.</w:t>
      </w:r>
      <w:r>
        <w:rPr>
          <w:sz w:val="16"/>
        </w:rPr>
        <w:t xml:space="preserve"> Austria, Cipru, Danemarca, Germania, Luxemburg, Malta. </w:t>
      </w:r>
    </w:p>
  </w:footnote>
  <w:footnote w:id="20">
    <w:p>
      <w:pPr>
        <w:pStyle w:val="FootnoteText"/>
        <w:rPr>
          <w:rFonts w:eastAsia="Times New Roman" w:cs="Times New Roman"/>
          <w:sz w:val="16"/>
          <w:szCs w:val="16"/>
        </w:rPr>
      </w:pPr>
      <w:r>
        <w:rPr>
          <w:sz w:val="16"/>
        </w:rPr>
        <w:footnoteRef/>
      </w:r>
      <w:r>
        <w:rPr>
          <w:sz w:val="16"/>
        </w:rPr>
        <w:t xml:space="preserve"> Belgia, Bulgaria, Danemarca, Franța, Germania, Luxemburg, Ungaria, Țările de Jos și Spania. </w:t>
      </w:r>
    </w:p>
  </w:footnote>
  <w:footnote w:id="21">
    <w:p>
      <w:pPr>
        <w:pStyle w:val="FootnoteText"/>
        <w:rPr>
          <w:rFonts w:eastAsia="Times New Roman" w:cs="Times New Roman"/>
          <w:sz w:val="16"/>
          <w:szCs w:val="16"/>
        </w:rPr>
      </w:pPr>
      <w:r>
        <w:rPr>
          <w:sz w:val="16"/>
        </w:rPr>
        <w:footnoteRef/>
      </w:r>
      <w:r>
        <w:rPr>
          <w:sz w:val="16"/>
        </w:rPr>
        <w:t xml:space="preserve"> Austria, Belgia, Germania, Țările de Jos și Slovenia.</w:t>
      </w:r>
    </w:p>
  </w:footnote>
  <w:footnote w:id="22">
    <w:p>
      <w:pPr>
        <w:pStyle w:val="FootnoteText"/>
        <w:rPr>
          <w:rFonts w:eastAsia="Times New Roman" w:cs="Times New Roman"/>
          <w:sz w:val="16"/>
          <w:szCs w:val="16"/>
        </w:rPr>
      </w:pPr>
      <w:r>
        <w:rPr>
          <w:sz w:val="16"/>
        </w:rPr>
        <w:footnoteRef/>
      </w:r>
      <w:r>
        <w:rPr>
          <w:sz w:val="16"/>
        </w:rPr>
        <w:t xml:space="preserve"> Comisia a prezentat rapoarte de alertă timpurie pentru Bulgaria, Croația, Cipru, Estonia, Finlanda, Grecia, Ungaria, Letonia, Malta, Polonia, Portugalia, România, Slovacia și Spania. A se vedea </w:t>
      </w:r>
      <w:hyperlink r:id="rId12">
        <w:r>
          <w:rPr>
            <w:rStyle w:val="Hyperlink"/>
            <w:sz w:val="16"/>
          </w:rPr>
          <w:t>COM(2018) 656</w:t>
        </w:r>
      </w:hyperlink>
      <w:r>
        <w:rPr>
          <w:sz w:val="16"/>
        </w:rPr>
        <w:t>.</w:t>
      </w:r>
    </w:p>
  </w:footnote>
  <w:footnote w:id="23">
    <w:p>
      <w:pPr>
        <w:pStyle w:val="FootnoteText"/>
        <w:rPr>
          <w:rFonts w:eastAsia="Times New Roman" w:cs="Times New Roman"/>
          <w:sz w:val="16"/>
          <w:szCs w:val="16"/>
        </w:rPr>
      </w:pPr>
      <w:r>
        <w:rPr>
          <w:sz w:val="16"/>
        </w:rPr>
        <w:footnoteRef/>
      </w:r>
      <w:r>
        <w:rPr>
          <w:sz w:val="16"/>
        </w:rPr>
        <w:t xml:space="preserve"> Ministerul Francez al Tranziției Ecologice și Solidare,</w:t>
      </w:r>
      <w:r>
        <w:t xml:space="preserve"> </w:t>
      </w:r>
      <w:hyperlink r:id="rId13">
        <w:r>
          <w:rPr>
            <w:rStyle w:val="Hyperlink"/>
            <w:sz w:val="16"/>
          </w:rPr>
          <w:t>Foaie de parcurs pentru economia circulară</w:t>
        </w:r>
      </w:hyperlink>
      <w:r>
        <w:rPr>
          <w:sz w:val="16"/>
        </w:rPr>
        <w:t xml:space="preserve">, 2018. </w:t>
      </w:r>
    </w:p>
  </w:footnote>
  <w:footnote w:id="24">
    <w:p>
      <w:pPr>
        <w:pStyle w:val="FootnoteText"/>
        <w:rPr>
          <w:rFonts w:eastAsia="Times New Roman" w:cs="Times New Roman"/>
          <w:sz w:val="16"/>
          <w:szCs w:val="16"/>
        </w:rPr>
      </w:pPr>
      <w:r>
        <w:rPr>
          <w:sz w:val="16"/>
        </w:rPr>
        <w:footnoteRef/>
      </w:r>
      <w:r>
        <w:rPr>
          <w:sz w:val="16"/>
        </w:rPr>
        <w:t xml:space="preserve"> Bulgaria, Croația, Cipru, Republica Cehă, Estonia, Grecia, Finlanda, Franța, Ungaria, Irlanda, Italia, Lituania, Letonia, Malta, Polonia, Portugalia, România, Slovenia, Slovacia, Spania și Regatul Unit.</w:t>
      </w:r>
    </w:p>
  </w:footnote>
  <w:footnote w:id="25">
    <w:p>
      <w:pPr>
        <w:pStyle w:val="FootnoteText"/>
        <w:rPr>
          <w:sz w:val="16"/>
          <w:szCs w:val="16"/>
        </w:rPr>
      </w:pPr>
      <w:r>
        <w:rPr>
          <w:sz w:val="16"/>
        </w:rPr>
        <w:footnoteRef/>
      </w:r>
      <w:r>
        <w:rPr>
          <w:sz w:val="16"/>
        </w:rPr>
        <w:t xml:space="preserve"> </w:t>
      </w:r>
      <w:hyperlink r:id="rId14">
        <w:r>
          <w:rPr>
            <w:rStyle w:val="Hyperlink"/>
            <w:sz w:val="16"/>
          </w:rPr>
          <w:t>Directiva 1999/31/CE</w:t>
        </w:r>
      </w:hyperlink>
      <w:r>
        <w:rPr>
          <w:sz w:val="16"/>
        </w:rPr>
        <w:t>.</w:t>
      </w:r>
    </w:p>
  </w:footnote>
  <w:footnote w:id="26">
    <w:p>
      <w:pPr>
        <w:pStyle w:val="FootnoteText"/>
        <w:rPr>
          <w:rFonts w:eastAsia="Times New Roman" w:cs="Times New Roman"/>
          <w:sz w:val="16"/>
          <w:szCs w:val="16"/>
        </w:rPr>
      </w:pPr>
      <w:r>
        <w:rPr>
          <w:sz w:val="16"/>
        </w:rPr>
        <w:footnoteRef/>
      </w:r>
      <w:r>
        <w:rPr>
          <w:sz w:val="16"/>
        </w:rPr>
        <w:t xml:space="preserve"> </w:t>
      </w:r>
      <w:r>
        <w:rPr>
          <w:sz w:val="16"/>
          <w:szCs w:val="16"/>
        </w:rPr>
        <w:t>Grupul interguvernamental privind schimbările climatice</w:t>
      </w:r>
      <w:r>
        <w:rPr>
          <w:sz w:val="16"/>
        </w:rPr>
        <w:t>,</w:t>
      </w:r>
      <w:r>
        <w:t xml:space="preserve"> </w:t>
      </w:r>
      <w:hyperlink r:id="rId15">
        <w:r>
          <w:rPr>
            <w:rStyle w:val="Hyperlink"/>
            <w:sz w:val="16"/>
          </w:rPr>
          <w:t>Raportul special privind încălzirea globală cu 1,5 ° </w:t>
        </w:r>
        <w:r>
          <w:rPr>
            <w:sz w:val="16"/>
          </w:rPr>
          <w:t>C</w:t>
        </w:r>
      </w:hyperlink>
      <w:r>
        <w:t>.</w:t>
      </w:r>
    </w:p>
  </w:footnote>
  <w:footnote w:id="27">
    <w:p>
      <w:pPr>
        <w:pStyle w:val="FootnoteText"/>
        <w:rPr>
          <w:rFonts w:eastAsia="Times New Roman" w:cs="Times New Roman"/>
          <w:sz w:val="16"/>
          <w:szCs w:val="16"/>
        </w:rPr>
      </w:pPr>
      <w:r>
        <w:rPr>
          <w:sz w:val="16"/>
        </w:rPr>
        <w:footnoteRef/>
      </w:r>
      <w:r>
        <w:rPr>
          <w:sz w:val="16"/>
        </w:rPr>
        <w:t xml:space="preserve"> </w:t>
      </w:r>
      <w:hyperlink r:id="rId16">
        <w:r>
          <w:rPr>
            <w:rStyle w:val="Hyperlink"/>
            <w:sz w:val="16"/>
            <w:szCs w:val="16"/>
          </w:rPr>
          <w:t>COM(2018)773.</w:t>
        </w:r>
      </w:hyperlink>
      <w:r>
        <w:rPr>
          <w:sz w:val="16"/>
        </w:rPr>
        <w:t xml:space="preserve"> </w:t>
      </w:r>
    </w:p>
  </w:footnote>
  <w:footnote w:id="28">
    <w:p>
      <w:pPr>
        <w:pStyle w:val="FootnoteText"/>
        <w:rPr>
          <w:rFonts w:eastAsia="Times New Roman" w:cs="Times New Roman"/>
          <w:sz w:val="16"/>
          <w:szCs w:val="16"/>
        </w:rPr>
      </w:pPr>
      <w:r>
        <w:rPr>
          <w:sz w:val="16"/>
        </w:rPr>
        <w:footnoteRef/>
      </w:r>
      <w:r>
        <w:rPr>
          <w:sz w:val="16"/>
        </w:rPr>
        <w:t xml:space="preserve"> </w:t>
      </w:r>
      <w:hyperlink r:id="rId17">
        <w:r>
          <w:rPr>
            <w:rStyle w:val="Hyperlink"/>
            <w:sz w:val="16"/>
          </w:rPr>
          <w:t>Directiva (UE) 2018/410</w:t>
        </w:r>
      </w:hyperlink>
      <w:r>
        <w:rPr>
          <w:sz w:val="16"/>
        </w:rPr>
        <w:t>.</w:t>
      </w:r>
    </w:p>
  </w:footnote>
  <w:footnote w:id="29">
    <w:p>
      <w:pPr>
        <w:pStyle w:val="FootnoteText"/>
        <w:rPr>
          <w:rFonts w:eastAsia="Times New Roman" w:cs="Times New Roman"/>
          <w:sz w:val="16"/>
          <w:szCs w:val="16"/>
        </w:rPr>
      </w:pPr>
      <w:r>
        <w:rPr>
          <w:sz w:val="16"/>
        </w:rPr>
        <w:footnoteRef/>
      </w:r>
      <w:r>
        <w:rPr>
          <w:sz w:val="16"/>
        </w:rPr>
        <w:t xml:space="preserve"> </w:t>
      </w:r>
      <w:hyperlink r:id="rId18">
        <w:r>
          <w:rPr>
            <w:rStyle w:val="Hyperlink"/>
            <w:sz w:val="16"/>
          </w:rPr>
          <w:t>COM(2018) 738</w:t>
        </w:r>
      </w:hyperlink>
      <w:r>
        <w:rPr>
          <w:sz w:val="16"/>
        </w:rPr>
        <w:t>.</w:t>
      </w:r>
    </w:p>
  </w:footnote>
  <w:footnote w:id="30">
    <w:p>
      <w:pPr>
        <w:pStyle w:val="FootnoteText"/>
        <w:rPr>
          <w:rFonts w:eastAsia="Times New Roman" w:cs="Times New Roman"/>
          <w:sz w:val="16"/>
          <w:szCs w:val="16"/>
        </w:rPr>
      </w:pPr>
      <w:r>
        <w:rPr>
          <w:sz w:val="16"/>
        </w:rPr>
        <w:footnoteRef/>
      </w:r>
      <w:r>
        <w:rPr>
          <w:sz w:val="16"/>
        </w:rPr>
        <w:t xml:space="preserve"> </w:t>
      </w:r>
      <w:hyperlink r:id="rId19">
        <w:r>
          <w:rPr>
            <w:rStyle w:val="Hyperlink"/>
            <w:sz w:val="16"/>
          </w:rPr>
          <w:t>Regulamentul (UE) 2018/1999</w:t>
        </w:r>
      </w:hyperlink>
      <w:r>
        <w:rPr>
          <w:sz w:val="16"/>
        </w:rPr>
        <w:t>.</w:t>
      </w:r>
    </w:p>
  </w:footnote>
  <w:footnote w:id="31">
    <w:p>
      <w:pPr>
        <w:pStyle w:val="FootnoteText"/>
        <w:rPr>
          <w:rFonts w:eastAsia="Times New Roman" w:cs="Times New Roman"/>
          <w:sz w:val="16"/>
          <w:szCs w:val="16"/>
        </w:rPr>
      </w:pPr>
      <w:r>
        <w:rPr>
          <w:sz w:val="16"/>
        </w:rPr>
        <w:footnoteRef/>
      </w:r>
      <w:r>
        <w:rPr>
          <w:sz w:val="16"/>
        </w:rPr>
        <w:t xml:space="preserve"> În 2016, Belgia, Finlanda, Germania, Irlanda, Malta și Polonia au înregistrat niveluri de emisii mai mari decât nivelul lor anual de emisii alocate. În anul 2017, în conformitate cu datele preliminare, Austria, Bulgaria, Cipru, Estonia, Finlanda, Germania, Irlanda, Lituania, Malta și Polonia au înregistrat niveluri de emisii mai mari decât nivelul lor anual de emisii alocate. </w:t>
      </w:r>
    </w:p>
  </w:footnote>
  <w:footnote w:id="32">
    <w:p>
      <w:pPr>
        <w:pStyle w:val="FootnoteText"/>
        <w:rPr>
          <w:rFonts w:eastAsia="Times New Roman" w:cs="Times New Roman"/>
          <w:sz w:val="16"/>
          <w:szCs w:val="16"/>
        </w:rPr>
      </w:pPr>
      <w:r>
        <w:rPr>
          <w:sz w:val="16"/>
        </w:rPr>
        <w:footnoteRef/>
      </w:r>
      <w:r>
        <w:rPr>
          <w:sz w:val="16"/>
        </w:rPr>
        <w:t xml:space="preserve"> Toate statele membre, cu excepția Bulgariei, Croației și Letoniei.</w:t>
      </w:r>
    </w:p>
  </w:footnote>
  <w:footnote w:id="33">
    <w:p>
      <w:pPr>
        <w:pStyle w:val="FootnoteText"/>
        <w:rPr>
          <w:rFonts w:eastAsia="Times New Roman" w:cs="Times New Roman"/>
          <w:sz w:val="16"/>
          <w:szCs w:val="16"/>
        </w:rPr>
      </w:pPr>
      <w:r>
        <w:rPr>
          <w:sz w:val="16"/>
        </w:rPr>
        <w:footnoteRef/>
      </w:r>
      <w:r>
        <w:rPr>
          <w:sz w:val="16"/>
        </w:rPr>
        <w:t xml:space="preserve"> Comisia Europeană,</w:t>
      </w:r>
      <w:r>
        <w:t xml:space="preserve"> </w:t>
      </w:r>
      <w:hyperlink r:id="rId20">
        <w:r>
          <w:rPr>
            <w:rStyle w:val="Hyperlink"/>
            <w:sz w:val="16"/>
          </w:rPr>
          <w:t>Strategii macroregionale</w:t>
        </w:r>
      </w:hyperlink>
      <w:r>
        <w:rPr>
          <w:sz w:val="16"/>
        </w:rPr>
        <w:t xml:space="preserve">. </w:t>
      </w:r>
    </w:p>
  </w:footnote>
  <w:footnote w:id="34">
    <w:p>
      <w:pPr>
        <w:pStyle w:val="FootnoteText"/>
        <w:rPr>
          <w:rFonts w:eastAsia="Times New Roman" w:cs="Times New Roman"/>
          <w:sz w:val="16"/>
          <w:szCs w:val="16"/>
        </w:rPr>
      </w:pPr>
      <w:r>
        <w:rPr>
          <w:sz w:val="16"/>
        </w:rPr>
        <w:footnoteRef/>
      </w:r>
      <w:r>
        <w:rPr>
          <w:sz w:val="16"/>
        </w:rPr>
        <w:t xml:space="preserve"> Convenția alpină,</w:t>
      </w:r>
      <w:r>
        <w:t xml:space="preserve"> </w:t>
      </w:r>
      <w:hyperlink r:id="rId21">
        <w:r>
          <w:rPr>
            <w:rStyle w:val="Hyperlink"/>
            <w:sz w:val="16"/>
          </w:rPr>
          <w:t>site web.</w:t>
        </w:r>
      </w:hyperlink>
      <w:r>
        <w:rPr>
          <w:sz w:val="16"/>
        </w:rPr>
        <w:t xml:space="preserve"> </w:t>
      </w:r>
    </w:p>
  </w:footnote>
  <w:footnote w:id="35">
    <w:p>
      <w:pPr>
        <w:pStyle w:val="FootnoteText"/>
        <w:rPr>
          <w:rFonts w:eastAsia="Times New Roman" w:cs="Times New Roman"/>
          <w:sz w:val="16"/>
          <w:szCs w:val="16"/>
        </w:rPr>
      </w:pPr>
      <w:r>
        <w:rPr>
          <w:sz w:val="16"/>
        </w:rPr>
        <w:footnoteRef/>
      </w:r>
      <w:r>
        <w:rPr>
          <w:sz w:val="16"/>
        </w:rPr>
        <w:t xml:space="preserve"> Convenția privind Carpații,</w:t>
      </w:r>
      <w:r>
        <w:t xml:space="preserve"> </w:t>
      </w:r>
      <w:hyperlink r:id="rId22">
        <w:r>
          <w:rPr>
            <w:rStyle w:val="Hyperlink"/>
            <w:sz w:val="16"/>
          </w:rPr>
          <w:t>site web.</w:t>
        </w:r>
      </w:hyperlink>
      <w:r>
        <w:rPr>
          <w:sz w:val="16"/>
        </w:rPr>
        <w:t xml:space="preserve"> </w:t>
      </w:r>
    </w:p>
  </w:footnote>
  <w:footnote w:id="36">
    <w:p>
      <w:pPr>
        <w:pStyle w:val="FootnoteText"/>
        <w:rPr>
          <w:rFonts w:eastAsia="Times New Roman" w:cs="Times New Roman"/>
          <w:sz w:val="16"/>
          <w:szCs w:val="16"/>
        </w:rPr>
      </w:pPr>
      <w:r>
        <w:rPr>
          <w:sz w:val="16"/>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sz w:val="16"/>
        </w:rPr>
        <w:footnoteRef/>
      </w:r>
      <w:r>
        <w:rPr>
          <w:sz w:val="16"/>
        </w:rPr>
        <w:t xml:space="preserve"> </w:t>
      </w:r>
      <w:hyperlink r:id="rId24">
        <w:r>
          <w:rPr>
            <w:rStyle w:val="Hyperlink"/>
            <w:sz w:val="16"/>
          </w:rPr>
          <w:t>Directiva 92/43/CEE</w:t>
        </w:r>
      </w:hyperlink>
      <w:r>
        <w:rPr>
          <w:sz w:val="16"/>
        </w:rPr>
        <w:t xml:space="preserve"> și </w:t>
      </w:r>
      <w:hyperlink r:id="rId25">
        <w:r>
          <w:rPr>
            <w:rStyle w:val="Hyperlink"/>
            <w:sz w:val="16"/>
          </w:rPr>
          <w:t>Directiva 2009/147/CE</w:t>
        </w:r>
      </w:hyperlink>
      <w:r>
        <w:rPr>
          <w:sz w:val="16"/>
        </w:rPr>
        <w:t>.</w:t>
      </w:r>
    </w:p>
  </w:footnote>
  <w:footnote w:id="38">
    <w:p>
      <w:pPr>
        <w:pStyle w:val="FootnoteText"/>
        <w:rPr>
          <w:sz w:val="16"/>
          <w:szCs w:val="16"/>
        </w:rPr>
      </w:pPr>
      <w:r>
        <w:rPr>
          <w:sz w:val="16"/>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sz w:val="16"/>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sz w:val="16"/>
        </w:rPr>
        <w:footnoteRef/>
      </w:r>
      <w:r>
        <w:rPr>
          <w:sz w:val="16"/>
        </w:rPr>
        <w:t xml:space="preserve"> </w:t>
      </w:r>
      <w:hyperlink r:id="rId28">
        <w:r>
          <w:rPr>
            <w:rStyle w:val="Hyperlink"/>
            <w:sz w:val="16"/>
          </w:rPr>
          <w:t>Regulamentul (UE) nr. 1143/2014</w:t>
        </w:r>
      </w:hyperlink>
      <w:r>
        <w:rPr>
          <w:sz w:val="16"/>
        </w:rPr>
        <w:t>.</w:t>
      </w:r>
    </w:p>
  </w:footnote>
  <w:footnote w:id="41">
    <w:p>
      <w:pPr>
        <w:pStyle w:val="FootnoteText"/>
        <w:rPr>
          <w:rFonts w:eastAsia="Times New Roman" w:cs="Times New Roman"/>
          <w:sz w:val="16"/>
          <w:szCs w:val="16"/>
        </w:rPr>
      </w:pPr>
      <w:r>
        <w:rPr>
          <w:sz w:val="16"/>
        </w:rPr>
        <w:footnoteRef/>
      </w:r>
      <w:r>
        <w:rPr>
          <w:sz w:val="16"/>
        </w:rPr>
        <w:t xml:space="preserve"> Austria, Belgia, Bulgaria, Croația, Cipru, Republica Cehă, Danemarca, Estonia, Finlanda, Germania, Grecia, Ungaria, Irlanda, Italia, Lituania, Letonia, Malta, Țările de Jos, Polonia, Portugalia, România, Spania, Slovacia, Slovenia, Suedia și Regatul Unit.</w:t>
      </w:r>
    </w:p>
  </w:footnote>
  <w:footnote w:id="42">
    <w:p>
      <w:pPr>
        <w:pStyle w:val="FootnoteText"/>
        <w:rPr>
          <w:rFonts w:eastAsia="Times New Roman" w:cs="Times New Roman"/>
          <w:sz w:val="16"/>
          <w:szCs w:val="16"/>
          <w:lang w:val="it-IT"/>
        </w:rPr>
      </w:pPr>
      <w:r>
        <w:rPr>
          <w:sz w:val="16"/>
        </w:rPr>
        <w:footnoteRef/>
      </w:r>
      <w:r>
        <w:rPr>
          <w:sz w:val="16"/>
        </w:rPr>
        <w:t xml:space="preserve"> Bulgaria, Cipru, Estonia, Grecia, Ungaria, Italia, Lituania, Portugalia, România și Slovenia.</w:t>
      </w:r>
    </w:p>
  </w:footnote>
  <w:footnote w:id="43">
    <w:p>
      <w:pPr>
        <w:pStyle w:val="FootnoteText"/>
        <w:rPr>
          <w:rFonts w:eastAsia="Times New Roman" w:cs="Times New Roman"/>
          <w:sz w:val="16"/>
          <w:szCs w:val="16"/>
          <w:lang w:val="it-IT"/>
        </w:rPr>
      </w:pPr>
      <w:r>
        <w:rPr>
          <w:sz w:val="16"/>
        </w:rPr>
        <w:footnoteRef/>
      </w:r>
      <w:r>
        <w:rPr>
          <w:sz w:val="16"/>
        </w:rPr>
        <w:t xml:space="preserve"> Bulgaria, Croația, Estonia, Franța, Grecia, Ungaria, Irlanda, Italia, Lituania, Luxemburg, Malta, România, Slovacia, Slovenia și Spania.</w:t>
      </w:r>
    </w:p>
  </w:footnote>
  <w:footnote w:id="44">
    <w:p>
      <w:pPr>
        <w:pStyle w:val="FootnoteText"/>
        <w:rPr>
          <w:rFonts w:eastAsia="Times New Roman" w:cs="Times New Roman"/>
          <w:sz w:val="16"/>
          <w:szCs w:val="16"/>
          <w:lang w:val="it-IT"/>
        </w:rPr>
      </w:pPr>
      <w:r>
        <w:rPr>
          <w:sz w:val="16"/>
        </w:rPr>
        <w:footnoteRef/>
      </w:r>
      <w:r>
        <w:rPr>
          <w:sz w:val="16"/>
        </w:rPr>
        <w:t xml:space="preserve"> Austria, Belgia, Republica Cehă, Danemarca, Estonia, Ungaria, Portugalia, Slovacia și Suedia.</w:t>
      </w:r>
    </w:p>
  </w:footnote>
  <w:footnote w:id="45">
    <w:p>
      <w:pPr>
        <w:pStyle w:val="FootnoteText"/>
        <w:rPr>
          <w:rFonts w:eastAsia="Times New Roman" w:cs="Times New Roman"/>
          <w:sz w:val="16"/>
          <w:szCs w:val="16"/>
          <w:lang w:val="it-IT"/>
        </w:rPr>
      </w:pPr>
      <w:r>
        <w:rPr>
          <w:sz w:val="16"/>
        </w:rPr>
        <w:footnoteRef/>
      </w:r>
      <w:r>
        <w:rPr>
          <w:sz w:val="16"/>
        </w:rPr>
        <w:t xml:space="preserve"> Finlanda, Lituania, Letonia, Polonia, Slovacia și Suedia.</w:t>
      </w:r>
    </w:p>
  </w:footnote>
  <w:footnote w:id="46">
    <w:p>
      <w:pPr>
        <w:pStyle w:val="FootnoteText"/>
        <w:rPr>
          <w:rFonts w:eastAsia="Times New Roman" w:cs="Times New Roman"/>
          <w:sz w:val="16"/>
          <w:szCs w:val="16"/>
          <w:lang w:val="it-IT"/>
        </w:rPr>
      </w:pPr>
      <w:r>
        <w:rPr>
          <w:sz w:val="16"/>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lang w:val="it-IT"/>
        </w:rPr>
      </w:pPr>
      <w:r>
        <w:rPr>
          <w:sz w:val="16"/>
        </w:rPr>
        <w:footnoteRef/>
      </w:r>
      <w:r>
        <w:rPr>
          <w:sz w:val="16"/>
        </w:rPr>
        <w:t xml:space="preserve"> Austria, Belgia, Republica Cehă, Grecia, Irlanda, Portugalia, România, Slovacia, Suedia și Regatul Unit. </w:t>
      </w:r>
    </w:p>
  </w:footnote>
  <w:footnote w:id="48">
    <w:p>
      <w:pPr>
        <w:pStyle w:val="FootnoteText"/>
        <w:rPr>
          <w:rFonts w:eastAsia="Times New Roman" w:cs="Times New Roman"/>
          <w:sz w:val="16"/>
          <w:szCs w:val="16"/>
        </w:rPr>
      </w:pPr>
      <w:r>
        <w:rPr>
          <w:sz w:val="16"/>
        </w:rPr>
        <w:footnoteRef/>
      </w:r>
      <w:r>
        <w:rPr>
          <w:sz w:val="16"/>
        </w:rPr>
        <w:t xml:space="preserve"> Republica Cehă, Danemarca, Germania, Grecia, Franța, Ungaria, Portugalia și Spania. </w:t>
      </w:r>
    </w:p>
  </w:footnote>
  <w:footnote w:id="49">
    <w:p>
      <w:pPr>
        <w:pStyle w:val="FootnoteText"/>
        <w:rPr>
          <w:rFonts w:eastAsia="Times New Roman" w:cs="Times New Roman"/>
          <w:sz w:val="16"/>
          <w:szCs w:val="16"/>
          <w:lang w:val="it-IT"/>
        </w:rPr>
      </w:pPr>
      <w:r>
        <w:rPr>
          <w:sz w:val="16"/>
        </w:rPr>
        <w:footnoteRef/>
      </w:r>
      <w:r>
        <w:rPr>
          <w:sz w:val="16"/>
        </w:rPr>
        <w:t xml:space="preserve"> Croația, Danemarca, Estonia, Grecia, Lituania, România și Slovenia.</w:t>
      </w:r>
    </w:p>
  </w:footnote>
  <w:footnote w:id="50">
    <w:p>
      <w:pPr>
        <w:pStyle w:val="FootnoteText"/>
        <w:rPr>
          <w:sz w:val="16"/>
          <w:szCs w:val="16"/>
        </w:rPr>
      </w:pPr>
      <w:r>
        <w:rPr>
          <w:sz w:val="16"/>
        </w:rPr>
        <w:footnoteRef/>
      </w:r>
      <w:r>
        <w:rPr>
          <w:sz w:val="16"/>
        </w:rPr>
        <w:t xml:space="preserve"> În conformitate cu Directiva-cadru „Strategia pentru mediul marin” (</w:t>
      </w:r>
      <w:hyperlink r:id="rId30">
        <w:r>
          <w:rPr>
            <w:rStyle w:val="Hyperlink"/>
            <w:sz w:val="16"/>
          </w:rPr>
          <w:t>Directiva 2008/56/CE</w:t>
        </w:r>
      </w:hyperlink>
      <w:r>
        <w:rPr>
          <w:sz w:val="16"/>
        </w:rPr>
        <w:t>).</w:t>
      </w:r>
    </w:p>
  </w:footnote>
  <w:footnote w:id="51">
    <w:p>
      <w:pPr>
        <w:pStyle w:val="FootnoteText"/>
        <w:rPr>
          <w:rFonts w:eastAsia="Times New Roman" w:cs="Times New Roman"/>
          <w:sz w:val="16"/>
          <w:szCs w:val="16"/>
        </w:rPr>
      </w:pPr>
      <w:r>
        <w:rPr>
          <w:sz w:val="16"/>
        </w:rPr>
        <w:footnoteRef/>
      </w:r>
      <w:r>
        <w:rPr>
          <w:sz w:val="16"/>
        </w:rPr>
        <w:t xml:space="preserve"> Belgia, Bulgaria, Cipru, Danemarca, Finlanda, Franța, Irlanda, Italia, Letonia, Malta, Țările de Jos, Polonia, Portugalia, Spania, Suedia și Regatul Unit.</w:t>
      </w:r>
    </w:p>
  </w:footnote>
  <w:footnote w:id="52">
    <w:p>
      <w:pPr>
        <w:pStyle w:val="FootnoteText"/>
        <w:rPr>
          <w:rFonts w:eastAsia="Times New Roman" w:cs="Times New Roman"/>
          <w:sz w:val="16"/>
          <w:szCs w:val="16"/>
        </w:rPr>
      </w:pPr>
      <w:r>
        <w:rPr>
          <w:sz w:val="16"/>
        </w:rPr>
        <w:footnoteRef/>
      </w:r>
      <w:r>
        <w:rPr>
          <w:sz w:val="16"/>
        </w:rPr>
        <w:t xml:space="preserve"> LIFE Connect Carpathians,</w:t>
      </w:r>
      <w:r>
        <w:t xml:space="preserve"> </w:t>
      </w:r>
      <w:hyperlink r:id="rId31">
        <w:r>
          <w:rPr>
            <w:rStyle w:val="Hyperlink"/>
            <w:sz w:val="16"/>
          </w:rPr>
          <w:t>site web</w:t>
        </w:r>
      </w:hyperlink>
      <w:r>
        <w:rPr>
          <w:sz w:val="16"/>
        </w:rPr>
        <w:t>.</w:t>
      </w:r>
    </w:p>
  </w:footnote>
  <w:footnote w:id="53">
    <w:p>
      <w:pPr>
        <w:pStyle w:val="FootnoteText"/>
        <w:rPr>
          <w:rFonts w:eastAsia="Times New Roman" w:cs="Times New Roman"/>
          <w:sz w:val="16"/>
          <w:szCs w:val="16"/>
        </w:rPr>
      </w:pPr>
      <w:r>
        <w:rPr>
          <w:sz w:val="16"/>
        </w:rPr>
        <w:footnoteRef/>
      </w:r>
      <w:r>
        <w:rPr>
          <w:sz w:val="16"/>
        </w:rPr>
        <w:t xml:space="preserve"> Comisia Europeană,</w:t>
      </w:r>
      <w:r>
        <w:t xml:space="preserve"> </w:t>
      </w:r>
      <w:hyperlink r:id="rId32" w:anchor="Ammonia">
        <w:r>
          <w:rPr>
            <w:rStyle w:val="Hyperlink"/>
            <w:sz w:val="16"/>
          </w:rPr>
          <w:t>Emisiile de poluanți atmosferici, UE-28, 1990-2016</w:t>
        </w:r>
      </w:hyperlink>
      <w:r>
        <w:rPr>
          <w:sz w:val="16"/>
        </w:rPr>
        <w:t>.</w:t>
      </w:r>
    </w:p>
  </w:footnote>
  <w:footnote w:id="54">
    <w:p>
      <w:pPr>
        <w:pStyle w:val="FootnoteText"/>
        <w:rPr>
          <w:sz w:val="16"/>
          <w:szCs w:val="16"/>
        </w:rPr>
      </w:pPr>
      <w:r>
        <w:rPr>
          <w:sz w:val="16"/>
        </w:rPr>
        <w:footnoteRef/>
      </w:r>
      <w:r>
        <w:rPr>
          <w:sz w:val="16"/>
        </w:rPr>
        <w:t xml:space="preserve"> </w:t>
      </w:r>
      <w:hyperlink r:id="rId33">
        <w:r>
          <w:rPr>
            <w:rStyle w:val="Hyperlink"/>
            <w:sz w:val="16"/>
          </w:rPr>
          <w:t>COM(2018) 330</w:t>
        </w:r>
      </w:hyperlink>
      <w:r>
        <w:rPr>
          <w:sz w:val="16"/>
        </w:rPr>
        <w:t>.</w:t>
      </w:r>
    </w:p>
  </w:footnote>
  <w:footnote w:id="55">
    <w:p>
      <w:pPr>
        <w:pStyle w:val="FootnoteText"/>
        <w:rPr>
          <w:rFonts w:eastAsia="Times New Roman" w:cs="Times New Roman"/>
          <w:sz w:val="16"/>
          <w:szCs w:val="16"/>
        </w:rPr>
      </w:pPr>
      <w:r>
        <w:rPr>
          <w:sz w:val="16"/>
        </w:rPr>
        <w:footnoteRef/>
      </w:r>
      <w:r>
        <w:rPr>
          <w:sz w:val="16"/>
        </w:rPr>
        <w:t xml:space="preserve"> Comisia Europeană,</w:t>
      </w:r>
      <w:r>
        <w:t xml:space="preserve"> </w:t>
      </w:r>
      <w:hyperlink r:id="rId34">
        <w:r>
          <w:rPr>
            <w:rStyle w:val="Hyperlink"/>
            <w:sz w:val="16"/>
          </w:rPr>
          <w:t>Evaluarea adecvării calității aerului</w:t>
        </w:r>
      </w:hyperlink>
      <w:r>
        <w:rPr>
          <w:sz w:val="16"/>
        </w:rPr>
        <w:t xml:space="preserve">. </w:t>
      </w:r>
    </w:p>
  </w:footnote>
  <w:footnote w:id="56">
    <w:p>
      <w:pPr>
        <w:pStyle w:val="FootnoteText"/>
        <w:rPr>
          <w:sz w:val="16"/>
          <w:szCs w:val="16"/>
        </w:rPr>
      </w:pPr>
      <w:r>
        <w:rPr>
          <w:sz w:val="16"/>
        </w:rPr>
        <w:footnoteRef/>
      </w:r>
      <w:r>
        <w:rPr>
          <w:sz w:val="16"/>
        </w:rPr>
        <w:t xml:space="preserve"> De exemplu, Premiul Orizont pentru modernizarea motoarelor în vederea unui aer curat a fost acordat unui sistem inovator de modernizare a autovehiculelor diesel cu emisii excesive de NOx, care a demonstrat performanțe foarte bune. A se vedea Comisia Europeană,</w:t>
      </w:r>
      <w:r>
        <w:t xml:space="preserve"> </w:t>
      </w:r>
      <w:hyperlink r:id="rId35">
        <w:r>
          <w:rPr>
            <w:sz w:val="16"/>
          </w:rPr>
          <w:t>Modernizarea motoarelor în vederea unui aer curat</w:t>
        </w:r>
      </w:hyperlink>
      <w:r>
        <w:t xml:space="preserve"> </w:t>
      </w:r>
      <w:r>
        <w:rPr>
          <w:sz w:val="16"/>
        </w:rPr>
        <w:t>-</w:t>
      </w:r>
      <w:r>
        <w:t xml:space="preserve"> </w:t>
      </w:r>
      <w:hyperlink r:id="rId36">
        <w:r>
          <w:rPr>
            <w:rStyle w:val="Hyperlink"/>
            <w:sz w:val="16"/>
          </w:rPr>
          <w:t>Evaluarea emisiilor de NOx, Premiul Orizont</w:t>
        </w:r>
      </w:hyperlink>
      <w:r>
        <w:rPr>
          <w:sz w:val="16"/>
        </w:rPr>
        <w:t xml:space="preserve">. </w:t>
      </w:r>
    </w:p>
  </w:footnote>
  <w:footnote w:id="57">
    <w:p>
      <w:pPr>
        <w:pStyle w:val="FootnoteText"/>
        <w:rPr>
          <w:rFonts w:eastAsia="Times New Roman" w:cs="Times New Roman"/>
          <w:sz w:val="16"/>
          <w:szCs w:val="16"/>
        </w:rPr>
      </w:pPr>
      <w:r>
        <w:rPr>
          <w:sz w:val="16"/>
        </w:rPr>
        <w:footnoteRef/>
      </w:r>
      <w:r>
        <w:rPr>
          <w:sz w:val="16"/>
        </w:rPr>
        <w:t xml:space="preserve"> </w:t>
      </w:r>
      <w:r>
        <w:t>Curtea de Conturi Europeană</w:t>
      </w:r>
      <w:r>
        <w:rPr>
          <w:sz w:val="16"/>
        </w:rPr>
        <w:t xml:space="preserve"> (</w:t>
      </w:r>
      <w:hyperlink r:id="rId37">
        <w:r>
          <w:rPr>
            <w:rStyle w:val="Hyperlink"/>
            <w:sz w:val="16"/>
          </w:rPr>
          <w:t>Raportul special 23/2018</w:t>
        </w:r>
      </w:hyperlink>
      <w:r>
        <w:rPr>
          <w:sz w:val="16"/>
        </w:rPr>
        <w:t xml:space="preserve">) a subliniat, de asemenea, această constatare. </w:t>
      </w:r>
    </w:p>
  </w:footnote>
  <w:footnote w:id="58">
    <w:p>
      <w:pPr>
        <w:pStyle w:val="FootnoteText"/>
        <w:rPr>
          <w:rFonts w:eastAsia="Times New Roman" w:cs="Times New Roman"/>
          <w:sz w:val="16"/>
          <w:szCs w:val="16"/>
        </w:rPr>
      </w:pPr>
      <w:r>
        <w:rPr>
          <w:sz w:val="16"/>
        </w:rPr>
        <w:footnoteRef/>
      </w:r>
      <w:r>
        <w:rPr>
          <w:sz w:val="16"/>
        </w:rPr>
        <w:t xml:space="preserve"> Austria, Belgia, Bulgaria, Croația, Republica Cehă, Germania, Grecia, Franța, Ungaria, Italia, Irlanda, Luxemburg, Țările de Jos, Polonia, Portugalia, România, Spania, Regatul Unit.</w:t>
      </w:r>
    </w:p>
  </w:footnote>
  <w:footnote w:id="59">
    <w:p>
      <w:pPr>
        <w:pStyle w:val="FootnoteText"/>
        <w:rPr>
          <w:rFonts w:eastAsia="Times New Roman" w:cs="Times New Roman"/>
          <w:sz w:val="16"/>
          <w:szCs w:val="16"/>
          <w:lang w:val="it-IT"/>
        </w:rPr>
      </w:pPr>
      <w:r>
        <w:rPr>
          <w:sz w:val="16"/>
        </w:rPr>
        <w:footnoteRef/>
      </w:r>
      <w:r>
        <w:rPr>
          <w:sz w:val="16"/>
        </w:rPr>
        <w:t xml:space="preserve"> Austria, Bulgaria, Croația, Republica Cehă, Germania, Grecia, Franța, Ungaria, Italia, Polonia, România, Slovacia, Slovenia, Spania și Suedia.</w:t>
      </w:r>
    </w:p>
  </w:footnote>
  <w:footnote w:id="60">
    <w:p>
      <w:pPr>
        <w:pStyle w:val="FootnoteText"/>
        <w:rPr>
          <w:rFonts w:eastAsia="Times New Roman" w:cs="Times New Roman"/>
          <w:sz w:val="16"/>
          <w:szCs w:val="16"/>
        </w:rPr>
      </w:pPr>
      <w:r>
        <w:rPr>
          <w:sz w:val="16"/>
        </w:rPr>
        <w:footnoteRef/>
      </w:r>
      <w:r>
        <w:rPr>
          <w:sz w:val="16"/>
        </w:rPr>
        <w:t xml:space="preserve"> Austria, Croația, Danemarca, Germania, Irlanda și Spania.</w:t>
      </w:r>
    </w:p>
  </w:footnote>
  <w:footnote w:id="61">
    <w:p>
      <w:pPr>
        <w:pStyle w:val="FootnoteText"/>
        <w:rPr>
          <w:rFonts w:eastAsia="Times New Roman" w:cs="Times New Roman"/>
          <w:sz w:val="16"/>
          <w:szCs w:val="16"/>
        </w:rPr>
      </w:pPr>
      <w:r>
        <w:rPr>
          <w:sz w:val="16"/>
        </w:rPr>
        <w:footnoteRef/>
      </w:r>
      <w:r>
        <w:rPr>
          <w:sz w:val="16"/>
        </w:rPr>
        <w:t xml:space="preserve"> Belgia, Cipru, Republica Cehă, Franța, Germania, Grecia, Italia, Polonia, Portugalia, România, Slovacia, Suedia și Spania.</w:t>
      </w:r>
      <w:r>
        <w:rPr>
          <w:i/>
          <w:sz w:val="16"/>
        </w:rPr>
        <w:t xml:space="preserve"> </w:t>
      </w:r>
    </w:p>
  </w:footnote>
  <w:footnote w:id="62">
    <w:p>
      <w:pPr>
        <w:pStyle w:val="FootnoteText"/>
        <w:rPr>
          <w:rFonts w:eastAsia="Times New Roman" w:cs="Times New Roman"/>
          <w:sz w:val="16"/>
          <w:szCs w:val="16"/>
        </w:rPr>
      </w:pPr>
      <w:r>
        <w:rPr>
          <w:sz w:val="16"/>
        </w:rPr>
        <w:footnoteRef/>
      </w:r>
      <w:r>
        <w:rPr>
          <w:sz w:val="16"/>
        </w:rPr>
        <w:t xml:space="preserve"> Belgia, Grecia, Italia, Portugalia, România, Slovacia și Spania.</w:t>
      </w:r>
    </w:p>
  </w:footnote>
  <w:footnote w:id="63">
    <w:p>
      <w:pPr>
        <w:pStyle w:val="FootnoteText"/>
        <w:rPr>
          <w:rFonts w:eastAsia="Times New Roman" w:cs="Times New Roman"/>
          <w:sz w:val="16"/>
          <w:szCs w:val="16"/>
        </w:rPr>
      </w:pPr>
      <w:r>
        <w:rPr>
          <w:sz w:val="16"/>
        </w:rPr>
        <w:footnoteRef/>
      </w:r>
      <w:r>
        <w:rPr>
          <w:sz w:val="16"/>
        </w:rPr>
        <w:t xml:space="preserve"> Comisia Europeană,</w:t>
      </w:r>
      <w:r>
        <w:t xml:space="preserve"> </w:t>
      </w:r>
      <w:hyperlink r:id="rId38">
        <w:r>
          <w:rPr>
            <w:rStyle w:val="Hyperlink"/>
            <w:sz w:val="16"/>
          </w:rPr>
          <w:t>Proiectul LIFE „Regiunea Malopolska”</w:t>
        </w:r>
      </w:hyperlink>
      <w:r>
        <w:rPr>
          <w:sz w:val="16"/>
        </w:rPr>
        <w:t>.</w:t>
      </w:r>
    </w:p>
  </w:footnote>
  <w:footnote w:id="64">
    <w:p>
      <w:pPr>
        <w:pStyle w:val="FootnoteText"/>
        <w:rPr>
          <w:rFonts w:eastAsia="Times New Roman" w:cs="Times New Roman"/>
          <w:sz w:val="16"/>
          <w:szCs w:val="16"/>
        </w:rPr>
      </w:pPr>
      <w:r>
        <w:rPr>
          <w:sz w:val="16"/>
        </w:rPr>
        <w:footnoteRef/>
      </w:r>
      <w:r>
        <w:rPr>
          <w:sz w:val="16"/>
        </w:rPr>
        <w:t xml:space="preserve"> Comisia Europeană,</w:t>
      </w:r>
      <w:r>
        <w:t xml:space="preserve"> </w:t>
      </w:r>
      <w:hyperlink r:id="rId39">
        <w:r>
          <w:rPr>
            <w:rStyle w:val="Hyperlink"/>
            <w:sz w:val="16"/>
          </w:rPr>
          <w:t>O industrie mai curată: De ce vă privește?</w:t>
        </w:r>
      </w:hyperlink>
      <w:r>
        <w:rPr>
          <w:sz w:val="16"/>
        </w:rPr>
        <w:t xml:space="preserve"> 2018, p.2. </w:t>
      </w:r>
    </w:p>
  </w:footnote>
  <w:footnote w:id="65">
    <w:p>
      <w:pPr>
        <w:pStyle w:val="FootnoteText"/>
        <w:rPr>
          <w:rFonts w:eastAsia="Times New Roman" w:cs="Times New Roman"/>
          <w:sz w:val="16"/>
          <w:szCs w:val="16"/>
        </w:rPr>
      </w:pPr>
      <w:r>
        <w:rPr>
          <w:sz w:val="16"/>
        </w:rPr>
        <w:footnoteRef/>
      </w:r>
      <w:r>
        <w:rPr>
          <w:sz w:val="16"/>
        </w:rPr>
        <w:t xml:space="preserve"> </w:t>
      </w:r>
      <w:hyperlink r:id="rId40">
        <w:r>
          <w:rPr>
            <w:rStyle w:val="Hyperlink"/>
            <w:sz w:val="16"/>
          </w:rPr>
          <w:t>Directiva 2010/75/UE</w:t>
        </w:r>
      </w:hyperlink>
      <w:r>
        <w:rPr>
          <w:sz w:val="16"/>
        </w:rPr>
        <w:t>.</w:t>
      </w:r>
    </w:p>
  </w:footnote>
  <w:footnote w:id="66">
    <w:p>
      <w:pPr>
        <w:pStyle w:val="FootnoteText"/>
        <w:rPr>
          <w:sz w:val="16"/>
          <w:szCs w:val="16"/>
        </w:rPr>
      </w:pPr>
      <w:r>
        <w:rPr>
          <w:sz w:val="16"/>
        </w:rPr>
        <w:footnoteRef/>
      </w:r>
      <w:r>
        <w:rPr>
          <w:sz w:val="16"/>
        </w:rPr>
        <w:t xml:space="preserve"> Oficiul pentru Publicații al Uniunii Europene,</w:t>
      </w:r>
      <w:r>
        <w:t xml:space="preserve"> </w:t>
      </w:r>
      <w:hyperlink r:id="rId41">
        <w:r>
          <w:rPr>
            <w:rStyle w:val="Hyperlink"/>
            <w:sz w:val="16"/>
          </w:rPr>
          <w:t>O industrie mai curată: De ce vă privește</w:t>
        </w:r>
      </w:hyperlink>
      <w:r>
        <w:rPr>
          <w:sz w:val="16"/>
        </w:rPr>
        <w:t>, 2018, p. 2.</w:t>
      </w:r>
    </w:p>
  </w:footnote>
  <w:footnote w:id="67">
    <w:p>
      <w:pPr>
        <w:pStyle w:val="FootnoteText"/>
        <w:rPr>
          <w:rFonts w:eastAsia="Times New Roman" w:cs="Times New Roman"/>
          <w:sz w:val="16"/>
          <w:szCs w:val="16"/>
        </w:rPr>
      </w:pPr>
      <w:r>
        <w:rPr>
          <w:sz w:val="16"/>
        </w:rPr>
        <w:footnoteRef/>
      </w:r>
      <w:r>
        <w:rPr>
          <w:sz w:val="16"/>
        </w:rPr>
        <w:t xml:space="preserve"> Bulgaria, Republica Cehă, Estonia, Finlanda, Grecia, Irlanda, Portugalia, România, Slovacia și Regatul Unit.</w:t>
      </w:r>
    </w:p>
  </w:footnote>
  <w:footnote w:id="68">
    <w:p>
      <w:pPr>
        <w:pStyle w:val="FootnoteText"/>
        <w:rPr>
          <w:rFonts w:eastAsia="Times New Roman" w:cs="Times New Roman"/>
          <w:sz w:val="16"/>
          <w:szCs w:val="16"/>
        </w:rPr>
      </w:pPr>
      <w:r>
        <w:rPr>
          <w:sz w:val="16"/>
        </w:rPr>
        <w:footnoteRef/>
      </w:r>
      <w:r>
        <w:rPr>
          <w:sz w:val="16"/>
        </w:rPr>
        <w:t xml:space="preserve"> Cipru, Estonia, Germania, Ungaria, Letonia, Țările de Jos și Spania.</w:t>
      </w:r>
    </w:p>
  </w:footnote>
  <w:footnote w:id="69">
    <w:p>
      <w:pPr>
        <w:pStyle w:val="FootnoteText"/>
        <w:rPr>
          <w:rFonts w:eastAsia="Times New Roman" w:cs="Times New Roman"/>
          <w:sz w:val="16"/>
          <w:szCs w:val="16"/>
        </w:rPr>
      </w:pPr>
      <w:r>
        <w:rPr>
          <w:sz w:val="16"/>
        </w:rPr>
        <w:footnoteRef/>
      </w:r>
      <w:r>
        <w:rPr>
          <w:sz w:val="16"/>
        </w:rPr>
        <w:t xml:space="preserve"> Italia și Luxemburg.</w:t>
      </w:r>
    </w:p>
  </w:footnote>
  <w:footnote w:id="70">
    <w:p>
      <w:pPr>
        <w:pStyle w:val="FootnoteText"/>
        <w:rPr>
          <w:rFonts w:eastAsia="Times New Roman" w:cs="Times New Roman"/>
          <w:sz w:val="16"/>
          <w:szCs w:val="16"/>
        </w:rPr>
      </w:pPr>
      <w:r>
        <w:rPr>
          <w:sz w:val="16"/>
        </w:rPr>
        <w:footnoteRef/>
      </w:r>
      <w:r>
        <w:rPr>
          <w:sz w:val="16"/>
        </w:rPr>
        <w:t xml:space="preserve"> Estonia, Letonia și Spania.</w:t>
      </w:r>
    </w:p>
  </w:footnote>
  <w:footnote w:id="71">
    <w:p>
      <w:pPr>
        <w:pStyle w:val="FootnoteText"/>
        <w:rPr>
          <w:rFonts w:eastAsia="Times New Roman" w:cs="Times New Roman"/>
          <w:sz w:val="16"/>
          <w:szCs w:val="16"/>
        </w:rPr>
      </w:pPr>
      <w:r>
        <w:rPr>
          <w:sz w:val="16"/>
        </w:rPr>
        <w:footnoteRef/>
      </w:r>
      <w:r>
        <w:rPr>
          <w:sz w:val="16"/>
        </w:rPr>
        <w:t xml:space="preserve"> </w:t>
      </w:r>
      <w:r>
        <w:rPr>
          <w:sz w:val="16"/>
          <w:szCs w:val="16"/>
        </w:rPr>
        <w:t>Acesta include</w:t>
      </w:r>
      <w:r>
        <w:t xml:space="preserve"> </w:t>
      </w:r>
      <w:hyperlink r:id="rId42">
        <w:r>
          <w:rPr>
            <w:rStyle w:val="Hyperlink"/>
            <w:sz w:val="16"/>
          </w:rPr>
          <w:t>Directiva privind apa pentru scăldat (2006/7/CE);</w:t>
        </w:r>
      </w:hyperlink>
      <w:r>
        <w:rPr>
          <w:sz w:val="16"/>
        </w:rPr>
        <w:t xml:space="preserve"> </w:t>
      </w:r>
      <w:hyperlink r:id="rId43">
        <w:r>
          <w:rPr>
            <w:rStyle w:val="Hyperlink"/>
            <w:sz w:val="16"/>
          </w:rPr>
          <w:t>Directiva privind tratarea apelor urbane reziduale (91/271/CEE)</w:t>
        </w:r>
      </w:hyperlink>
      <w:r>
        <w:rPr>
          <w:sz w:val="16"/>
        </w:rPr>
        <w:t xml:space="preserve">; </w:t>
      </w:r>
      <w:hyperlink r:id="rId44">
        <w:r>
          <w:rPr>
            <w:rStyle w:val="Hyperlink"/>
            <w:sz w:val="16"/>
          </w:rPr>
          <w:t>Directiva privind calitatea apei destinate consumului uman (98/83/CE)</w:t>
        </w:r>
      </w:hyperlink>
      <w:r>
        <w:rPr>
          <w:sz w:val="16"/>
        </w:rPr>
        <w:t xml:space="preserve">; </w:t>
      </w:r>
      <w:hyperlink r:id="rId45">
        <w:r>
          <w:rPr>
            <w:rStyle w:val="Hyperlink"/>
            <w:sz w:val="16"/>
          </w:rPr>
          <w:t>Directiva-cadru privind apa (2000/60/CE)</w:t>
        </w:r>
      </w:hyperlink>
      <w:r>
        <w:rPr>
          <w:sz w:val="16"/>
        </w:rPr>
        <w:t xml:space="preserve">; </w:t>
      </w:r>
      <w:hyperlink r:id="rId46">
        <w:r>
          <w:rPr>
            <w:rStyle w:val="Hyperlink"/>
            <w:sz w:val="16"/>
          </w:rPr>
          <w:t>Directiva privind nitrații (91/676/CEE)</w:t>
        </w:r>
      </w:hyperlink>
      <w:r>
        <w:rPr>
          <w:sz w:val="16"/>
        </w:rPr>
        <w:t xml:space="preserve"> și </w:t>
      </w:r>
      <w:hyperlink r:id="rId47">
        <w:r>
          <w:rPr>
            <w:rStyle w:val="Hyperlink"/>
            <w:sz w:val="16"/>
          </w:rPr>
          <w:t>Directiva privind inundațiile (2007/60/CE)</w:t>
        </w:r>
      </w:hyperlink>
      <w:r>
        <w:rPr>
          <w:rStyle w:val="Hyperlink"/>
          <w:sz w:val="16"/>
        </w:rPr>
        <w:t>.</w:t>
      </w:r>
    </w:p>
  </w:footnote>
  <w:footnote w:id="72">
    <w:p>
      <w:pPr>
        <w:pStyle w:val="FootnoteText"/>
        <w:rPr>
          <w:rFonts w:eastAsia="Times New Roman" w:cs="Times New Roman"/>
          <w:sz w:val="16"/>
          <w:szCs w:val="16"/>
        </w:rPr>
      </w:pPr>
      <w:r>
        <w:rPr>
          <w:sz w:val="16"/>
        </w:rPr>
        <w:footnoteRef/>
      </w:r>
      <w:r>
        <w:rPr>
          <w:sz w:val="16"/>
        </w:rPr>
        <w:t xml:space="preserve"> Comisia Europeană,</w:t>
      </w:r>
      <w:r>
        <w:t xml:space="preserve"> </w:t>
      </w:r>
      <w:hyperlink r:id="rId48">
        <w:r>
          <w:rPr>
            <w:rStyle w:val="Hyperlink"/>
            <w:sz w:val="16"/>
          </w:rPr>
          <w:t>Reutilizarea apei: contextul general și politic</w:t>
        </w:r>
      </w:hyperlink>
      <w:r>
        <w:rPr>
          <w:sz w:val="16"/>
        </w:rPr>
        <w:t>.</w:t>
      </w:r>
    </w:p>
  </w:footnote>
  <w:footnote w:id="73">
    <w:p>
      <w:pPr>
        <w:pStyle w:val="FootnoteText"/>
        <w:rPr>
          <w:rFonts w:eastAsia="Times New Roman" w:cs="Times New Roman"/>
          <w:sz w:val="16"/>
          <w:szCs w:val="16"/>
        </w:rPr>
      </w:pPr>
      <w:r>
        <w:rPr>
          <w:sz w:val="16"/>
        </w:rPr>
        <w:footnoteRef/>
      </w:r>
      <w:r>
        <w:rPr>
          <w:sz w:val="16"/>
        </w:rPr>
        <w:t xml:space="preserve"> Comisia Europeană,</w:t>
      </w:r>
      <w:r>
        <w:t xml:space="preserve"> </w:t>
      </w:r>
      <w:hyperlink r:id="rId49">
        <w:r>
          <w:rPr>
            <w:rStyle w:val="Hyperlink"/>
            <w:sz w:val="16"/>
          </w:rPr>
          <w:t>Conferința UE privind apa 2018</w:t>
        </w:r>
      </w:hyperlink>
      <w:r>
        <w:rPr>
          <w:sz w:val="16"/>
        </w:rPr>
        <w:t xml:space="preserve">, 20-21 septembrie 2018. </w:t>
      </w:r>
    </w:p>
  </w:footnote>
  <w:footnote w:id="74">
    <w:p>
      <w:pPr>
        <w:pStyle w:val="FootnoteText"/>
        <w:rPr>
          <w:rFonts w:eastAsia="Times New Roman" w:cs="Times New Roman"/>
          <w:sz w:val="16"/>
          <w:szCs w:val="16"/>
        </w:rPr>
      </w:pPr>
      <w:r>
        <w:rPr>
          <w:sz w:val="16"/>
        </w:rPr>
        <w:footnoteRef/>
      </w:r>
      <w:r>
        <w:rPr>
          <w:sz w:val="16"/>
        </w:rPr>
        <w:t xml:space="preserve"> Raportul referitor la punerea în aplicare a Directivei-cadru privind apa și a Directivei privind inundațiile (</w:t>
      </w:r>
      <w:r>
        <w:rPr>
          <w:i/>
          <w:sz w:val="16"/>
        </w:rPr>
        <w:t>ianuarie 2019</w:t>
      </w:r>
      <w:r>
        <w:rPr>
          <w:sz w:val="16"/>
        </w:rPr>
        <w:t>).</w:t>
      </w:r>
    </w:p>
  </w:footnote>
  <w:footnote w:id="75">
    <w:p>
      <w:pPr>
        <w:pStyle w:val="FootnoteText"/>
        <w:rPr>
          <w:rFonts w:eastAsia="Times New Roman" w:cs="Times New Roman"/>
          <w:sz w:val="16"/>
          <w:szCs w:val="16"/>
        </w:rPr>
      </w:pPr>
      <w:r>
        <w:rPr>
          <w:sz w:val="16"/>
        </w:rPr>
        <w:footnoteRef/>
      </w:r>
      <w:r>
        <w:rPr>
          <w:sz w:val="16"/>
        </w:rPr>
        <w:t xml:space="preserve"> Bulgaria, Croația, Cipru, Franța, Grecia, Ungaria, Irlanda, Italia, Letonia, Lituania, Luxemburg, Malta, Polonia, Portugalia, România, Slovacia, Slovenia și Spania.</w:t>
      </w:r>
    </w:p>
  </w:footnote>
  <w:footnote w:id="76">
    <w:p>
      <w:pPr>
        <w:pStyle w:val="FootnoteText"/>
        <w:rPr>
          <w:rFonts w:eastAsia="Times New Roman" w:cs="Times New Roman"/>
          <w:sz w:val="16"/>
          <w:szCs w:val="16"/>
        </w:rPr>
      </w:pPr>
      <w:r>
        <w:rPr>
          <w:sz w:val="16"/>
        </w:rPr>
        <w:footnoteRef/>
      </w:r>
      <w:r>
        <w:rPr>
          <w:sz w:val="16"/>
        </w:rPr>
        <w:t xml:space="preserve"> În special Austria, Belgia, Cipru, Republica Cehă, Danemarca, Estonia, Germania, Grecia, Finlanda, Franța, Italia, Lituania, Malta, Țările de Jos, Polonia, Portugalia, Slovacia, Slovenia, Suedia, Spania și Regatul Unit.</w:t>
      </w:r>
    </w:p>
  </w:footnote>
  <w:footnote w:id="77">
    <w:p>
      <w:pPr>
        <w:pStyle w:val="FootnoteText"/>
        <w:rPr>
          <w:rFonts w:eastAsia="Times New Roman" w:cs="Times New Roman"/>
          <w:sz w:val="16"/>
          <w:szCs w:val="16"/>
        </w:rPr>
      </w:pPr>
      <w:r>
        <w:rPr>
          <w:sz w:val="16"/>
        </w:rPr>
        <w:footnoteRef/>
      </w:r>
      <w:r>
        <w:rPr>
          <w:sz w:val="16"/>
        </w:rPr>
        <w:t xml:space="preserve"> </w:t>
      </w:r>
      <w:r>
        <w:rPr>
          <w:rStyle w:val="Hyperlink"/>
          <w:sz w:val="16"/>
        </w:rPr>
        <w:t>Regulamentul (CE) nr. 1907/2006</w:t>
      </w:r>
    </w:p>
  </w:footnote>
  <w:footnote w:id="78">
    <w:p>
      <w:pPr>
        <w:pStyle w:val="FootnoteText"/>
        <w:rPr>
          <w:rFonts w:eastAsia="Times New Roman" w:cs="Times New Roman"/>
          <w:sz w:val="16"/>
          <w:szCs w:val="16"/>
        </w:rPr>
      </w:pPr>
      <w:r>
        <w:rPr>
          <w:sz w:val="16"/>
        </w:rPr>
        <w:footnoteRef/>
      </w:r>
      <w:r>
        <w:rPr>
          <w:sz w:val="16"/>
        </w:rPr>
        <w:t xml:space="preserve"> </w:t>
      </w:r>
      <w:hyperlink r:id="rId50">
        <w:r>
          <w:rPr>
            <w:rStyle w:val="Hyperlink"/>
            <w:sz w:val="16"/>
          </w:rPr>
          <w:t>Regulamentul (CE) nr 1272/2008</w:t>
        </w:r>
      </w:hyperlink>
      <w:r>
        <w:rPr>
          <w:sz w:val="16"/>
        </w:rPr>
        <w:t>.</w:t>
      </w:r>
    </w:p>
  </w:footnote>
  <w:footnote w:id="79">
    <w:p>
      <w:pPr>
        <w:pStyle w:val="FootnoteText"/>
        <w:rPr>
          <w:rFonts w:eastAsia="Times New Roman" w:cs="Times New Roman"/>
          <w:sz w:val="16"/>
          <w:szCs w:val="16"/>
        </w:rPr>
      </w:pPr>
      <w:r>
        <w:rPr>
          <w:sz w:val="16"/>
        </w:rPr>
        <w:footnoteRef/>
      </w:r>
      <w:r>
        <w:rPr>
          <w:sz w:val="16"/>
        </w:rPr>
        <w:t xml:space="preserve"> Comisia Europeană,</w:t>
      </w:r>
      <w:r>
        <w:t xml:space="preserve"> </w:t>
      </w:r>
      <w:hyperlink r:id="rId51">
        <w:r>
          <w:rPr>
            <w:rStyle w:val="Hyperlink"/>
            <w:sz w:val="16"/>
          </w:rPr>
          <w:t>Legislația privind substanțele chimice</w:t>
        </w:r>
      </w:hyperlink>
      <w:r>
        <w:rPr>
          <w:sz w:val="16"/>
        </w:rPr>
        <w:t xml:space="preserve">. </w:t>
      </w:r>
    </w:p>
  </w:footnote>
  <w:footnote w:id="80">
    <w:p>
      <w:pPr>
        <w:pStyle w:val="FootnoteText"/>
        <w:rPr>
          <w:rFonts w:eastAsia="Times New Roman" w:cs="Times New Roman"/>
          <w:sz w:val="16"/>
          <w:szCs w:val="16"/>
        </w:rPr>
      </w:pPr>
      <w:r>
        <w:rPr>
          <w:sz w:val="16"/>
        </w:rPr>
        <w:footnoteRef/>
      </w:r>
      <w:r>
        <w:rPr>
          <w:sz w:val="16"/>
        </w:rPr>
        <w:t xml:space="preserve"> </w:t>
      </w:r>
      <w:hyperlink r:id="rId52">
        <w:r>
          <w:rPr>
            <w:rStyle w:val="Hyperlink"/>
            <w:sz w:val="16"/>
          </w:rPr>
          <w:t>COM (2018) 116</w:t>
        </w:r>
      </w:hyperlink>
      <w:r>
        <w:rPr>
          <w:rStyle w:val="Hyperlink"/>
          <w:color w:val="auto"/>
          <w:sz w:val="16"/>
          <w:u w:val="none"/>
        </w:rPr>
        <w:t>, p. 6 și p. 9</w:t>
      </w:r>
      <w:r>
        <w:rPr>
          <w:sz w:val="16"/>
        </w:rPr>
        <w:t xml:space="preserve">. </w:t>
      </w:r>
    </w:p>
  </w:footnote>
  <w:footnote w:id="81">
    <w:p>
      <w:pPr>
        <w:pStyle w:val="FootnoteText"/>
        <w:jc w:val="left"/>
        <w:rPr>
          <w:rFonts w:eastAsia="Times New Roman" w:cs="Times New Roman"/>
          <w:sz w:val="16"/>
          <w:szCs w:val="16"/>
        </w:rPr>
      </w:pPr>
      <w:r>
        <w:rPr>
          <w:sz w:val="16"/>
        </w:rPr>
        <w:footnoteRef/>
      </w:r>
      <w:r>
        <w:rPr>
          <w:sz w:val="16"/>
        </w:rPr>
        <w:t xml:space="preserve"> Guvernul Țărilor de Jos,</w:t>
      </w:r>
      <w:r>
        <w:t xml:space="preserve"> </w:t>
      </w:r>
      <w:hyperlink r:id="rId53" w:anchor="overlay-context=content/bijeenkomsten-en-presentaties">
        <w:r>
          <w:rPr>
            <w:rStyle w:val="Hyperlink"/>
            <w:sz w:val="16"/>
          </w:rPr>
          <w:t>Workshop pentru o agendă de inovare în domeniul substanțelor chimice sigure, de la substituire la concepere sigură</w:t>
        </w:r>
      </w:hyperlink>
      <w:r>
        <w:rPr>
          <w:sz w:val="16"/>
        </w:rPr>
        <w:t>.</w:t>
      </w:r>
    </w:p>
  </w:footnote>
  <w:footnote w:id="82">
    <w:p>
      <w:pPr>
        <w:pStyle w:val="FootnoteText"/>
        <w:rPr>
          <w:rFonts w:eastAsia="Times New Roman" w:cs="Times New Roman"/>
          <w:sz w:val="16"/>
          <w:szCs w:val="16"/>
        </w:rPr>
      </w:pPr>
      <w:r>
        <w:rPr>
          <w:sz w:val="16"/>
        </w:rPr>
        <w:footnoteRef/>
      </w:r>
      <w:r>
        <w:rPr>
          <w:sz w:val="16"/>
        </w:rPr>
        <w:t xml:space="preserve"> Comisia Europeană,</w:t>
      </w:r>
      <w:r>
        <w:t xml:space="preserve"> </w:t>
      </w:r>
      <w:hyperlink r:id="rId54">
        <w:r>
          <w:rPr>
            <w:rStyle w:val="Hyperlink"/>
            <w:sz w:val="16"/>
          </w:rPr>
          <w:t>Studiu de evaluare a plăților în sprijinul practicilor agricole în beneficiul climei și al mediului</w:t>
        </w:r>
      </w:hyperlink>
      <w:r>
        <w:rPr>
          <w:sz w:val="16"/>
        </w:rPr>
        <w:t xml:space="preserve">, 2017. </w:t>
      </w:r>
    </w:p>
  </w:footnote>
  <w:footnote w:id="83">
    <w:p>
      <w:pPr>
        <w:pStyle w:val="FootnoteText"/>
        <w:rPr>
          <w:rFonts w:eastAsia="Times New Roman" w:cs="Times New Roman"/>
          <w:sz w:val="16"/>
          <w:szCs w:val="16"/>
        </w:rPr>
      </w:pPr>
      <w:r>
        <w:rPr>
          <w:sz w:val="16"/>
        </w:rPr>
        <w:footnoteRef/>
      </w:r>
      <w:r>
        <w:rPr>
          <w:sz w:val="16"/>
        </w:rPr>
        <w:t xml:space="preserve"> Belgia, Danemarca, Estonia, Finlanda, Franța, Irlanda, Lituania, Luxemburg, Malta, Țările de Jos, România, Suedia și Regatul Unit. Comisia Europeană, </w:t>
      </w:r>
      <w:hyperlink r:id="rId55">
        <w:r>
          <w:rPr>
            <w:rStyle w:val="Hyperlink"/>
            <w:sz w:val="16"/>
          </w:rPr>
          <w:t>Tendințele impozitării în Uniunea Europeană</w:t>
        </w:r>
      </w:hyperlink>
      <w:r>
        <w:rPr>
          <w:sz w:val="16"/>
        </w:rPr>
        <w:t>, ediția 2018.</w:t>
      </w:r>
    </w:p>
  </w:footnote>
  <w:footnote w:id="84">
    <w:p>
      <w:pPr>
        <w:pStyle w:val="FootnoteText"/>
        <w:rPr>
          <w:rFonts w:eastAsia="Times New Roman" w:cs="Times New Roman"/>
          <w:sz w:val="16"/>
          <w:szCs w:val="16"/>
        </w:rPr>
      </w:pPr>
      <w:r>
        <w:rPr>
          <w:sz w:val="16"/>
        </w:rPr>
        <w:footnoteRef/>
      </w:r>
      <w:r>
        <w:rPr>
          <w:sz w:val="16"/>
        </w:rPr>
        <w:t xml:space="preserve"> Belgia, Republica Cehă, Franța, Ungaria, Irlanda, Polonia, Portugalia și Slovacia. </w:t>
      </w:r>
    </w:p>
  </w:footnote>
  <w:footnote w:id="85">
    <w:p>
      <w:pPr>
        <w:pStyle w:val="FootnoteText"/>
        <w:rPr>
          <w:rFonts w:eastAsia="Times New Roman" w:cs="Times New Roman"/>
          <w:sz w:val="16"/>
          <w:szCs w:val="16"/>
        </w:rPr>
      </w:pPr>
      <w:r>
        <w:rPr>
          <w:sz w:val="16"/>
        </w:rPr>
        <w:footnoteRef/>
      </w:r>
      <w:r>
        <w:rPr>
          <w:sz w:val="16"/>
        </w:rPr>
        <w:t xml:space="preserve"> Austria, Bulgaria, Croația, Cipru, Danemarca, Finlanda, Franța, Grecia, Irlanda, Luxemburg, Malta și Suedia. </w:t>
      </w:r>
    </w:p>
  </w:footnote>
  <w:footnote w:id="86">
    <w:p>
      <w:pPr>
        <w:pStyle w:val="FootnoteText"/>
        <w:rPr>
          <w:rFonts w:eastAsia="Times New Roman" w:cs="Times New Roman"/>
          <w:sz w:val="16"/>
          <w:szCs w:val="16"/>
        </w:rPr>
      </w:pPr>
      <w:r>
        <w:rPr>
          <w:sz w:val="16"/>
        </w:rPr>
        <w:footnoteRef/>
      </w:r>
      <w:r>
        <w:rPr>
          <w:sz w:val="16"/>
        </w:rPr>
        <w:t xml:space="preserve"> Bulgaria, Croația, Estonia, Ungaria, Letonia, Lituania, Polonia, Portugalia, România, Slovacia și Slovenia. </w:t>
      </w:r>
    </w:p>
  </w:footnote>
  <w:footnote w:id="87">
    <w:p>
      <w:pPr>
        <w:pStyle w:val="FootnoteText"/>
        <w:rPr>
          <w:rFonts w:eastAsia="Times New Roman" w:cs="Times New Roman"/>
          <w:sz w:val="16"/>
          <w:szCs w:val="16"/>
        </w:rPr>
      </w:pPr>
      <w:r>
        <w:rPr>
          <w:sz w:val="16"/>
        </w:rPr>
        <w:footnoteRef/>
      </w:r>
      <w:r>
        <w:rPr>
          <w:sz w:val="16"/>
        </w:rPr>
        <w:t xml:space="preserve"> Austria, Bulgaria, Finlanda, Franța, Germania, Grecia, Ungaria, Italia, Luxemburg, Țările de Jos, Portugalia, România, Slovenia, Spania, Suedia și Regatul Unit.</w:t>
      </w:r>
    </w:p>
  </w:footnote>
  <w:footnote w:id="88">
    <w:p>
      <w:pPr>
        <w:pStyle w:val="FootnoteText"/>
        <w:rPr>
          <w:rFonts w:eastAsia="Times New Roman" w:cs="Times New Roman"/>
          <w:sz w:val="16"/>
          <w:szCs w:val="16"/>
          <w:lang w:val="it-IT"/>
        </w:rPr>
      </w:pPr>
      <w:r>
        <w:rPr>
          <w:sz w:val="16"/>
        </w:rPr>
        <w:footnoteRef/>
      </w:r>
      <w:r>
        <w:rPr>
          <w:sz w:val="16"/>
        </w:rPr>
        <w:t xml:space="preserve"> Croația, Republica Cehă, Estonia, Lituania, Letonia, Polonia, România și Slovacia. </w:t>
      </w:r>
    </w:p>
  </w:footnote>
  <w:footnote w:id="89">
    <w:p>
      <w:pPr>
        <w:pStyle w:val="FootnoteText"/>
        <w:rPr>
          <w:rFonts w:eastAsia="Times New Roman" w:cs="Times New Roman"/>
          <w:sz w:val="16"/>
          <w:szCs w:val="16"/>
          <w:lang w:val="it-IT"/>
        </w:rPr>
      </w:pPr>
      <w:r>
        <w:rPr>
          <w:sz w:val="16"/>
        </w:rPr>
        <w:footnoteRef/>
      </w:r>
      <w:r>
        <w:rPr>
          <w:sz w:val="16"/>
        </w:rPr>
        <w:t xml:space="preserve"> Austria, Belgia, Cipru, Republica Cehă, Franța, Grecia, Irlanda, Italia, Letonia, Lituania, Malta, Polonia, Portugalia, România, Slovacia, Slovenia și Spania.</w:t>
      </w:r>
    </w:p>
  </w:footnote>
  <w:footnote w:id="90">
    <w:p>
      <w:pPr>
        <w:pStyle w:val="FootnoteText"/>
        <w:rPr>
          <w:rFonts w:eastAsia="Times New Roman" w:cs="Times New Roman"/>
          <w:sz w:val="16"/>
          <w:szCs w:val="16"/>
        </w:rPr>
      </w:pPr>
      <w:r>
        <w:rPr>
          <w:sz w:val="16"/>
        </w:rPr>
        <w:footnoteRef/>
      </w:r>
      <w:r>
        <w:rPr>
          <w:sz w:val="16"/>
        </w:rPr>
        <w:t xml:space="preserve"> Comisia Europeană,</w:t>
      </w:r>
      <w:r>
        <w:t xml:space="preserve"> </w:t>
      </w:r>
      <w:hyperlink r:id="rId56">
        <w:r>
          <w:rPr>
            <w:rStyle w:val="Hyperlink"/>
            <w:sz w:val="16"/>
          </w:rPr>
          <w:t>O prezentare comparativă a caracteristicilor și performanței administrației publice în UE28</w:t>
        </w:r>
      </w:hyperlink>
      <w:r>
        <w:t xml:space="preserve"> </w:t>
      </w:r>
      <w:r>
        <w:rPr>
          <w:rStyle w:val="Hyperlink"/>
          <w:sz w:val="16"/>
        </w:rPr>
        <w:t>.</w:t>
      </w:r>
    </w:p>
  </w:footnote>
  <w:footnote w:id="91">
    <w:p>
      <w:pPr>
        <w:pStyle w:val="FootnoteText"/>
        <w:rPr>
          <w:rFonts w:eastAsia="Times New Roman" w:cs="Times New Roman"/>
          <w:sz w:val="16"/>
          <w:szCs w:val="16"/>
        </w:rPr>
      </w:pPr>
      <w:r>
        <w:rPr>
          <w:sz w:val="16"/>
        </w:rPr>
        <w:footnoteRef/>
      </w:r>
      <w:r>
        <w:rPr>
          <w:sz w:val="16"/>
        </w:rPr>
        <w:t xml:space="preserve"> Coordonarea ineficientă în rândul autorităților locale, regionale și naționale, lipsa capacității administrative și finanțarea insuficientă, lipsa cunoștințelor și a datelor, insuficiența mecanismelor de asigurare a conformității și lipsa integrării și a coerenței politicilor. [a se vedea </w:t>
      </w:r>
      <w:hyperlink r:id="rId57">
        <w:r>
          <w:rPr>
            <w:rStyle w:val="Hyperlink"/>
            <w:sz w:val="16"/>
          </w:rPr>
          <w:t>COM(2017) 63</w:t>
        </w:r>
      </w:hyperlink>
      <w:r>
        <w:t>].</w:t>
      </w:r>
      <w:r>
        <w:rPr>
          <w:sz w:val="16"/>
        </w:rPr>
        <w:t xml:space="preserve"> </w:t>
      </w:r>
    </w:p>
  </w:footnote>
  <w:footnote w:id="92">
    <w:p>
      <w:pPr>
        <w:spacing w:after="0" w:line="240" w:lineRule="auto"/>
        <w:rPr>
          <w:rFonts w:eastAsia="Times New Roman" w:cs="Times New Roman"/>
          <w:sz w:val="16"/>
          <w:szCs w:val="16"/>
        </w:rPr>
      </w:pPr>
      <w:r>
        <w:rPr>
          <w:sz w:val="16"/>
        </w:rPr>
        <w:footnoteRef/>
      </w:r>
      <w:r>
        <w:rPr>
          <w:sz w:val="16"/>
        </w:rPr>
        <w:t xml:space="preserve"> Comisia Europeană, Proiect de studiu „Dezvoltarea unui cadru de evaluare privind guvernanța de mediu în statele membre ale UE” (a se vedea</w:t>
      </w:r>
      <w:r>
        <w:t xml:space="preserve"> </w:t>
      </w:r>
      <w:hyperlink r:id="rId58">
        <w:r>
          <w:rPr>
            <w:rStyle w:val="Hyperlink"/>
            <w:sz w:val="16"/>
          </w:rPr>
          <w:t>biblioteca de proiecte</w:t>
        </w:r>
      </w:hyperlink>
      <w:r>
        <w:rPr>
          <w:sz w:val="16"/>
        </w:rPr>
        <w:t>).</w:t>
      </w:r>
    </w:p>
  </w:footnote>
  <w:footnote w:id="93">
    <w:p>
      <w:pPr>
        <w:pStyle w:val="FootnoteText"/>
        <w:rPr>
          <w:rFonts w:eastAsia="Times New Roman" w:cs="Times New Roman"/>
          <w:sz w:val="16"/>
          <w:szCs w:val="16"/>
        </w:rPr>
      </w:pPr>
      <w:r>
        <w:rPr>
          <w:sz w:val="16"/>
        </w:rPr>
        <w:footnoteRef/>
      </w:r>
      <w:r>
        <w:rPr>
          <w:sz w:val="16"/>
        </w:rPr>
        <w:t xml:space="preserve"> Forumul privind conformarea cu legislația de mediu și guvernanța de mediu,</w:t>
      </w:r>
      <w:r>
        <w:t xml:space="preserve"> </w:t>
      </w:r>
      <w:hyperlink r:id="rId59">
        <w:r>
          <w:rPr>
            <w:rStyle w:val="Hyperlink"/>
            <w:sz w:val="16"/>
          </w:rPr>
          <w:t>site web</w:t>
        </w:r>
      </w:hyperlink>
    </w:p>
  </w:footnote>
  <w:footnote w:id="94">
    <w:p>
      <w:pPr>
        <w:pStyle w:val="FootnoteText"/>
        <w:rPr>
          <w:rFonts w:eastAsia="Times New Roman" w:cs="Times New Roman"/>
          <w:sz w:val="16"/>
          <w:szCs w:val="16"/>
        </w:rPr>
      </w:pPr>
      <w:r>
        <w:rPr>
          <w:sz w:val="16"/>
        </w:rPr>
        <w:footnoteRef/>
      </w:r>
      <w:r>
        <w:rPr>
          <w:sz w:val="16"/>
        </w:rPr>
        <w:t xml:space="preserve"> Comisia Europeană,</w:t>
      </w:r>
      <w:r>
        <w:t xml:space="preserve"> </w:t>
      </w:r>
      <w:hyperlink r:id="rId60">
        <w:r>
          <w:rPr>
            <w:rStyle w:val="Hyperlink"/>
            <w:sz w:val="16"/>
          </w:rPr>
          <w:t>Grupul de experți privind „înverzirea semestrului european”/EIR</w:t>
        </w:r>
      </w:hyperlink>
      <w:r>
        <w:rPr>
          <w:sz w:val="16"/>
        </w:rPr>
        <w:t>.</w:t>
      </w:r>
    </w:p>
  </w:footnote>
  <w:footnote w:id="95">
    <w:p>
      <w:pPr>
        <w:pStyle w:val="FootnoteText"/>
        <w:rPr>
          <w:rFonts w:eastAsia="Times New Roman" w:cs="Times New Roman"/>
          <w:sz w:val="16"/>
          <w:szCs w:val="16"/>
        </w:rPr>
      </w:pPr>
      <w:r>
        <w:rPr>
          <w:sz w:val="16"/>
        </w:rPr>
        <w:footnoteRef/>
      </w:r>
      <w:r>
        <w:rPr>
          <w:sz w:val="16"/>
        </w:rPr>
        <w:t xml:space="preserve"> Comisia Europeană,</w:t>
      </w:r>
      <w:r>
        <w:t xml:space="preserve"> </w:t>
      </w:r>
      <w:hyperlink r:id="rId61">
        <w:r>
          <w:rPr>
            <w:rStyle w:val="Hyperlink"/>
            <w:sz w:val="16"/>
          </w:rPr>
          <w:t>Convenția de la Aarhus</w:t>
        </w:r>
      </w:hyperlink>
      <w:r>
        <w:rPr>
          <w:sz w:val="16"/>
        </w:rPr>
        <w:t>.</w:t>
      </w:r>
    </w:p>
  </w:footnote>
  <w:footnote w:id="96">
    <w:p>
      <w:pPr>
        <w:pStyle w:val="FootnoteText"/>
        <w:rPr>
          <w:rFonts w:eastAsia="Times New Roman" w:cs="Times New Roman"/>
          <w:sz w:val="16"/>
          <w:szCs w:val="16"/>
        </w:rPr>
      </w:pPr>
      <w:r>
        <w:rPr>
          <w:sz w:val="16"/>
        </w:rPr>
        <w:footnoteRef/>
      </w:r>
      <w:r>
        <w:rPr>
          <w:sz w:val="16"/>
        </w:rPr>
        <w:t xml:space="preserve"> </w:t>
      </w:r>
      <w:hyperlink r:id="rId62">
        <w:r>
          <w:rPr>
            <w:rStyle w:val="Hyperlink"/>
            <w:sz w:val="16"/>
          </w:rPr>
          <w:t>COM(2017) 2616</w:t>
        </w:r>
      </w:hyperlink>
      <w:r>
        <w:rPr>
          <w:sz w:val="16"/>
        </w:rPr>
        <w:t>.</w:t>
      </w:r>
    </w:p>
  </w:footnote>
  <w:footnote w:id="97">
    <w:p>
      <w:pPr>
        <w:pStyle w:val="FootnoteText"/>
        <w:rPr>
          <w:rFonts w:eastAsia="Times New Roman" w:cs="Times New Roman"/>
          <w:sz w:val="16"/>
          <w:szCs w:val="16"/>
        </w:rPr>
      </w:pPr>
      <w:r>
        <w:rPr>
          <w:sz w:val="16"/>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sz w:val="16"/>
        </w:rPr>
        <w:footnoteRef/>
      </w:r>
      <w:r>
        <w:rPr>
          <w:sz w:val="16"/>
        </w:rPr>
        <w:t xml:space="preserve"> </w:t>
      </w:r>
      <w:hyperlink r:id="rId64">
        <w:r>
          <w:rPr>
            <w:rStyle w:val="Hyperlink"/>
            <w:sz w:val="16"/>
          </w:rPr>
          <w:t>Regulamentul (UE) 2018/1999</w:t>
        </w:r>
      </w:hyperlink>
      <w:r>
        <w:rPr>
          <w:sz w:val="16"/>
        </w:rPr>
        <w:t>.</w:t>
      </w:r>
    </w:p>
  </w:footnote>
  <w:footnote w:id="99">
    <w:p>
      <w:pPr>
        <w:pStyle w:val="FootnoteText"/>
        <w:rPr>
          <w:rFonts w:eastAsia="Times New Roman" w:cs="Times New Roman"/>
          <w:sz w:val="16"/>
          <w:szCs w:val="16"/>
        </w:rPr>
      </w:pPr>
      <w:r>
        <w:rPr>
          <w:sz w:val="16"/>
        </w:rPr>
        <w:footnoteRef/>
      </w:r>
      <w:r>
        <w:rPr>
          <w:sz w:val="16"/>
        </w:rPr>
        <w:t xml:space="preserve"> Consiliul Uniunii Europene,</w:t>
      </w:r>
      <w:r>
        <w:t xml:space="preserve"> </w:t>
      </w:r>
      <w:hyperlink r:id="rId65">
        <w:r>
          <w:rPr>
            <w:rStyle w:val="Hyperlink"/>
            <w:sz w:val="16"/>
          </w:rPr>
          <w:t>Concluziile Consiliului privind stabilirea priorităților UE pentru combaterea criminalității internaționale organizate și grave în perioada 2018-2021</w:t>
        </w:r>
      </w:hyperlink>
      <w:r>
        <w:rPr>
          <w:sz w:val="16"/>
        </w:rPr>
        <w:t xml:space="preserve">. </w:t>
      </w:r>
    </w:p>
  </w:footnote>
  <w:footnote w:id="100">
    <w:p>
      <w:pPr>
        <w:pStyle w:val="FootnoteText"/>
        <w:rPr>
          <w:rFonts w:eastAsia="Times New Roman" w:cs="Times New Roman"/>
          <w:sz w:val="16"/>
          <w:szCs w:val="16"/>
        </w:rPr>
      </w:pPr>
      <w:r>
        <w:rPr>
          <w:sz w:val="16"/>
        </w:rPr>
        <w:footnoteRef/>
      </w:r>
      <w:r>
        <w:rPr>
          <w:sz w:val="16"/>
        </w:rPr>
        <w:t xml:space="preserve"> </w:t>
      </w:r>
      <w:hyperlink r:id="rId66">
        <w:r>
          <w:rPr>
            <w:rStyle w:val="Hyperlink"/>
            <w:sz w:val="16"/>
          </w:rPr>
          <w:t>Rețeaua UE pentru punerea în aplicare și respectarea legislației din domeniul mediului</w:t>
        </w:r>
      </w:hyperlink>
      <w:r>
        <w:rPr>
          <w:sz w:val="16"/>
        </w:rPr>
        <w:t>.</w:t>
      </w:r>
    </w:p>
  </w:footnote>
  <w:footnote w:id="101">
    <w:p>
      <w:pPr>
        <w:pStyle w:val="FootnoteText"/>
        <w:rPr>
          <w:rFonts w:eastAsia="Times New Roman" w:cs="Times New Roman"/>
          <w:sz w:val="16"/>
          <w:szCs w:val="16"/>
        </w:rPr>
      </w:pPr>
      <w:r>
        <w:rPr>
          <w:sz w:val="16"/>
        </w:rPr>
        <w:footnoteRef/>
      </w:r>
      <w:r>
        <w:rPr>
          <w:sz w:val="16"/>
        </w:rPr>
        <w:t xml:space="preserve"> Cum ar fi </w:t>
      </w:r>
      <w:hyperlink r:id="rId67">
        <w:r>
          <w:rPr>
            <w:rStyle w:val="Hyperlink"/>
            <w:sz w:val="16"/>
          </w:rPr>
          <w:t>Planul de acțiune al UE privind guvernarea electronică</w:t>
        </w:r>
      </w:hyperlink>
      <w:r>
        <w:rPr>
          <w:sz w:val="16"/>
        </w:rPr>
        <w:t xml:space="preserve">, </w:t>
      </w:r>
      <w:hyperlink r:id="rId68">
        <w:r>
          <w:rPr>
            <w:rStyle w:val="Hyperlink"/>
            <w:sz w:val="16"/>
          </w:rPr>
          <w:t>Acțiunile UE în vederea îmbunătățirii conformării cu legislația de mediu și a guvernanței de mediu</w:t>
        </w:r>
      </w:hyperlink>
      <w:r>
        <w:rPr>
          <w:sz w:val="16"/>
        </w:rPr>
        <w:t xml:space="preserve"> și </w:t>
      </w:r>
      <w:hyperlink r:id="rId69">
        <w:r>
          <w:rPr>
            <w:rStyle w:val="Hyperlink"/>
            <w:sz w:val="16"/>
          </w:rPr>
          <w:t>manualul Calitatea administrației publice</w:t>
        </w:r>
      </w:hyperlink>
      <w:r>
        <w:t>.</w:t>
      </w:r>
      <w:r>
        <w:rPr>
          <w:sz w:val="16"/>
        </w:rPr>
        <w:t xml:space="preserve"> </w:t>
      </w:r>
    </w:p>
  </w:footnote>
  <w:footnote w:id="102">
    <w:p>
      <w:pPr>
        <w:pStyle w:val="FootnoteText"/>
        <w:rPr>
          <w:rFonts w:eastAsia="Times New Roman" w:cs="Times New Roman"/>
          <w:sz w:val="16"/>
          <w:szCs w:val="16"/>
        </w:rPr>
      </w:pPr>
      <w:r>
        <w:rPr>
          <w:sz w:val="16"/>
        </w:rPr>
        <w:footnoteRef/>
      </w:r>
      <w:r>
        <w:rPr>
          <w:sz w:val="16"/>
        </w:rPr>
        <w:t xml:space="preserve"> INSPIRE: infrastructura pentru informații spațiale în Comunitatea Europeană.</w:t>
      </w:r>
    </w:p>
  </w:footnote>
  <w:footnote w:id="103">
    <w:p>
      <w:pPr>
        <w:pStyle w:val="FootnoteText"/>
        <w:rPr>
          <w:rFonts w:eastAsia="Times New Roman" w:cs="Times New Roman"/>
          <w:sz w:val="16"/>
          <w:szCs w:val="16"/>
        </w:rPr>
      </w:pPr>
      <w:r>
        <w:rPr>
          <w:sz w:val="16"/>
        </w:rPr>
        <w:footnoteRef/>
      </w:r>
      <w:r>
        <w:rPr>
          <w:sz w:val="16"/>
        </w:rPr>
        <w:t xml:space="preserve"> </w:t>
      </w:r>
      <w:hyperlink r:id="rId70">
        <w:r>
          <w:rPr>
            <w:rStyle w:val="Hyperlink"/>
            <w:sz w:val="16"/>
          </w:rPr>
          <w:t>Directiva 2007/2/CE</w:t>
        </w:r>
      </w:hyperlink>
      <w:r>
        <w:rPr>
          <w:sz w:val="16"/>
        </w:rPr>
        <w:t xml:space="preserve">, </w:t>
      </w:r>
      <w:hyperlink r:id="rId71">
        <w:r>
          <w:rPr>
            <w:rStyle w:val="Hyperlink"/>
            <w:sz w:val="16"/>
          </w:rPr>
          <w:t>Directiva 2003/4/CE</w:t>
        </w:r>
      </w:hyperlink>
      <w:r>
        <w:rPr>
          <w:sz w:val="16"/>
        </w:rPr>
        <w:t xml:space="preserve">, </w:t>
      </w:r>
      <w:hyperlink r:id="rId72">
        <w:r>
          <w:rPr>
            <w:rStyle w:val="Hyperlink"/>
            <w:sz w:val="16"/>
          </w:rPr>
          <w:t>Directiva 2013/37/UE</w:t>
        </w:r>
      </w:hyperlink>
      <w:r>
        <w:rPr>
          <w:sz w:val="16"/>
        </w:rPr>
        <w:t xml:space="preserve">. Un proiect specific analizează în prezent, în detaliu, sistemele naționale de informații referitoare la mediu și pregătește orientări pentru bunele practici: Comisia Europeană, </w:t>
      </w:r>
      <w:hyperlink r:id="rId73">
        <w:r>
          <w:rPr>
            <w:rStyle w:val="Hyperlink"/>
            <w:sz w:val="16"/>
          </w:rPr>
          <w:t>Date privind EIS</w:t>
        </w:r>
      </w:hyperlink>
      <w:r>
        <w:rPr>
          <w:sz w:val="16"/>
        </w:rPr>
        <w:t xml:space="preserve">. </w:t>
      </w:r>
    </w:p>
  </w:footnote>
  <w:footnote w:id="104">
    <w:p>
      <w:pPr>
        <w:pStyle w:val="FootnoteText"/>
        <w:rPr>
          <w:rFonts w:eastAsia="Times New Roman" w:cs="Times New Roman"/>
          <w:sz w:val="16"/>
          <w:szCs w:val="16"/>
        </w:rPr>
      </w:pPr>
      <w:r>
        <w:rPr>
          <w:sz w:val="16"/>
        </w:rPr>
        <w:footnoteRef/>
      </w:r>
      <w:r>
        <w:rPr>
          <w:sz w:val="16"/>
        </w:rPr>
        <w:t xml:space="preserve"> Bulgaria, Croația, Cipru, Finlanda, Ungaria, Irlanda, Lituania, Luxemburg, Malta, Polonia și România.</w:t>
      </w:r>
    </w:p>
  </w:footnote>
  <w:footnote w:id="105">
    <w:p>
      <w:pPr>
        <w:pStyle w:val="FootnoteText"/>
        <w:rPr>
          <w:rFonts w:eastAsia="Times New Roman" w:cs="Times New Roman"/>
          <w:sz w:val="16"/>
          <w:szCs w:val="16"/>
        </w:rPr>
      </w:pPr>
      <w:r>
        <w:rPr>
          <w:sz w:val="16"/>
        </w:rPr>
        <w:footnoteRef/>
      </w:r>
      <w:r>
        <w:rPr>
          <w:sz w:val="16"/>
        </w:rPr>
        <w:t xml:space="preserve"> Austria, Belgia, Bulgaria, Croația, Cipru, Republica Cehă, Danemarca, Estonia, Finlanda, Franța, Germania, Grecia, Ungaria, Irlanda, Italia, Letonia, Lituania, Luxemburg, Malta, Țările de Jos, Polonia, România, Slovacia, Slovenia, Suedia și Regatul Unit.</w:t>
      </w:r>
    </w:p>
  </w:footnote>
  <w:footnote w:id="106">
    <w:p>
      <w:pPr>
        <w:pStyle w:val="FootnoteText"/>
        <w:rPr>
          <w:rFonts w:eastAsia="Times New Roman" w:cs="Times New Roman"/>
          <w:sz w:val="16"/>
          <w:szCs w:val="16"/>
        </w:rPr>
      </w:pPr>
      <w:r>
        <w:rPr>
          <w:sz w:val="16"/>
        </w:rPr>
        <w:footnoteRef/>
      </w:r>
      <w:r>
        <w:rPr>
          <w:sz w:val="16"/>
        </w:rPr>
        <w:t xml:space="preserve"> </w:t>
      </w:r>
      <w:hyperlink r:id="rId74">
        <w:r>
          <w:rPr>
            <w:rStyle w:val="Hyperlink"/>
            <w:sz w:val="16"/>
          </w:rPr>
          <w:t>Al șaptelea program de acțiune pentru mediu 2014-2020</w:t>
        </w:r>
      </w:hyperlink>
      <w:r>
        <w:rPr>
          <w:sz w:val="16"/>
        </w:rPr>
        <w:t xml:space="preserve">. </w:t>
      </w:r>
    </w:p>
  </w:footnote>
  <w:footnote w:id="107">
    <w:p>
      <w:pPr>
        <w:pStyle w:val="FootnoteText"/>
        <w:rPr>
          <w:sz w:val="16"/>
          <w:szCs w:val="16"/>
        </w:rPr>
      </w:pPr>
      <w:r>
        <w:rPr>
          <w:sz w:val="16"/>
        </w:rPr>
        <w:footnoteRef/>
      </w:r>
      <w:r>
        <w:rPr>
          <w:sz w:val="16"/>
        </w:rPr>
        <w:t xml:space="preserve"> </w:t>
      </w:r>
      <w:hyperlink r:id="rId75">
        <w:r>
          <w:rPr>
            <w:rStyle w:val="Hyperlink"/>
            <w:sz w:val="16"/>
          </w:rPr>
          <w:t>COM(2015) 614.</w:t>
        </w:r>
      </w:hyperlink>
      <w:r>
        <w:rPr>
          <w:rStyle w:val="Hyperlink"/>
          <w:sz w:val="16"/>
        </w:rPr>
        <w:t xml:space="preserve"> </w:t>
      </w:r>
    </w:p>
  </w:footnote>
  <w:footnote w:id="108">
    <w:p>
      <w:pPr>
        <w:pStyle w:val="FootnoteText"/>
        <w:rPr>
          <w:rFonts w:eastAsia="Times New Roman" w:cs="Times New Roman"/>
          <w:sz w:val="16"/>
          <w:szCs w:val="16"/>
        </w:rPr>
      </w:pPr>
      <w:r>
        <w:rPr>
          <w:sz w:val="16"/>
        </w:rPr>
        <w:footnoteRef/>
      </w:r>
      <w:r>
        <w:rPr>
          <w:sz w:val="16"/>
        </w:rPr>
        <w:t xml:space="preserve"> Comisia Europeană,</w:t>
      </w:r>
      <w:r>
        <w:t xml:space="preserve"> </w:t>
      </w:r>
      <w:hyperlink r:id="rId76">
        <w:r>
          <w:rPr>
            <w:rStyle w:val="Hyperlink"/>
            <w:sz w:val="16"/>
          </w:rPr>
          <w:t>Agricultura și gestionarea durabilă a apei în UE</w:t>
        </w:r>
      </w:hyperlink>
      <w:r>
        <w:rPr>
          <w:sz w:val="16"/>
        </w:rPr>
        <w:t xml:space="preserve">, 2017. </w:t>
      </w:r>
    </w:p>
  </w:footnote>
  <w:footnote w:id="109">
    <w:p>
      <w:pPr>
        <w:pStyle w:val="FootnoteText"/>
        <w:rPr>
          <w:rFonts w:eastAsia="Times New Roman" w:cs="Times New Roman"/>
          <w:sz w:val="16"/>
          <w:szCs w:val="16"/>
        </w:rPr>
      </w:pPr>
      <w:r>
        <w:rPr>
          <w:sz w:val="16"/>
        </w:rPr>
        <w:footnoteRef/>
      </w:r>
      <w:r>
        <w:rPr>
          <w:sz w:val="16"/>
        </w:rPr>
        <w:t xml:space="preserve"> Grecia, Italia și Spania.</w:t>
      </w:r>
    </w:p>
  </w:footnote>
  <w:footnote w:id="110">
    <w:p>
      <w:pPr>
        <w:pStyle w:val="FootnoteText"/>
        <w:rPr>
          <w:rFonts w:eastAsia="Times New Roman" w:cs="Times New Roman"/>
          <w:sz w:val="16"/>
          <w:szCs w:val="16"/>
        </w:rPr>
      </w:pPr>
      <w:r>
        <w:rPr>
          <w:sz w:val="16"/>
        </w:rPr>
        <w:footnoteRef/>
      </w:r>
      <w:r>
        <w:rPr>
          <w:sz w:val="16"/>
        </w:rPr>
        <w:t xml:space="preserve"> Germania și Lituania.</w:t>
      </w:r>
    </w:p>
  </w:footnote>
  <w:footnote w:id="111">
    <w:p>
      <w:pPr>
        <w:pStyle w:val="FootnoteText"/>
        <w:rPr>
          <w:rFonts w:eastAsia="Times New Roman" w:cs="Times New Roman"/>
          <w:sz w:val="16"/>
          <w:szCs w:val="16"/>
        </w:rPr>
      </w:pPr>
      <w:r>
        <w:rPr>
          <w:sz w:val="16"/>
        </w:rPr>
        <w:footnoteRef/>
      </w:r>
      <w:r>
        <w:rPr>
          <w:sz w:val="16"/>
        </w:rPr>
        <w:t xml:space="preserve"> Agenția Europeană de Mediu,</w:t>
      </w:r>
      <w:r>
        <w:t xml:space="preserve"> </w:t>
      </w:r>
      <w:hyperlink r:id="rId77">
        <w:r>
          <w:rPr>
            <w:rStyle w:val="Hyperlink"/>
            <w:sz w:val="16"/>
          </w:rPr>
          <w:t>Raport privind starea mediului</w:t>
        </w:r>
      </w:hyperlink>
      <w:r>
        <w:rPr>
          <w:sz w:val="16"/>
        </w:rPr>
        <w:t>, 2015.</w:t>
      </w:r>
    </w:p>
  </w:footnote>
  <w:footnote w:id="112">
    <w:p>
      <w:pPr>
        <w:pStyle w:val="FootnoteText"/>
        <w:rPr>
          <w:sz w:val="16"/>
          <w:szCs w:val="16"/>
        </w:rPr>
      </w:pPr>
      <w:r>
        <w:rPr>
          <w:sz w:val="16"/>
        </w:rPr>
        <w:footnoteRef/>
      </w:r>
      <w:r>
        <w:rPr>
          <w:sz w:val="16"/>
        </w:rPr>
        <w:t xml:space="preserve"> Agenția Europeană de Mediu,</w:t>
      </w:r>
      <w:r>
        <w:t xml:space="preserve"> </w:t>
      </w:r>
      <w:hyperlink r:id="rId78">
        <w:r>
          <w:rPr>
            <w:rStyle w:val="Hyperlink"/>
            <w:sz w:val="16"/>
          </w:rPr>
          <w:t>Raport privind indicatorii de mediu, 2018</w:t>
        </w:r>
      </w:hyperlink>
      <w:r>
        <w:rPr>
          <w:sz w:val="16"/>
        </w:rPr>
        <w:t xml:space="preserve">. </w:t>
      </w:r>
    </w:p>
  </w:footnote>
  <w:footnote w:id="113">
    <w:p>
      <w:pPr>
        <w:pStyle w:val="FootnoteText"/>
        <w:rPr>
          <w:rFonts w:eastAsia="Times New Roman" w:cs="Times New Roman"/>
          <w:sz w:val="16"/>
          <w:szCs w:val="16"/>
        </w:rPr>
      </w:pPr>
      <w:r>
        <w:rPr>
          <w:sz w:val="16"/>
        </w:rPr>
        <w:footnoteRef/>
      </w:r>
      <w:r>
        <w:rPr>
          <w:sz w:val="16"/>
        </w:rPr>
        <w:t xml:space="preserve"> Abordarea bazată pe conexiune, menționată în Comunicarea Comisiei „Următorii pași către un viitor european durabil Acțiunea europeană pentru durabilitate”,</w:t>
      </w:r>
      <w:r>
        <w:t xml:space="preserve"> </w:t>
      </w:r>
      <w:hyperlink r:id="rId79">
        <w:r>
          <w:rPr>
            <w:rStyle w:val="Hyperlink"/>
            <w:sz w:val="16"/>
          </w:rPr>
          <w:t>COM (2016) 739</w:t>
        </w:r>
      </w:hyperlink>
      <w:r>
        <w:rPr>
          <w:sz w:val="16"/>
        </w:rPr>
        <w:t xml:space="preserve">, examinează legăturile și interdependențele dintre diferite provocări. </w:t>
      </w:r>
    </w:p>
  </w:footnote>
  <w:footnote w:id="114">
    <w:p>
      <w:pPr>
        <w:pStyle w:val="FootnoteText"/>
        <w:rPr>
          <w:sz w:val="16"/>
          <w:szCs w:val="16"/>
        </w:rPr>
      </w:pPr>
      <w:r>
        <w:rPr>
          <w:sz w:val="16"/>
        </w:rPr>
        <w:footnoteRef/>
      </w:r>
      <w:r>
        <w:rPr>
          <w:sz w:val="16"/>
        </w:rPr>
        <w:t xml:space="preserve"> De exemplu, „</w:t>
      </w:r>
      <w:hyperlink r:id="rId80">
        <w:r>
          <w:rPr>
            <w:rStyle w:val="Hyperlink"/>
            <w:sz w:val="16"/>
          </w:rPr>
          <w:t>Calitatea administrației publice – un set de instrumente pentru profesioniștii din domeniu</w:t>
        </w:r>
      </w:hyperlink>
      <w:r>
        <w:t>”</w:t>
      </w:r>
      <w:r>
        <w:rPr>
          <w:sz w:val="16"/>
        </w:rPr>
        <w:t xml:space="preserve"> și studiul „</w:t>
      </w:r>
      <w:hyperlink r:id="rId81">
        <w:r>
          <w:rPr>
            <w:rStyle w:val="Hyperlink"/>
            <w:sz w:val="16"/>
          </w:rPr>
          <w:t>Caracteristicile și performanțele administrației publice în UE28</w:t>
        </w:r>
      </w:hyperlink>
      <w:r>
        <w:t>”</w:t>
      </w:r>
      <w:r>
        <w:rPr>
          <w:sz w:val="16"/>
        </w:rPr>
        <w:t xml:space="preserve">. </w:t>
      </w:r>
    </w:p>
  </w:footnote>
  <w:footnote w:id="115">
    <w:p>
      <w:pPr>
        <w:pStyle w:val="FootnoteText"/>
        <w:rPr>
          <w:sz w:val="16"/>
          <w:szCs w:val="16"/>
          <w:lang w:val="pt-PT"/>
        </w:rPr>
      </w:pPr>
      <w:r>
        <w:rPr>
          <w:sz w:val="16"/>
        </w:rPr>
        <w:footnoteRef/>
      </w:r>
      <w:r>
        <w:rPr>
          <w:sz w:val="16"/>
        </w:rPr>
        <w:t xml:space="preserve"> Comisia Europeană, </w:t>
      </w:r>
      <w:hyperlink r:id="rId82">
        <w:r>
          <w:rPr>
            <w:rStyle w:val="Hyperlink"/>
            <w:sz w:val="16"/>
          </w:rPr>
          <w:t>Portalul de Date Deschise al UE</w:t>
        </w:r>
      </w:hyperlink>
      <w:r>
        <w:rPr>
          <w:sz w:val="16"/>
        </w:rPr>
        <w:t>.</w:t>
      </w:r>
    </w:p>
  </w:footnote>
  <w:footnote w:id="116">
    <w:p>
      <w:pPr>
        <w:pStyle w:val="FootnoteText"/>
        <w:rPr>
          <w:rFonts w:eastAsia="Times New Roman" w:cs="Times New Roman"/>
          <w:sz w:val="16"/>
          <w:szCs w:val="16"/>
        </w:rPr>
      </w:pPr>
      <w:r>
        <w:rPr>
          <w:sz w:val="16"/>
        </w:rPr>
        <w:footnoteRef/>
      </w:r>
      <w:r>
        <w:rPr>
          <w:sz w:val="16"/>
        </w:rPr>
        <w:t xml:space="preserve"> </w:t>
      </w:r>
      <w:hyperlink r:id="rId83">
        <w:r>
          <w:rPr>
            <w:rStyle w:val="Hyperlink"/>
            <w:sz w:val="16"/>
          </w:rPr>
          <w:t>COM(2018) 330</w:t>
        </w:r>
      </w:hyperlink>
      <w:r>
        <w:rPr>
          <w:sz w:val="16"/>
        </w:rPr>
        <w:t>.</w:t>
      </w:r>
    </w:p>
  </w:footnote>
  <w:footnote w:id="117">
    <w:p>
      <w:pPr>
        <w:pStyle w:val="FootnoteText"/>
        <w:rPr>
          <w:rFonts w:eastAsia="Times New Roman" w:cs="Times New Roman"/>
          <w:sz w:val="16"/>
          <w:szCs w:val="16"/>
        </w:rPr>
      </w:pPr>
      <w:r>
        <w:rPr>
          <w:sz w:val="16"/>
        </w:rPr>
        <w:footnoteRef/>
      </w:r>
      <w:r>
        <w:rPr>
          <w:sz w:val="16"/>
        </w:rPr>
        <w:t xml:space="preserve"> </w:t>
      </w:r>
      <w:hyperlink r:id="rId84">
        <w:r>
          <w:rPr>
            <w:rStyle w:val="Hyperlink"/>
            <w:sz w:val="16"/>
          </w:rPr>
          <w:t>SWD(2017) 153</w:t>
        </w:r>
      </w:hyperlink>
      <w:r>
        <w:rPr>
          <w:sz w:val="16"/>
        </w:rPr>
        <w:t xml:space="preserve">. </w:t>
      </w:r>
    </w:p>
  </w:footnote>
  <w:footnote w:id="118">
    <w:p>
      <w:pPr>
        <w:pStyle w:val="Default"/>
        <w:ind w:left="142" w:hanging="142"/>
        <w:rPr>
          <w:rFonts w:ascii="Times New Roman" w:eastAsia="Times New Roman" w:hAnsi="Times New Roman" w:cs="Times New Roman"/>
          <w:sz w:val="16"/>
          <w:szCs w:val="16"/>
        </w:rPr>
      </w:pPr>
      <w:r>
        <w:rPr>
          <w:rFonts w:ascii="Times New Roman" w:hAnsi="Times New Roman"/>
          <w:sz w:val="16"/>
        </w:rPr>
        <w:footnoteRef/>
      </w:r>
      <w:r>
        <w:rPr>
          <w:rFonts w:ascii="Times New Roman" w:hAnsi="Times New Roman"/>
          <w:sz w:val="16"/>
        </w:rPr>
        <w:t xml:space="preserve"> </w:t>
      </w:r>
      <w:hyperlink r:id="rId85">
        <w:r>
          <w:rPr>
            <w:rStyle w:val="Hyperlink"/>
            <w:rFonts w:ascii="Times New Roman" w:hAnsi="Times New Roman"/>
            <w:sz w:val="16"/>
          </w:rPr>
          <w:t>COM(2017) 198</w:t>
        </w:r>
      </w:hyperlink>
      <w:r>
        <w:rPr>
          <w:rFonts w:ascii="Times New Roman" w:hAnsi="Times New Roman"/>
          <w:sz w:val="16"/>
        </w:rPr>
        <w:t xml:space="preserve"> </w:t>
      </w:r>
      <w:r>
        <w:rPr>
          <w:rStyle w:val="Hyperlink"/>
          <w:rFonts w:ascii="Times New Roman" w:hAnsi="Times New Roman"/>
          <w:color w:val="auto"/>
          <w:sz w:val="16"/>
          <w:u w:val="none"/>
        </w:rPr>
        <w:t>și</w:t>
      </w:r>
      <w:r>
        <w:rPr>
          <w:rStyle w:val="Hyperlink"/>
          <w:rFonts w:ascii="Times New Roman" w:hAnsi="Times New Roman"/>
          <w:color w:val="auto"/>
          <w:sz w:val="16"/>
        </w:rPr>
        <w:t xml:space="preserve"> </w:t>
      </w:r>
      <w:hyperlink r:id="rId86">
        <w:r>
          <w:rPr>
            <w:rStyle w:val="Hyperlink"/>
            <w:rFonts w:ascii="Times New Roman" w:hAnsi="Times New Roman"/>
            <w:sz w:val="16"/>
          </w:rPr>
          <w:t>SWD(2017) 139</w:t>
        </w:r>
      </w:hyperlink>
      <w:r>
        <w:rPr>
          <w:rFonts w:ascii="Times New Roman" w:hAnsi="Times New Roman"/>
          <w:sz w:val="16"/>
        </w:rPr>
        <w:t>.</w:t>
      </w:r>
    </w:p>
  </w:footnote>
  <w:footnote w:id="119">
    <w:p>
      <w:pPr>
        <w:pStyle w:val="FootnoteText"/>
        <w:rPr>
          <w:rFonts w:eastAsia="Times New Roman" w:cs="Times New Roman"/>
          <w:sz w:val="16"/>
          <w:szCs w:val="16"/>
        </w:rPr>
      </w:pPr>
      <w:r>
        <w:rPr>
          <w:sz w:val="16"/>
        </w:rPr>
        <w:footnoteRef/>
      </w:r>
      <w:r>
        <w:rPr>
          <w:sz w:val="16"/>
        </w:rPr>
        <w:t xml:space="preserve"> Comisia Europeană,</w:t>
      </w:r>
      <w:r>
        <w:t xml:space="preserve"> </w:t>
      </w:r>
      <w:hyperlink r:id="rId87">
        <w:r>
          <w:rPr>
            <w:rStyle w:val="Hyperlink"/>
            <w:sz w:val="16"/>
          </w:rPr>
          <w:t>Raport referitor la punerea în aplicare a legislației UE privind deșeurile, care include raportul de alertă timpurie</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85E278-4C71-44A8-AD2F-DF5FE883942F"/>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valuarea din 2019 a punerii în aplicare a politicilor de mediu&lt;FMT:Bold&gt;: &lt;/FMT&gt;_x000d__x000d__x000d__x000b_o Europ\u259? care î\u537?i protejeaz\u259? cet\u259?\u539?enii \u537?i spore\u537?te calitatea vie\u539?ii acestora_x000d__x000d__x000d__x000d__x000d__x000b_"/>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ro-RO"/>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ro-RO"/>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RO/ALL/?uri=COM:2018:738:FIN" TargetMode="External"/><Relationship Id="rId26" Type="http://schemas.openxmlformats.org/officeDocument/2006/relationships/hyperlink" Target="http://ec.europa.eu/environment/nature/legislation/fitness_check/action_plan/communication_en.pdf" TargetMode="External"/><Relationship Id="rId39" Type="http://schemas.openxmlformats.org/officeDocument/2006/relationships/hyperlink" Target="https://publications.europa.eu/ro/publication-detail/-/publication/2a754add-32fb-11e8-b5fe-01aa75ed71a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RO/TXT/?qid=1481623908600&amp;uri=CELEX:32006L0007" TargetMode="External"/><Relationship Id="rId47" Type="http://schemas.openxmlformats.org/officeDocument/2006/relationships/hyperlink" Target="http://eur-lex.europa.eu/legal-content/RO/TXT/?uri=CELEX:32007L0060" TargetMode="External"/><Relationship Id="rId50" Type="http://schemas.openxmlformats.org/officeDocument/2006/relationships/hyperlink" Target="https://eur-lex.europa.eu/legal-content/RO/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ec.europa.eu/environment/legal/pdf/COM_2018_10_F1_COMMUNICATION_FROM_COMMISSION_TO_INST_EN_V8_P1_959219.pdf" TargetMode="External"/><Relationship Id="rId68" Type="http://schemas.openxmlformats.org/officeDocument/2006/relationships/hyperlink" Target="http://ec.europa.eu/environment/legal/pdf/COM_2018_10_F1_COMMUNICATION_FROM_COMMISSION_TO_INST_EN_V8_P1_959219.pdf"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RO/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c.europa.eu/clima/sites/clima/files/docs/pages/com_2018_733_en.pdf" TargetMode="External"/><Relationship Id="rId29" Type="http://schemas.openxmlformats.org/officeDocument/2006/relationships/hyperlink" Target="https://eur-lex.europa.eu/legal-content/RO/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RO/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RO.pdf" TargetMode="External"/><Relationship Id="rId40" Type="http://schemas.openxmlformats.org/officeDocument/2006/relationships/hyperlink" Target="https://eur-lex.europa.eu/legal-content/RO/TXT/?qid=1540372185676&amp;uri=CELEX:32010L0075" TargetMode="External"/><Relationship Id="rId45" Type="http://schemas.openxmlformats.org/officeDocument/2006/relationships/hyperlink" Target="http://eur-lex.europa.eu/legal-content/RO/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RO/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RO/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ro/home" TargetMode="External"/><Relationship Id="rId19" Type="http://schemas.openxmlformats.org/officeDocument/2006/relationships/hyperlink" Target="https://eur-lex.europa.eu/legal-content/RO/TXT/?uri=CELEX:32018R1999" TargetMode="External"/><Relationship Id="rId4" Type="http://schemas.openxmlformats.org/officeDocument/2006/relationships/hyperlink" Target="https://ec.europa.eu/transparency/regdoc/rep/1/2015/EN/1-2015-614-EN-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RO/TXT/?uri=celex: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RO:pdf" TargetMode="External"/><Relationship Id="rId30" Type="http://schemas.openxmlformats.org/officeDocument/2006/relationships/hyperlink" Target="https://eur-lex.europa.eu/legal-content/RO/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RO/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ro&amp;pubId=8072" TargetMode="External"/><Relationship Id="rId64" Type="http://schemas.openxmlformats.org/officeDocument/2006/relationships/hyperlink" Target="https://eur-lex.europa.eu/legal-content/RO/TXT/?uri=uriserv:OJ.L_.2018.328.01.0001.01.ENG&amp;toc=OJ:L:2018:328:FULL"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ro/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RO/TXT/?uri=celex:32013L0037" TargetMode="External"/><Relationship Id="rId80" Type="http://schemas.openxmlformats.org/officeDocument/2006/relationships/hyperlink" Target="https://ec.europa.eu/social/main.jsp?catId=738&amp;langId=ro&amp;pubId=8055&amp;type=2&amp;furtherPubs=no" TargetMode="External"/><Relationship Id="rId85" Type="http://schemas.openxmlformats.org/officeDocument/2006/relationships/hyperlink" Target="http://ec.europa.eu/environment/nature/legislation/fitness_check/action_plan/communication_en.pdf" TargetMode="External"/><Relationship Id="rId3" Type="http://schemas.openxmlformats.org/officeDocument/2006/relationships/hyperlink" Target="https://eur-lex.europa.eu/legal-content/RO/TXT/?uri=COM:2016:316:FIN" TargetMode="External"/><Relationship Id="rId12" Type="http://schemas.openxmlformats.org/officeDocument/2006/relationships/hyperlink" Target="http://ec.europa.eu/environment/waste/pdf/waste_legislation_implementation_report.pdf" TargetMode="External"/><Relationship Id="rId17" Type="http://schemas.openxmlformats.org/officeDocument/2006/relationships/hyperlink" Target="https://eur-lex.europa.eu/legal-content/RO/TXT/?uri=CELEX:32018L0410" TargetMode="External"/><Relationship Id="rId25" Type="http://schemas.openxmlformats.org/officeDocument/2006/relationships/hyperlink" Target="https://eur-lex.europa.eu/legal-content/RO/TXT/?uri=CELEX:32009L0147" TargetMode="External"/><Relationship Id="rId33" Type="http://schemas.openxmlformats.org/officeDocument/2006/relationships/hyperlink" Target="https://eur-lex.europa.eu/legal-content/RO/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RO/TXT/?uri=CELEX:31991L0676" TargetMode="External"/><Relationship Id="rId59" Type="http://schemas.openxmlformats.org/officeDocument/2006/relationships/hyperlink" Target="http://ec.europa.eu/environment/legal/pdf/C_2018_10_F1_COMMISSION_DECISION_EN_V13_P1_959398.pdf"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ro/publication-detail/-/publication/2a754add-32fb-11e8-b5fe-01aa75ed71a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environment/aarhus/pdf/notice_accesstojustice.pdf" TargetMode="External"/><Relationship Id="rId70" Type="http://schemas.openxmlformats.org/officeDocument/2006/relationships/hyperlink" Target="https://eur-lex.europa.eu/legal-content/RO/ALL/?uri=CELEX:32007L0002" TargetMode="External"/><Relationship Id="rId75" Type="http://schemas.openxmlformats.org/officeDocument/2006/relationships/hyperlink" Target="https://ec.europa.eu/transparency/regdoc/rep/1/2015/EN/1-2015-614-EN-F1-1.PDF" TargetMode="External"/><Relationship Id="rId83" Type="http://schemas.openxmlformats.org/officeDocument/2006/relationships/hyperlink" Target="http://ec.europa.eu/environment/air/pdf/clean_air_for_all.pdf" TargetMode="External"/><Relationship Id="rId1" Type="http://schemas.openxmlformats.org/officeDocument/2006/relationships/hyperlink" Target="https://eur-lex.europa.eu/legal-content/RO/TXT/PDF/?uri=CELEX%3A52017DC0063&amp;from=RO" TargetMode="External"/><Relationship Id="rId6" Type="http://schemas.openxmlformats.org/officeDocument/2006/relationships/hyperlink" Target="https://eur-lex.europa.eu/legal-content/RO/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RO/TXT/?uri=CELEX:52011DC0244" TargetMode="External"/><Relationship Id="rId28" Type="http://schemas.openxmlformats.org/officeDocument/2006/relationships/hyperlink" Target="https://eur-lex.europa.eu/legal-content/RO/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RO/ALL/?uri=COM:2017:63:FIN" TargetMode="External"/><Relationship Id="rId10" Type="http://schemas.openxmlformats.org/officeDocument/2006/relationships/hyperlink" Target="http://ec.europa.eu/environment/waste/pdf/waste_legislation_implementation_report.pdf" TargetMode="External"/><Relationship Id="rId31" Type="http://schemas.openxmlformats.org/officeDocument/2006/relationships/hyperlink" Target="http://connectcarpathians.ro/" TargetMode="External"/><Relationship Id="rId44" Type="http://schemas.openxmlformats.org/officeDocument/2006/relationships/hyperlink" Target="http://eur-lex.europa.eu/legal-content/RO/TXT/?uri=CELEX:31998L0083" TargetMode="External"/><Relationship Id="rId52" Type="http://schemas.openxmlformats.org/officeDocument/2006/relationships/hyperlink" Target="https://eur-lex.europa.eu/legal-content/RO/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ro/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ro/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8ECC67-CB6E-4AF9-969E-E84B571EE33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4.xml><?xml version="1.0" encoding="utf-8"?>
<ds:datastoreItem xmlns:ds="http://schemas.openxmlformats.org/officeDocument/2006/customXml" ds:itemID="{6C3119B0-D87B-435A-A999-06530186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9103</Words>
  <Characters>53437</Characters>
  <Application>Microsoft Office Word</Application>
  <DocSecurity>0</DocSecurity>
  <Lines>722</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2019-02-01T15:12:00Z</cp:lastPrinted>
  <dcterms:created xsi:type="dcterms:W3CDTF">2019-03-18T10:02:00Z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