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1C" w:rsidRDefault="0050347A" w:rsidP="0050347A">
      <w:pPr>
        <w:pStyle w:val="Pagedecouverture"/>
        <w:rPr>
          <w:noProof/>
        </w:rPr>
      </w:pPr>
      <w:bookmarkStart w:id="0" w:name="LW_BM_COVERPAGE"/>
      <w:r>
        <w:rPr>
          <w:noProof/>
        </w:rPr>
        <w:pict>
          <v:shape id="_x0000_i1033" type="#_x0000_t75" alt="95FC5698-E89F-4528-A8B7-0EA54DD14161" style="width:450.75pt;height:557.25pt">
            <v:imagedata r:id="rId11" o:title=""/>
          </v:shape>
        </w:pict>
      </w:r>
    </w:p>
    <w:bookmarkEnd w:id="0"/>
    <w:p w:rsidR="00ED031C" w:rsidRDefault="00ED031C">
      <w:pPr>
        <w:rPr>
          <w:noProof/>
        </w:rPr>
        <w:sectPr w:rsidR="00ED031C" w:rsidSect="0050347A">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ED031C" w:rsidRDefault="0050347A">
      <w:pPr>
        <w:pStyle w:val="Heading1"/>
        <w:numPr>
          <w:ilvl w:val="0"/>
          <w:numId w:val="0"/>
        </w:numPr>
        <w:spacing w:before="120" w:after="360"/>
        <w:jc w:val="center"/>
        <w:rPr>
          <w:noProof/>
        </w:rPr>
      </w:pPr>
      <w:bookmarkStart w:id="1" w:name="_GoBack"/>
      <w:bookmarkEnd w:id="1"/>
      <w:r>
        <w:rPr>
          <w:noProof/>
        </w:rPr>
        <w:lastRenderedPageBreak/>
        <w:t>AZZJONIJIET TA’ PRIJORITÀ GĦAL IMPLIMENTAZZJONI AMBJENTALI AĦJAR</w:t>
      </w:r>
    </w:p>
    <w:p w:rsidR="00ED031C" w:rsidRDefault="0050347A">
      <w:pPr>
        <w:jc w:val="center"/>
        <w:rPr>
          <w:rFonts w:ascii="Times New Roman" w:hAnsi="Times New Roman" w:cs="Times New Roman"/>
          <w:noProof/>
        </w:rPr>
      </w:pPr>
      <w:r>
        <w:rPr>
          <w:rFonts w:ascii="Times New Roman" w:hAnsi="Times New Roman"/>
          <w:noProof/>
        </w:rPr>
        <w:t xml:space="preserve">Dan l-Anness jiġbor fil-qosor l-azzjonijiet </w:t>
      </w:r>
      <w:r>
        <w:rPr>
          <w:rFonts w:ascii="Times New Roman" w:hAnsi="Times New Roman"/>
          <w:noProof/>
        </w:rPr>
        <w:t>ta’ prijorità fit-28 rapport tal-pajjiż tal-EIR</w:t>
      </w:r>
      <w:r>
        <w:rPr>
          <w:rFonts w:ascii="Times New Roman" w:hAnsi="Times New Roman"/>
          <w:noProof/>
        </w:rPr>
        <w:footnoteReference w:id="2"/>
      </w:r>
    </w:p>
    <w:tbl>
      <w:tblPr>
        <w:tblStyle w:val="TableGrid"/>
        <w:tblW w:w="9468" w:type="dxa"/>
        <w:tblLayout w:type="fixed"/>
        <w:tblLook w:val="04A0" w:firstRow="1" w:lastRow="0" w:firstColumn="1" w:lastColumn="0" w:noHBand="0" w:noVBand="1"/>
      </w:tblPr>
      <w:tblGrid>
        <w:gridCol w:w="7111"/>
        <w:gridCol w:w="2357"/>
      </w:tblGrid>
      <w:tr w:rsidR="00ED031C">
        <w:tc>
          <w:tcPr>
            <w:tcW w:w="7111" w:type="dxa"/>
            <w:shd w:val="clear" w:color="auto" w:fill="auto"/>
            <w:vAlign w:val="center"/>
          </w:tcPr>
          <w:p w:rsidR="00ED031C" w:rsidRDefault="0050347A">
            <w:pPr>
              <w:pStyle w:val="Text1"/>
              <w:ind w:left="0"/>
              <w:jc w:val="left"/>
              <w:rPr>
                <w:i/>
                <w:noProof/>
                <w:sz w:val="20"/>
              </w:rPr>
            </w:pPr>
            <w:r>
              <w:rPr>
                <w:i/>
                <w:noProof/>
                <w:sz w:val="20"/>
              </w:rPr>
              <w:t>Azzjonijiet ta’ prijorità</w:t>
            </w:r>
          </w:p>
        </w:tc>
        <w:tc>
          <w:tcPr>
            <w:tcW w:w="2357" w:type="dxa"/>
            <w:shd w:val="clear" w:color="auto" w:fill="auto"/>
            <w:vAlign w:val="center"/>
          </w:tcPr>
          <w:p w:rsidR="00ED031C" w:rsidRDefault="0050347A">
            <w:pPr>
              <w:pStyle w:val="Text1"/>
              <w:ind w:left="0"/>
              <w:jc w:val="left"/>
              <w:rPr>
                <w:i/>
                <w:noProof/>
                <w:sz w:val="20"/>
              </w:rPr>
            </w:pPr>
            <w:r>
              <w:rPr>
                <w:i/>
                <w:noProof/>
                <w:sz w:val="20"/>
              </w:rPr>
              <w:t xml:space="preserve">Stat(i) Membru/i </w:t>
            </w:r>
          </w:p>
        </w:tc>
      </w:tr>
      <w:tr w:rsidR="00ED031C">
        <w:tc>
          <w:tcPr>
            <w:tcW w:w="9468" w:type="dxa"/>
            <w:gridSpan w:val="2"/>
            <w:shd w:val="clear" w:color="auto" w:fill="C6D9F1" w:themeFill="text2" w:themeFillTint="33"/>
            <w:vAlign w:val="center"/>
          </w:tcPr>
          <w:p w:rsidR="00ED031C" w:rsidRDefault="0050347A">
            <w:pPr>
              <w:pStyle w:val="Text1"/>
              <w:spacing w:after="0"/>
              <w:ind w:left="0"/>
              <w:rPr>
                <w:noProof/>
                <w:sz w:val="20"/>
              </w:rPr>
            </w:pPr>
            <w:r>
              <w:rPr>
                <w:b/>
                <w:noProof/>
                <w:sz w:val="20"/>
              </w:rPr>
              <w:t>Miżuri favur ekonomija ċirkolari</w:t>
            </w:r>
          </w:p>
        </w:tc>
      </w:tr>
      <w:tr w:rsidR="00ED031C">
        <w:tc>
          <w:tcPr>
            <w:tcW w:w="7111" w:type="dxa"/>
            <w:shd w:val="clear" w:color="auto" w:fill="auto"/>
            <w:vAlign w:val="center"/>
          </w:tcPr>
          <w:p w:rsidR="00ED031C" w:rsidRDefault="0050347A">
            <w:pPr>
              <w:pStyle w:val="ListParagraph"/>
              <w:numPr>
                <w:ilvl w:val="0"/>
                <w:numId w:val="3"/>
              </w:numPr>
              <w:rPr>
                <w:noProof/>
                <w:sz w:val="20"/>
              </w:rPr>
            </w:pPr>
            <w:r>
              <w:rPr>
                <w:noProof/>
                <w:sz w:val="20"/>
              </w:rPr>
              <w:t>Isaħħu l-qafas ta’ politika sabiex iħaffu t-tranżizzjoni għall-ekonomija ċirkolari mis-setturi ekonomiċi kollha, pereżempju għall-iffrankar tal-ilma u tal-enerġija, it-tnaqqis tal-iskart, ir-riċiklaġġ tal-materjali u l-adozzjoni tas-suq tal-materja prima s</w:t>
            </w:r>
            <w:r>
              <w:rPr>
                <w:noProof/>
                <w:sz w:val="20"/>
              </w:rPr>
              <w:t xml:space="preserve">ekondarja.  </w:t>
            </w:r>
          </w:p>
        </w:tc>
        <w:tc>
          <w:tcPr>
            <w:tcW w:w="2357" w:type="dxa"/>
            <w:shd w:val="clear" w:color="auto" w:fill="auto"/>
            <w:vAlign w:val="center"/>
          </w:tcPr>
          <w:p w:rsidR="00ED031C" w:rsidRDefault="0050347A">
            <w:pPr>
              <w:spacing w:after="120"/>
              <w:jc w:val="both"/>
              <w:rPr>
                <w:noProof/>
              </w:rPr>
            </w:pPr>
            <w:r>
              <w:rPr>
                <w:noProof/>
              </w:rPr>
              <w:t>AT, BG, CY, CZ, DE, EL, EE, ES, HR, HU, IE, LV, MT, PL, PT, RO, SK</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Jadottaw prinċipji tal-ekonomija ċirkolari li jaġixxu bħala inċentivi għall-miżuri ta’ effiċjenza fir-riżorsi u għaż-żieda fir-riċiklaġġ; il-prestazzjoni fl-ekoinnovazzjoni; u</w:t>
            </w:r>
            <w:r>
              <w:rPr>
                <w:noProof/>
                <w:sz w:val="20"/>
              </w:rPr>
              <w:t xml:space="preserve"> l-investimenti fi prodotti u f’servizzi ekoloġiċi.</w:t>
            </w:r>
          </w:p>
        </w:tc>
        <w:tc>
          <w:tcPr>
            <w:tcW w:w="2357" w:type="dxa"/>
            <w:shd w:val="clear" w:color="auto" w:fill="auto"/>
            <w:vAlign w:val="center"/>
          </w:tcPr>
          <w:p w:rsidR="00ED031C" w:rsidRDefault="0050347A">
            <w:pPr>
              <w:pStyle w:val="Text1"/>
              <w:ind w:left="0"/>
              <w:rPr>
                <w:noProof/>
                <w:sz w:val="20"/>
              </w:rPr>
            </w:pPr>
            <w:r>
              <w:rPr>
                <w:noProof/>
                <w:sz w:val="20"/>
              </w:rPr>
              <w:t>AT, CY, EL, HU, IT, MT, NL, RO, SK</w:t>
            </w:r>
          </w:p>
        </w:tc>
      </w:tr>
      <w:tr w:rsidR="00ED031C">
        <w:tc>
          <w:tcPr>
            <w:tcW w:w="9468" w:type="dxa"/>
            <w:gridSpan w:val="2"/>
            <w:shd w:val="clear" w:color="auto" w:fill="C6D9F1" w:themeFill="text2" w:themeFillTint="33"/>
            <w:vAlign w:val="center"/>
          </w:tcPr>
          <w:p w:rsidR="00ED031C" w:rsidRDefault="0050347A">
            <w:pPr>
              <w:pStyle w:val="Text1"/>
              <w:spacing w:after="0"/>
              <w:ind w:left="0"/>
              <w:rPr>
                <w:b/>
                <w:noProof/>
                <w:sz w:val="20"/>
              </w:rPr>
            </w:pPr>
            <w:r>
              <w:rPr>
                <w:b/>
                <w:noProof/>
                <w:sz w:val="20"/>
              </w:rPr>
              <w:t xml:space="preserve">Immaniġġjar tal-iskart </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Jintroduċu politiki ġodda, inklużi strumenti ekonomiċi, biex ikomplu jimplimentaw il-ġerarkija tal-iskart, jiġifieri jippromwovu l-prevenzjoni,</w:t>
            </w:r>
            <w:r>
              <w:rPr>
                <w:noProof/>
                <w:sz w:val="20"/>
              </w:rPr>
              <w:t xml:space="preserve"> filwaqt li l-użu mill-ġdid u r-riċiklaġġ jagħmluhom aktar attraenti ekonomikament; u/jew jimplimentaw il-politiki li huma diġà fis-seħħ.</w:t>
            </w:r>
          </w:p>
        </w:tc>
        <w:tc>
          <w:tcPr>
            <w:tcW w:w="2357" w:type="dxa"/>
            <w:shd w:val="clear" w:color="auto" w:fill="auto"/>
            <w:vAlign w:val="center"/>
          </w:tcPr>
          <w:p w:rsidR="00ED031C" w:rsidRDefault="0050347A">
            <w:pPr>
              <w:pStyle w:val="Text1"/>
              <w:ind w:left="0"/>
              <w:rPr>
                <w:noProof/>
                <w:sz w:val="20"/>
              </w:rPr>
            </w:pPr>
            <w:r>
              <w:rPr>
                <w:noProof/>
                <w:sz w:val="20"/>
              </w:rPr>
              <w:t>AT, BG, CY, DE, DK, EE, FI, IE, IT, LT, LU, LV, NL, PL, PT, RO, SE, SI, UK</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Itejbu l-funzjonament tas-Sistemi ta’ Resp</w:t>
            </w:r>
            <w:r>
              <w:rPr>
                <w:noProof/>
                <w:sz w:val="20"/>
              </w:rPr>
              <w:t>onsabbiltà Estiża tal-Produttur, f’konformità mar-rekwiżiti minimi ġenerali stabbiliti fid-Direttiva Qafas dwar l-Iskart.</w:t>
            </w:r>
          </w:p>
        </w:tc>
        <w:tc>
          <w:tcPr>
            <w:tcW w:w="2357" w:type="dxa"/>
            <w:shd w:val="clear" w:color="auto" w:fill="auto"/>
            <w:vAlign w:val="center"/>
          </w:tcPr>
          <w:p w:rsidR="00ED031C" w:rsidRDefault="0050347A">
            <w:pPr>
              <w:pStyle w:val="Text1"/>
              <w:ind w:left="0"/>
              <w:rPr>
                <w:noProof/>
                <w:sz w:val="20"/>
              </w:rPr>
            </w:pPr>
            <w:r>
              <w:rPr>
                <w:noProof/>
                <w:sz w:val="20"/>
              </w:rPr>
              <w:t>AT, CY, CZ, EE, EL, ES, HR, HU, IT, LT, LV, MT, PL, RO, SI, SK, UK</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Imexxu l-iskart li jista’ jerġa’ jintuża u jiġi rriċiklat lil hinn</w:t>
            </w:r>
            <w:r>
              <w:rPr>
                <w:noProof/>
                <w:sz w:val="20"/>
              </w:rPr>
              <w:t xml:space="preserve"> mill-inċinerazzjoni billi jeliminaw b’mod gradwali s-sussidji għall-inċinerazzjoni jew billi jintroduċu taxxa fuq l-inċinerazzjoni. Jinkanalaw dak id-dħul lejn miżuri sabiex jittejjeb l-immaniġġjar tal-iskart f’konformità mal-ġerarkija tal-iskart.</w:t>
            </w:r>
          </w:p>
        </w:tc>
        <w:tc>
          <w:tcPr>
            <w:tcW w:w="2357" w:type="dxa"/>
            <w:shd w:val="clear" w:color="auto" w:fill="auto"/>
            <w:vAlign w:val="center"/>
          </w:tcPr>
          <w:p w:rsidR="00ED031C" w:rsidRDefault="0050347A">
            <w:pPr>
              <w:pStyle w:val="Text1"/>
              <w:ind w:left="0"/>
              <w:rPr>
                <w:noProof/>
                <w:sz w:val="20"/>
              </w:rPr>
            </w:pPr>
            <w:r>
              <w:rPr>
                <w:noProof/>
                <w:sz w:val="20"/>
              </w:rPr>
              <w:t>AT, BE,</w:t>
            </w:r>
            <w:r>
              <w:rPr>
                <w:noProof/>
                <w:sz w:val="20"/>
              </w:rPr>
              <w:t xml:space="preserve"> CZ, DE, DK, EE, FI, IE, LT, LU, NL, PL, PT, SE</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Jintroduċu u/jew iżidu gradwalment it-taxxi fuq il-landfills sabiex jeliminaw b’mod gradwali r-rimi f’landfills ta’ skart riċiklabbli u rekuperabbli. Jarmonizzaw it-taxxi reġjonali fuq il-landfills. Jinkanal</w:t>
            </w:r>
            <w:r>
              <w:rPr>
                <w:noProof/>
                <w:sz w:val="20"/>
              </w:rPr>
              <w:t>aw id-dħul lejn miżuri sabiex jittejjeb l-immaniġġjar tal-iskart f’konformità mal-ġerarkija tal-iskart.</w:t>
            </w:r>
          </w:p>
        </w:tc>
        <w:tc>
          <w:tcPr>
            <w:tcW w:w="2357" w:type="dxa"/>
            <w:shd w:val="clear" w:color="auto" w:fill="auto"/>
            <w:vAlign w:val="center"/>
          </w:tcPr>
          <w:p w:rsidR="00ED031C" w:rsidRDefault="0050347A">
            <w:pPr>
              <w:pStyle w:val="Text1"/>
              <w:ind w:left="0"/>
              <w:rPr>
                <w:noProof/>
                <w:sz w:val="20"/>
              </w:rPr>
            </w:pPr>
            <w:r>
              <w:rPr>
                <w:noProof/>
                <w:sz w:val="20"/>
              </w:rPr>
              <w:t>CY, CZ, EL, ES, HR, HU, IT, LT, LV, MT, RO, SI, SK, UK</w:t>
            </w:r>
          </w:p>
        </w:tc>
      </w:tr>
      <w:tr w:rsidR="00ED031C">
        <w:tc>
          <w:tcPr>
            <w:tcW w:w="7111" w:type="dxa"/>
            <w:shd w:val="clear" w:color="auto" w:fill="auto"/>
            <w:vAlign w:val="center"/>
          </w:tcPr>
          <w:p w:rsidR="00ED031C" w:rsidRDefault="0050347A">
            <w:pPr>
              <w:pStyle w:val="ListParagraph"/>
              <w:numPr>
                <w:ilvl w:val="0"/>
                <w:numId w:val="2"/>
              </w:numPr>
              <w:rPr>
                <w:noProof/>
                <w:sz w:val="20"/>
              </w:rPr>
            </w:pPr>
            <w:r>
              <w:rPr>
                <w:noProof/>
                <w:sz w:val="20"/>
              </w:rPr>
              <w:t xml:space="preserve">Jiffukaw fuq l-implimentazzjoni tal-obbligu ta’ ġbir separat sabiex iżidu r-rati ta’ riċiklaġġ, </w:t>
            </w:r>
            <w:r>
              <w:rPr>
                <w:noProof/>
                <w:sz w:val="20"/>
              </w:rPr>
              <w:t>inkluż il-ġbir tal-bijoskart. Jiżviluppaw u jimplimentaw standards minimi ta’ servizz u/jew programmi ta’ appoġġ għall-muniċipalitajiet.</w:t>
            </w:r>
          </w:p>
        </w:tc>
        <w:tc>
          <w:tcPr>
            <w:tcW w:w="2357" w:type="dxa"/>
            <w:shd w:val="clear" w:color="auto" w:fill="auto"/>
            <w:vAlign w:val="center"/>
          </w:tcPr>
          <w:p w:rsidR="00ED031C" w:rsidRDefault="0050347A">
            <w:pPr>
              <w:spacing w:after="120"/>
              <w:jc w:val="both"/>
              <w:rPr>
                <w:noProof/>
              </w:rPr>
            </w:pPr>
            <w:r>
              <w:rPr>
                <w:noProof/>
              </w:rPr>
              <w:t>BG, CY, CZ, EE, EL, ES, FI, FR, HR, HU, IE, IT, LT, LV, MT, PL, PT, RO, SI, SK, UK</w:t>
            </w:r>
          </w:p>
        </w:tc>
      </w:tr>
      <w:tr w:rsidR="00ED031C">
        <w:tc>
          <w:tcPr>
            <w:tcW w:w="7111" w:type="dxa"/>
            <w:shd w:val="clear" w:color="auto" w:fill="auto"/>
            <w:vAlign w:val="center"/>
          </w:tcPr>
          <w:p w:rsidR="00ED031C" w:rsidRDefault="0050347A">
            <w:pPr>
              <w:pStyle w:val="ListParagraph"/>
              <w:numPr>
                <w:ilvl w:val="0"/>
                <w:numId w:val="2"/>
              </w:numPr>
              <w:rPr>
                <w:noProof/>
                <w:sz w:val="20"/>
              </w:rPr>
            </w:pPr>
            <w:r>
              <w:rPr>
                <w:noProof/>
                <w:sz w:val="20"/>
              </w:rPr>
              <w:t>Ilestu u/jew jaġġornaw il-pjan(ijie</w:t>
            </w:r>
            <w:r>
              <w:rPr>
                <w:noProof/>
                <w:sz w:val="20"/>
              </w:rPr>
              <w:t>t) għall-immaniġġjar tal-iskart u/jew il-programm(i) għall-prevenzjoni tal-iskart.</w:t>
            </w:r>
          </w:p>
        </w:tc>
        <w:tc>
          <w:tcPr>
            <w:tcW w:w="2357" w:type="dxa"/>
            <w:shd w:val="clear" w:color="auto" w:fill="auto"/>
            <w:vAlign w:val="center"/>
          </w:tcPr>
          <w:p w:rsidR="00ED031C" w:rsidRDefault="0050347A">
            <w:pPr>
              <w:pStyle w:val="Text1"/>
              <w:ind w:left="0"/>
              <w:rPr>
                <w:noProof/>
                <w:sz w:val="20"/>
              </w:rPr>
            </w:pPr>
            <w:r>
              <w:rPr>
                <w:noProof/>
                <w:sz w:val="20"/>
              </w:rPr>
              <w:t>ES, FR</w:t>
            </w:r>
          </w:p>
        </w:tc>
      </w:tr>
      <w:tr w:rsidR="00ED031C">
        <w:tc>
          <w:tcPr>
            <w:tcW w:w="7111" w:type="dxa"/>
            <w:shd w:val="clear" w:color="auto" w:fill="auto"/>
            <w:vAlign w:val="center"/>
          </w:tcPr>
          <w:p w:rsidR="00ED031C" w:rsidRDefault="0050347A">
            <w:pPr>
              <w:pStyle w:val="ListParagraph"/>
              <w:numPr>
                <w:ilvl w:val="0"/>
                <w:numId w:val="2"/>
              </w:numPr>
              <w:rPr>
                <w:noProof/>
                <w:sz w:val="20"/>
              </w:rPr>
            </w:pPr>
            <w:r>
              <w:rPr>
                <w:noProof/>
                <w:sz w:val="20"/>
              </w:rPr>
              <w:t xml:space="preserve">Jagħlqu u jirriabilitaw il-landfills mhux konformi bħala kwistjoni ta’ prijorità. </w:t>
            </w:r>
          </w:p>
        </w:tc>
        <w:tc>
          <w:tcPr>
            <w:tcW w:w="2357" w:type="dxa"/>
            <w:shd w:val="clear" w:color="auto" w:fill="auto"/>
            <w:vAlign w:val="center"/>
          </w:tcPr>
          <w:p w:rsidR="00ED031C" w:rsidRDefault="0050347A">
            <w:pPr>
              <w:pStyle w:val="Text1"/>
              <w:ind w:left="0"/>
              <w:rPr>
                <w:noProof/>
                <w:sz w:val="20"/>
              </w:rPr>
            </w:pPr>
            <w:r>
              <w:rPr>
                <w:noProof/>
                <w:sz w:val="20"/>
              </w:rPr>
              <w:t>BG, CY, EL, ES, IT, PL, RO, SI, SK</w:t>
            </w:r>
          </w:p>
        </w:tc>
      </w:tr>
      <w:tr w:rsidR="00ED031C">
        <w:tc>
          <w:tcPr>
            <w:tcW w:w="7111" w:type="dxa"/>
            <w:shd w:val="clear" w:color="auto" w:fill="auto"/>
            <w:vAlign w:val="center"/>
          </w:tcPr>
          <w:p w:rsidR="00ED031C" w:rsidRDefault="0050347A">
            <w:pPr>
              <w:pStyle w:val="ListParagraph"/>
              <w:numPr>
                <w:ilvl w:val="0"/>
                <w:numId w:val="2"/>
              </w:numPr>
              <w:rPr>
                <w:noProof/>
                <w:sz w:val="20"/>
              </w:rPr>
            </w:pPr>
            <w:r>
              <w:rPr>
                <w:noProof/>
                <w:sz w:val="20"/>
              </w:rPr>
              <w:t xml:space="preserve">Jevitaw il-bini ta’ kapaċità infrastrutturali </w:t>
            </w:r>
            <w:r>
              <w:rPr>
                <w:noProof/>
                <w:sz w:val="20"/>
              </w:rPr>
              <w:t>eċċessiva għat-trattament tal-iskart residwu, bħal impjanti tat-trattament bijoloġiku mekkaniċi, inċineraturi u landfills</w:t>
            </w:r>
          </w:p>
        </w:tc>
        <w:tc>
          <w:tcPr>
            <w:tcW w:w="2357" w:type="dxa"/>
            <w:shd w:val="clear" w:color="auto" w:fill="auto"/>
            <w:vAlign w:val="center"/>
          </w:tcPr>
          <w:p w:rsidR="00ED031C" w:rsidRDefault="0050347A">
            <w:pPr>
              <w:pStyle w:val="Text1"/>
              <w:ind w:left="0"/>
              <w:rPr>
                <w:noProof/>
                <w:sz w:val="20"/>
              </w:rPr>
            </w:pPr>
            <w:r>
              <w:rPr>
                <w:noProof/>
                <w:sz w:val="20"/>
              </w:rPr>
              <w:t>CZ, EL, LT, PL, SK</w:t>
            </w:r>
          </w:p>
        </w:tc>
      </w:tr>
      <w:tr w:rsidR="00ED031C">
        <w:tc>
          <w:tcPr>
            <w:tcW w:w="7111" w:type="dxa"/>
            <w:shd w:val="clear" w:color="auto" w:fill="auto"/>
            <w:vAlign w:val="center"/>
          </w:tcPr>
          <w:p w:rsidR="00ED031C" w:rsidRDefault="0050347A">
            <w:pPr>
              <w:pStyle w:val="ListParagraph"/>
              <w:numPr>
                <w:ilvl w:val="0"/>
                <w:numId w:val="2"/>
              </w:numPr>
              <w:rPr>
                <w:noProof/>
                <w:sz w:val="20"/>
              </w:rPr>
            </w:pPr>
            <w:r>
              <w:rPr>
                <w:noProof/>
                <w:sz w:val="20"/>
              </w:rPr>
              <w:t xml:space="preserve">Jiżguraw li l-istatistika dwar l-iskart tkun kompatibbli mal-linji gwida tal-Eurostat. Jipprovdu </w:t>
            </w:r>
            <w:r>
              <w:rPr>
                <w:i/>
                <w:noProof/>
                <w:sz w:val="20"/>
              </w:rPr>
              <w:t>data</w:t>
            </w:r>
            <w:r>
              <w:rPr>
                <w:noProof/>
                <w:sz w:val="20"/>
              </w:rPr>
              <w:t xml:space="preserve"> f’waqtha dwa</w:t>
            </w:r>
            <w:r>
              <w:rPr>
                <w:noProof/>
                <w:sz w:val="20"/>
              </w:rPr>
              <w:t>r l-immaniġġjar tal-iskart u jtejbu l-konsistenza tagħha.</w:t>
            </w:r>
          </w:p>
        </w:tc>
        <w:tc>
          <w:tcPr>
            <w:tcW w:w="2357" w:type="dxa"/>
            <w:shd w:val="clear" w:color="auto" w:fill="auto"/>
            <w:vAlign w:val="center"/>
          </w:tcPr>
          <w:p w:rsidR="00ED031C" w:rsidRDefault="0050347A">
            <w:pPr>
              <w:pStyle w:val="Text1"/>
              <w:ind w:left="0"/>
              <w:rPr>
                <w:noProof/>
                <w:sz w:val="20"/>
              </w:rPr>
            </w:pPr>
            <w:r>
              <w:rPr>
                <w:noProof/>
                <w:sz w:val="20"/>
              </w:rPr>
              <w:t>CZ, IE, SI</w:t>
            </w:r>
          </w:p>
        </w:tc>
      </w:tr>
      <w:tr w:rsidR="00ED031C">
        <w:tc>
          <w:tcPr>
            <w:tcW w:w="9468" w:type="dxa"/>
            <w:gridSpan w:val="2"/>
            <w:shd w:val="clear" w:color="auto" w:fill="C6D9F1" w:themeFill="text2" w:themeFillTint="33"/>
            <w:vAlign w:val="center"/>
          </w:tcPr>
          <w:p w:rsidR="00ED031C" w:rsidRDefault="0050347A">
            <w:pPr>
              <w:pStyle w:val="Text1"/>
              <w:pageBreakBefore/>
              <w:spacing w:after="0"/>
              <w:ind w:left="0"/>
              <w:rPr>
                <w:b/>
                <w:noProof/>
                <w:sz w:val="20"/>
              </w:rPr>
            </w:pPr>
            <w:bookmarkStart w:id="2" w:name="_Toc433296160"/>
            <w:bookmarkStart w:id="3" w:name="_Toc439678149"/>
            <w:r>
              <w:rPr>
                <w:b/>
                <w:noProof/>
                <w:sz w:val="20"/>
              </w:rPr>
              <w:t>Natura u bijodiversità</w:t>
            </w:r>
            <w:bookmarkEnd w:id="2"/>
            <w:bookmarkEnd w:id="3"/>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 xml:space="preserve">Ilestu l-proċess ta’ deżinjazzjoni tas-siti Natura 2000, inkluż fil-parti marina, u/jew jistabbilixxu objettivi definiti b’mod ċar ta’ konservazzjoni u l-miżuri </w:t>
            </w:r>
            <w:r>
              <w:rPr>
                <w:noProof/>
                <w:sz w:val="20"/>
              </w:rPr>
              <w:t>ta’ konservazzjoni neċessarji għas-siti Natura 2000 kollha, idealment fil-qafas tal-pjanijiet ta’ ġestjoni tas-siti jew strumenti ekwivalenti.</w:t>
            </w:r>
          </w:p>
        </w:tc>
        <w:tc>
          <w:tcPr>
            <w:tcW w:w="2357" w:type="dxa"/>
            <w:shd w:val="clear" w:color="auto" w:fill="auto"/>
            <w:vAlign w:val="center"/>
          </w:tcPr>
          <w:p w:rsidR="00ED031C" w:rsidRDefault="0050347A">
            <w:pPr>
              <w:pStyle w:val="Text1"/>
              <w:ind w:left="0"/>
              <w:rPr>
                <w:noProof/>
                <w:sz w:val="20"/>
              </w:rPr>
            </w:pPr>
            <w:r>
              <w:rPr>
                <w:noProof/>
                <w:sz w:val="20"/>
              </w:rPr>
              <w:t>AT, BE, BG, CY, CZ, DE, DK, EE, EL, ES, FI, HR, HU, IE, IT, LT, LV, MT, NL, PL, PT, RO, SE, SI, SK, UK</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 xml:space="preserve">Jiżguraw </w:t>
            </w:r>
            <w:r>
              <w:rPr>
                <w:noProof/>
                <w:sz w:val="20"/>
              </w:rPr>
              <w:t xml:space="preserve">li l-pjanijiet ta’ ġestjoni ta’ Natura 2000 ikunu qed jiġu implimentati b’mod effettiv, b’kapaċità amministrattiva u b’finanzjament suffiċjenti. </w:t>
            </w:r>
          </w:p>
        </w:tc>
        <w:tc>
          <w:tcPr>
            <w:tcW w:w="2357" w:type="dxa"/>
            <w:shd w:val="clear" w:color="auto" w:fill="auto"/>
            <w:vAlign w:val="center"/>
          </w:tcPr>
          <w:p w:rsidR="00ED031C" w:rsidRDefault="0050347A">
            <w:pPr>
              <w:pStyle w:val="Text1"/>
              <w:ind w:left="0"/>
              <w:rPr>
                <w:noProof/>
                <w:sz w:val="20"/>
              </w:rPr>
            </w:pPr>
            <w:r>
              <w:rPr>
                <w:noProof/>
                <w:sz w:val="20"/>
              </w:rPr>
              <w:t xml:space="preserve">BG, EE, ES, EL, FR, HR, HU, IE, IT, LT, LU, MT, RO, SI, SK </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Jiżviluppaw u jippromwovu approċċi ta’ implimenta</w:t>
            </w:r>
            <w:r>
              <w:rPr>
                <w:noProof/>
                <w:sz w:val="20"/>
              </w:rPr>
              <w:t>zzjoni intelliġenti u simplifikati, b’mod partikolari għal proċeduri xierqa ta’ valutazzjoni u proċeduri li jagħtu permessi għal speċijiet, billi jiżguraw l-għarfien neċessarju u d-disponibbiltà tad-</w:t>
            </w:r>
            <w:r>
              <w:rPr>
                <w:i/>
                <w:noProof/>
                <w:sz w:val="20"/>
              </w:rPr>
              <w:t>data</w:t>
            </w:r>
            <w:r>
              <w:rPr>
                <w:noProof/>
                <w:sz w:val="20"/>
              </w:rPr>
              <w:t xml:space="preserve"> u jsaħħu l-komunikazzjoni mal-partijiet ikkonċernati</w:t>
            </w:r>
            <w:r>
              <w:rPr>
                <w:noProof/>
                <w:sz w:val="20"/>
              </w:rPr>
              <w:t xml:space="preserve">. </w:t>
            </w:r>
          </w:p>
        </w:tc>
        <w:tc>
          <w:tcPr>
            <w:tcW w:w="2357" w:type="dxa"/>
            <w:shd w:val="clear" w:color="auto" w:fill="auto"/>
            <w:vAlign w:val="center"/>
          </w:tcPr>
          <w:p w:rsidR="00ED031C" w:rsidRDefault="0050347A">
            <w:pPr>
              <w:pStyle w:val="Text1"/>
              <w:ind w:left="0"/>
              <w:rPr>
                <w:noProof/>
                <w:sz w:val="20"/>
              </w:rPr>
            </w:pPr>
            <w:r>
              <w:rPr>
                <w:noProof/>
                <w:sz w:val="20"/>
              </w:rPr>
              <w:t>BG, CY, EE, EL, HU, IT, LT, PT, RO, SI</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Jiżguraw l-infurzar xieraq tal-projbizzjonijiet tal-kaċċa u/jew tal-insib għal speċijiet ta’ għasafar protetti.</w:t>
            </w:r>
          </w:p>
        </w:tc>
        <w:tc>
          <w:tcPr>
            <w:tcW w:w="2357" w:type="dxa"/>
            <w:shd w:val="clear" w:color="auto" w:fill="auto"/>
            <w:vAlign w:val="center"/>
          </w:tcPr>
          <w:p w:rsidR="00ED031C" w:rsidRDefault="0050347A">
            <w:pPr>
              <w:pStyle w:val="Text1"/>
              <w:ind w:left="0"/>
              <w:rPr>
                <w:noProof/>
                <w:sz w:val="20"/>
              </w:rPr>
            </w:pPr>
            <w:r>
              <w:rPr>
                <w:noProof/>
                <w:sz w:val="20"/>
              </w:rPr>
              <w:t>CY, ES, IT, MT</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 xml:space="preserve">Jintegraw aħjar il-kwistjonijiet relatati mal-bijodiversità f’politiki oħrajn (b’mod </w:t>
            </w:r>
            <w:r>
              <w:rPr>
                <w:noProof/>
                <w:sz w:val="20"/>
              </w:rPr>
              <w:t>partikolari fl-agrikultura, iżda wkoll fis-sajd, fl-ippjanar urban u infrastrutturali u fit-turiżmu sostenibbli) u jippromwovu komunikazzjoni aħjar bejn l-atturi. Fejn rilevanti, jevitaw frammentazzjoni ulterjuri tal-ħabitats u jieħdu miżuri sabiex jirrest</w:t>
            </w:r>
            <w:r>
              <w:rPr>
                <w:noProof/>
                <w:sz w:val="20"/>
              </w:rPr>
              <w:t>awraw il-konnettività.</w:t>
            </w:r>
          </w:p>
        </w:tc>
        <w:tc>
          <w:tcPr>
            <w:tcW w:w="2357" w:type="dxa"/>
            <w:shd w:val="clear" w:color="auto" w:fill="auto"/>
            <w:vAlign w:val="center"/>
          </w:tcPr>
          <w:p w:rsidR="00ED031C" w:rsidRDefault="0050347A">
            <w:pPr>
              <w:pStyle w:val="Text1"/>
              <w:ind w:left="0"/>
              <w:rPr>
                <w:noProof/>
                <w:sz w:val="20"/>
              </w:rPr>
            </w:pPr>
            <w:r>
              <w:rPr>
                <w:noProof/>
                <w:sz w:val="20"/>
              </w:rPr>
              <w:t>CZ, DE, DK, EL, ES, FI, FR, HR, LU, NL, PT, SK</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 xml:space="preserve">Itejbu l-inċentivi għall-forestiera u għall-bdiewa biex jipproteġu aħjar il-ħabitat tal-foresti u tal-bwar. Jiżguraw ġestjoni sostenibbli tal-foresti u jippromwovu l-użu effiċjenti </w:t>
            </w:r>
            <w:r>
              <w:rPr>
                <w:noProof/>
                <w:sz w:val="20"/>
              </w:rPr>
              <w:t>tal-bijomassa.</w:t>
            </w:r>
          </w:p>
        </w:tc>
        <w:tc>
          <w:tcPr>
            <w:tcW w:w="2357" w:type="dxa"/>
            <w:shd w:val="clear" w:color="auto" w:fill="auto"/>
            <w:vAlign w:val="center"/>
          </w:tcPr>
          <w:p w:rsidR="00ED031C" w:rsidRDefault="0050347A">
            <w:pPr>
              <w:pStyle w:val="Text1"/>
              <w:ind w:left="0"/>
              <w:rPr>
                <w:noProof/>
                <w:sz w:val="20"/>
              </w:rPr>
            </w:pPr>
            <w:r>
              <w:rPr>
                <w:noProof/>
                <w:sz w:val="20"/>
              </w:rPr>
              <w:t>FI, LT, LV, PL, SE, SK</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 xml:space="preserve">Ikomplu jappoġġaw il-ħidma li qed issir għal sħubija sostenibbli għall-protezzjoni tal-bijodiversità, għall-iżvilupp sostenibbli u għall-adattament għat-tibdil fil-klima u għall-miżuri ta’ mitigazzjoni f’xi wħud </w:t>
            </w:r>
            <w:r>
              <w:rPr>
                <w:noProof/>
                <w:sz w:val="20"/>
              </w:rPr>
              <w:t>mir-Reġjuni Ultraperiferiċi u f’Pajjiżi u Territorji extra-Ewropej.</w:t>
            </w:r>
          </w:p>
        </w:tc>
        <w:tc>
          <w:tcPr>
            <w:tcW w:w="2357" w:type="dxa"/>
            <w:shd w:val="clear" w:color="auto" w:fill="auto"/>
            <w:vAlign w:val="center"/>
          </w:tcPr>
          <w:p w:rsidR="00ED031C" w:rsidRDefault="0050347A">
            <w:pPr>
              <w:pStyle w:val="Text1"/>
              <w:ind w:left="0"/>
              <w:rPr>
                <w:noProof/>
                <w:sz w:val="20"/>
              </w:rPr>
            </w:pPr>
            <w:r>
              <w:rPr>
                <w:noProof/>
                <w:sz w:val="20"/>
              </w:rPr>
              <w:t>FR, UK</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Ikomplu jappoġġjaw l-immappjar u l-valutazzjoni tal-ekosistemi u tas-servizzi tagħhom, l-evalwazzjoni u l-iżvilupp ta’ sistemi kontabilistiċi tal-kapital naturali.</w:t>
            </w:r>
          </w:p>
        </w:tc>
        <w:tc>
          <w:tcPr>
            <w:tcW w:w="2357" w:type="dxa"/>
            <w:shd w:val="clear" w:color="auto" w:fill="auto"/>
            <w:vAlign w:val="center"/>
          </w:tcPr>
          <w:p w:rsidR="00ED031C" w:rsidRDefault="0050347A">
            <w:pPr>
              <w:pStyle w:val="Text1"/>
              <w:ind w:left="0"/>
              <w:rPr>
                <w:noProof/>
                <w:sz w:val="20"/>
              </w:rPr>
            </w:pPr>
            <w:r>
              <w:rPr>
                <w:noProof/>
                <w:sz w:val="20"/>
              </w:rPr>
              <w:t xml:space="preserve">AT, BE, CZ, DK, </w:t>
            </w:r>
            <w:r>
              <w:rPr>
                <w:noProof/>
                <w:sz w:val="20"/>
              </w:rPr>
              <w:t>EE, HU, PT, SE, SK</w:t>
            </w:r>
          </w:p>
        </w:tc>
      </w:tr>
      <w:tr w:rsidR="00ED031C">
        <w:tc>
          <w:tcPr>
            <w:tcW w:w="9468" w:type="dxa"/>
            <w:gridSpan w:val="2"/>
            <w:shd w:val="clear" w:color="auto" w:fill="B8CCE4" w:themeFill="accent1" w:themeFillTint="66"/>
            <w:vAlign w:val="center"/>
          </w:tcPr>
          <w:p w:rsidR="00ED031C" w:rsidRDefault="0050347A">
            <w:pPr>
              <w:pStyle w:val="Text1"/>
              <w:spacing w:after="0"/>
              <w:ind w:left="0"/>
              <w:rPr>
                <w:b/>
                <w:noProof/>
                <w:sz w:val="20"/>
              </w:rPr>
            </w:pPr>
            <w:r>
              <w:rPr>
                <w:b/>
                <w:noProof/>
                <w:sz w:val="20"/>
              </w:rPr>
              <w:t>Speċijiet aljeni invażivi</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 xml:space="preserve">Jadottaw leġiżlazzjoni nazzjonali biex jikkonformaw mal-obbligi mitluba mir-Regolament dwar l-Ispeċijiet Aljeni Invażivi u jinnotifikaw lill-Kummissjoni f’dan ir-rigward. Jipprovdu </w:t>
            </w:r>
            <w:r>
              <w:rPr>
                <w:i/>
                <w:noProof/>
                <w:sz w:val="20"/>
              </w:rPr>
              <w:t>data</w:t>
            </w:r>
            <w:r>
              <w:rPr>
                <w:noProof/>
                <w:sz w:val="20"/>
              </w:rPr>
              <w:t xml:space="preserve"> adegwata. </w:t>
            </w:r>
          </w:p>
        </w:tc>
        <w:tc>
          <w:tcPr>
            <w:tcW w:w="2357" w:type="dxa"/>
            <w:shd w:val="clear" w:color="auto" w:fill="auto"/>
            <w:vAlign w:val="center"/>
          </w:tcPr>
          <w:p w:rsidR="00ED031C" w:rsidRDefault="0050347A">
            <w:pPr>
              <w:pStyle w:val="Text1"/>
              <w:ind w:left="0"/>
              <w:rPr>
                <w:noProof/>
                <w:sz w:val="20"/>
              </w:rPr>
            </w:pPr>
            <w:r>
              <w:rPr>
                <w:noProof/>
                <w:sz w:val="20"/>
              </w:rPr>
              <w:t xml:space="preserve">AT, BE, CZ, </w:t>
            </w:r>
            <w:r>
              <w:rPr>
                <w:noProof/>
                <w:sz w:val="20"/>
              </w:rPr>
              <w:t>EL, IE, PT, RO, SE, SK, UK</w:t>
            </w:r>
          </w:p>
        </w:tc>
      </w:tr>
      <w:tr w:rsidR="00ED031C">
        <w:trPr>
          <w:trHeight w:val="978"/>
        </w:trPr>
        <w:tc>
          <w:tcPr>
            <w:tcW w:w="7111" w:type="dxa"/>
            <w:shd w:val="clear" w:color="auto" w:fill="auto"/>
            <w:vAlign w:val="center"/>
          </w:tcPr>
          <w:p w:rsidR="00ED031C" w:rsidRDefault="0050347A">
            <w:pPr>
              <w:pStyle w:val="Text1"/>
              <w:numPr>
                <w:ilvl w:val="0"/>
                <w:numId w:val="2"/>
              </w:numPr>
              <w:rPr>
                <w:noProof/>
                <w:sz w:val="20"/>
              </w:rPr>
            </w:pPr>
            <w:r>
              <w:rPr>
                <w:noProof/>
                <w:sz w:val="20"/>
              </w:rPr>
              <w:t xml:space="preserve">Jinnotifikaw il-lista ta’ speċijiet aljeni invażivi u/jew il-miżuri ppjanati ta’ eradikazzjoni fil-pajjiż. Jintroduċu miżuri meta ma jkunux jeżistu. Fejn applikabbli, jinvestigaw in-nuqqas apparenti ta’ </w:t>
            </w:r>
            <w:r>
              <w:rPr>
                <w:i/>
                <w:noProof/>
                <w:sz w:val="20"/>
              </w:rPr>
              <w:t>data</w:t>
            </w:r>
            <w:r>
              <w:rPr>
                <w:noProof/>
                <w:sz w:val="20"/>
              </w:rPr>
              <w:t xml:space="preserve"> u jfittxu modi biex </w:t>
            </w:r>
            <w:r>
              <w:rPr>
                <w:noProof/>
                <w:sz w:val="20"/>
              </w:rPr>
              <w:t>itejbu s-sistema ta’ sorveljanza.</w:t>
            </w:r>
          </w:p>
        </w:tc>
        <w:tc>
          <w:tcPr>
            <w:tcW w:w="2357" w:type="dxa"/>
            <w:shd w:val="clear" w:color="auto" w:fill="auto"/>
            <w:vAlign w:val="center"/>
          </w:tcPr>
          <w:p w:rsidR="00ED031C" w:rsidRDefault="0050347A">
            <w:pPr>
              <w:pStyle w:val="Text1"/>
              <w:spacing w:after="0"/>
              <w:ind w:left="0"/>
              <w:rPr>
                <w:noProof/>
                <w:sz w:val="20"/>
              </w:rPr>
            </w:pPr>
            <w:r>
              <w:rPr>
                <w:noProof/>
                <w:sz w:val="20"/>
              </w:rPr>
              <w:t>CZ, DE, DK, EL, ES, FR, HU, PT</w:t>
            </w:r>
          </w:p>
        </w:tc>
      </w:tr>
      <w:tr w:rsidR="00ED031C">
        <w:trPr>
          <w:cantSplit/>
        </w:trPr>
        <w:tc>
          <w:tcPr>
            <w:tcW w:w="9468" w:type="dxa"/>
            <w:gridSpan w:val="2"/>
            <w:shd w:val="clear" w:color="auto" w:fill="C6D9F1" w:themeFill="text2" w:themeFillTint="33"/>
            <w:vAlign w:val="center"/>
          </w:tcPr>
          <w:p w:rsidR="00ED031C" w:rsidRDefault="0050347A">
            <w:pPr>
              <w:pStyle w:val="Text1"/>
              <w:keepLines/>
              <w:spacing w:after="0"/>
              <w:ind w:left="0"/>
              <w:rPr>
                <w:b/>
                <w:noProof/>
                <w:sz w:val="20"/>
              </w:rPr>
            </w:pPr>
            <w:r>
              <w:rPr>
                <w:b/>
                <w:noProof/>
                <w:sz w:val="20"/>
              </w:rPr>
              <w:t>Protezzjoni tal-baħar</w:t>
            </w:r>
            <w:r>
              <w:rPr>
                <w:b/>
                <w:noProof/>
                <w:sz w:val="20"/>
              </w:rPr>
              <w:footnoteReference w:id="3"/>
            </w:r>
          </w:p>
        </w:tc>
      </w:tr>
      <w:tr w:rsidR="00ED031C">
        <w:tc>
          <w:tcPr>
            <w:tcW w:w="7111" w:type="dxa"/>
            <w:vAlign w:val="center"/>
          </w:tcPr>
          <w:p w:rsidR="00ED031C" w:rsidRDefault="0050347A">
            <w:pPr>
              <w:pStyle w:val="ListParagraph"/>
              <w:keepLines/>
              <w:widowControl w:val="0"/>
              <w:numPr>
                <w:ilvl w:val="0"/>
                <w:numId w:val="2"/>
              </w:numPr>
              <w:rPr>
                <w:noProof/>
                <w:sz w:val="20"/>
              </w:rPr>
            </w:pPr>
            <w:r>
              <w:rPr>
                <w:noProof/>
                <w:sz w:val="20"/>
              </w:rPr>
              <w:t>Jiżguraw li r-rappurtar f’waqtu tal-elementi differenti skont id-Direttiva Kwadru dwar l-Istrateġija Marina jkun parti mill-valutazzjonijiet futuri tal-Kummissjoni.</w:t>
            </w:r>
          </w:p>
        </w:tc>
        <w:tc>
          <w:tcPr>
            <w:tcW w:w="2357" w:type="dxa"/>
            <w:shd w:val="clear" w:color="auto" w:fill="auto"/>
            <w:vAlign w:val="center"/>
          </w:tcPr>
          <w:p w:rsidR="00ED031C" w:rsidRDefault="0050347A">
            <w:pPr>
              <w:pStyle w:val="Text1"/>
              <w:keepLines/>
              <w:ind w:left="0"/>
              <w:rPr>
                <w:noProof/>
                <w:sz w:val="20"/>
              </w:rPr>
            </w:pPr>
            <w:r>
              <w:rPr>
                <w:noProof/>
                <w:sz w:val="20"/>
              </w:rPr>
              <w:t>DK, EE, EL, HR, LT, RO, SI</w:t>
            </w:r>
          </w:p>
        </w:tc>
      </w:tr>
      <w:tr w:rsidR="00ED031C">
        <w:trPr>
          <w:cantSplit/>
        </w:trPr>
        <w:tc>
          <w:tcPr>
            <w:tcW w:w="7111" w:type="dxa"/>
            <w:vAlign w:val="center"/>
          </w:tcPr>
          <w:p w:rsidR="00ED031C" w:rsidRDefault="0050347A">
            <w:pPr>
              <w:pStyle w:val="ListParagraph"/>
              <w:keepLines/>
              <w:widowControl w:val="0"/>
              <w:numPr>
                <w:ilvl w:val="0"/>
                <w:numId w:val="2"/>
              </w:numPr>
              <w:rPr>
                <w:noProof/>
                <w:sz w:val="20"/>
              </w:rPr>
            </w:pPr>
            <w:r>
              <w:rPr>
                <w:noProof/>
                <w:sz w:val="20"/>
              </w:rPr>
              <w:t>Jiddefinixxu l-istatus ambjentali tajjeb (GES) u/jew jiddeterminaw skedi ta’ żmien sabiex jinkiseb GES. Jistabbilixxu miri meta dawn ma jkunux jeżistu.</w:t>
            </w:r>
          </w:p>
        </w:tc>
        <w:tc>
          <w:tcPr>
            <w:tcW w:w="2357" w:type="dxa"/>
            <w:shd w:val="clear" w:color="auto" w:fill="auto"/>
            <w:vAlign w:val="center"/>
          </w:tcPr>
          <w:p w:rsidR="00ED031C" w:rsidRDefault="0050347A">
            <w:pPr>
              <w:pStyle w:val="Text1"/>
              <w:keepLines/>
              <w:ind w:left="0"/>
              <w:rPr>
                <w:noProof/>
                <w:sz w:val="20"/>
              </w:rPr>
            </w:pPr>
            <w:r>
              <w:rPr>
                <w:noProof/>
                <w:sz w:val="20"/>
              </w:rPr>
              <w:t>BG, DE, ES, FI, IE, IT, LV, MT, NL, PL, PT, SE, UK</w:t>
            </w:r>
          </w:p>
        </w:tc>
      </w:tr>
      <w:tr w:rsidR="00ED031C">
        <w:tc>
          <w:tcPr>
            <w:tcW w:w="7111" w:type="dxa"/>
            <w:vAlign w:val="center"/>
          </w:tcPr>
          <w:p w:rsidR="00ED031C" w:rsidRDefault="0050347A">
            <w:pPr>
              <w:pStyle w:val="ListParagraph"/>
              <w:widowControl w:val="0"/>
              <w:numPr>
                <w:ilvl w:val="0"/>
                <w:numId w:val="2"/>
              </w:numPr>
              <w:rPr>
                <w:noProof/>
                <w:sz w:val="20"/>
              </w:rPr>
            </w:pPr>
            <w:r>
              <w:rPr>
                <w:noProof/>
                <w:sz w:val="20"/>
              </w:rPr>
              <w:t xml:space="preserve">Jipprovdu aktar </w:t>
            </w:r>
            <w:r>
              <w:rPr>
                <w:noProof/>
                <w:sz w:val="20"/>
              </w:rPr>
              <w:t>informazzjoni dwar il-miżuri sabiex jinkiseb GES, jistabbilixxu aktar miżuri b’impatt dirett fuq il-pressjonijiet u jikkwantifikaw ir-riżultat f’termini tat-tnaqqis mistenni fil-pressjoni.</w:t>
            </w:r>
          </w:p>
        </w:tc>
        <w:tc>
          <w:tcPr>
            <w:tcW w:w="2357" w:type="dxa"/>
            <w:shd w:val="clear" w:color="auto" w:fill="auto"/>
            <w:vAlign w:val="center"/>
          </w:tcPr>
          <w:p w:rsidR="00ED031C" w:rsidRDefault="0050347A">
            <w:pPr>
              <w:pStyle w:val="Text1"/>
              <w:ind w:left="0"/>
              <w:rPr>
                <w:noProof/>
                <w:sz w:val="20"/>
              </w:rPr>
            </w:pPr>
            <w:r>
              <w:rPr>
                <w:noProof/>
                <w:sz w:val="20"/>
              </w:rPr>
              <w:t>BE, BG, CY, DE, ES, FR, IE, IT, LV, MT, NL, PL, PT, SE, UK</w:t>
            </w:r>
          </w:p>
        </w:tc>
      </w:tr>
      <w:tr w:rsidR="00ED031C">
        <w:tc>
          <w:tcPr>
            <w:tcW w:w="7111" w:type="dxa"/>
            <w:vAlign w:val="center"/>
          </w:tcPr>
          <w:p w:rsidR="00ED031C" w:rsidRDefault="0050347A">
            <w:pPr>
              <w:pStyle w:val="ListParagraph"/>
              <w:numPr>
                <w:ilvl w:val="0"/>
                <w:numId w:val="2"/>
              </w:numPr>
              <w:rPr>
                <w:noProof/>
                <w:sz w:val="20"/>
              </w:rPr>
            </w:pPr>
            <w:r>
              <w:rPr>
                <w:noProof/>
                <w:sz w:val="20"/>
              </w:rPr>
              <w:t>Jiżgura</w:t>
            </w:r>
            <w:r>
              <w:rPr>
                <w:noProof/>
                <w:sz w:val="20"/>
              </w:rPr>
              <w:t>w il-kooperazzjoni reġjonali mal-Istati Membri li jaqsmu l-istess (sotto)reġjun tal-baħar biex jindirizzaw il-pressjonijiet predominanti.</w:t>
            </w:r>
          </w:p>
        </w:tc>
        <w:tc>
          <w:tcPr>
            <w:tcW w:w="2357" w:type="dxa"/>
            <w:shd w:val="clear" w:color="auto" w:fill="auto"/>
            <w:vAlign w:val="center"/>
          </w:tcPr>
          <w:p w:rsidR="00ED031C" w:rsidRDefault="0050347A">
            <w:pPr>
              <w:spacing w:after="120"/>
              <w:jc w:val="both"/>
              <w:rPr>
                <w:noProof/>
              </w:rPr>
            </w:pPr>
            <w:r>
              <w:rPr>
                <w:noProof/>
              </w:rPr>
              <w:t>BE, BG, CY, DE, ES, FI, IE, IT, LV, PT, SE, UK</w:t>
            </w:r>
          </w:p>
        </w:tc>
      </w:tr>
    </w:tbl>
    <w:p w:rsidR="00ED031C" w:rsidRDefault="00ED031C">
      <w:pPr>
        <w:pStyle w:val="ListParagraph"/>
        <w:widowControl w:val="0"/>
        <w:numPr>
          <w:ilvl w:val="0"/>
          <w:numId w:val="2"/>
        </w:numPr>
        <w:rPr>
          <w:noProof/>
          <w:sz w:val="20"/>
        </w:rPr>
        <w:sectPr w:rsidR="00ED031C">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851" w:left="1417" w:header="709" w:footer="709" w:gutter="0"/>
          <w:pgNumType w:start="1"/>
          <w:cols w:space="720"/>
          <w:titlePg/>
          <w:docGrid w:linePitch="360"/>
        </w:sectPr>
      </w:pPr>
    </w:p>
    <w:tbl>
      <w:tblPr>
        <w:tblStyle w:val="TableGrid"/>
        <w:tblW w:w="9468" w:type="dxa"/>
        <w:tblLayout w:type="fixed"/>
        <w:tblLook w:val="04A0" w:firstRow="1" w:lastRow="0" w:firstColumn="1" w:lastColumn="0" w:noHBand="0" w:noVBand="1"/>
      </w:tblPr>
      <w:tblGrid>
        <w:gridCol w:w="7111"/>
        <w:gridCol w:w="2357"/>
      </w:tblGrid>
      <w:tr w:rsidR="00ED031C">
        <w:tc>
          <w:tcPr>
            <w:tcW w:w="7111" w:type="dxa"/>
            <w:vAlign w:val="center"/>
          </w:tcPr>
          <w:p w:rsidR="00ED031C" w:rsidRDefault="0050347A">
            <w:pPr>
              <w:pStyle w:val="ListParagraph"/>
              <w:widowControl w:val="0"/>
              <w:numPr>
                <w:ilvl w:val="0"/>
                <w:numId w:val="2"/>
              </w:numPr>
              <w:rPr>
                <w:noProof/>
                <w:sz w:val="20"/>
              </w:rPr>
            </w:pPr>
            <w:r>
              <w:rPr>
                <w:noProof/>
                <w:sz w:val="20"/>
              </w:rPr>
              <w:t>Jiżguraw li l-programm ta’ monitoraġġ tal-Istat Membru jiġi implimentat mingħajr dewmien, u jiġi rrappurtat sal-iskadenza stabbilita.</w:t>
            </w:r>
          </w:p>
        </w:tc>
        <w:tc>
          <w:tcPr>
            <w:tcW w:w="2357" w:type="dxa"/>
            <w:shd w:val="clear" w:color="auto" w:fill="auto"/>
            <w:vAlign w:val="center"/>
          </w:tcPr>
          <w:p w:rsidR="00ED031C" w:rsidRDefault="0050347A">
            <w:pPr>
              <w:pStyle w:val="Text1"/>
              <w:ind w:left="0"/>
              <w:rPr>
                <w:noProof/>
                <w:sz w:val="20"/>
              </w:rPr>
            </w:pPr>
            <w:r>
              <w:rPr>
                <w:noProof/>
                <w:sz w:val="20"/>
              </w:rPr>
              <w:t>BG, CY, ES, FR, IE, IT, LV, MT, PL, UK</w:t>
            </w:r>
          </w:p>
        </w:tc>
      </w:tr>
      <w:tr w:rsidR="00ED031C">
        <w:tc>
          <w:tcPr>
            <w:tcW w:w="9468" w:type="dxa"/>
            <w:gridSpan w:val="2"/>
            <w:shd w:val="clear" w:color="auto" w:fill="C6D9F1" w:themeFill="text2" w:themeFillTint="33"/>
            <w:vAlign w:val="center"/>
          </w:tcPr>
          <w:p w:rsidR="00ED031C" w:rsidRDefault="0050347A">
            <w:pPr>
              <w:pStyle w:val="Text1"/>
              <w:spacing w:after="0"/>
              <w:ind w:left="0"/>
              <w:rPr>
                <w:noProof/>
                <w:sz w:val="20"/>
              </w:rPr>
            </w:pPr>
            <w:bookmarkStart w:id="4" w:name="_Toc433296166"/>
            <w:bookmarkStart w:id="5" w:name="_Toc439678155"/>
            <w:r>
              <w:rPr>
                <w:b/>
                <w:noProof/>
                <w:sz w:val="20"/>
              </w:rPr>
              <w:t>Il-kwalità tal-arja</w:t>
            </w:r>
            <w:bookmarkEnd w:id="4"/>
            <w:bookmarkEnd w:id="5"/>
          </w:p>
        </w:tc>
      </w:tr>
      <w:tr w:rsidR="00ED031C">
        <w:tc>
          <w:tcPr>
            <w:tcW w:w="7111" w:type="dxa"/>
            <w:tcBorders>
              <w:right w:val="single" w:sz="4" w:space="0" w:color="auto"/>
            </w:tcBorders>
            <w:vAlign w:val="center"/>
          </w:tcPr>
          <w:p w:rsidR="00ED031C" w:rsidRDefault="0050347A">
            <w:pPr>
              <w:pStyle w:val="ListParagraph"/>
              <w:numPr>
                <w:ilvl w:val="0"/>
                <w:numId w:val="2"/>
              </w:numPr>
              <w:rPr>
                <w:rFonts w:eastAsia="Times New Roman"/>
                <w:noProof/>
                <w:sz w:val="20"/>
              </w:rPr>
            </w:pPr>
            <w:r>
              <w:rPr>
                <w:noProof/>
                <w:sz w:val="20"/>
              </w:rPr>
              <w:t xml:space="preserve">Fl-iżvilupp ta’ programmi </w:t>
            </w:r>
            <w:r>
              <w:rPr>
                <w:noProof/>
                <w:sz w:val="20"/>
              </w:rPr>
              <w:t>nazzjonali adegwati għall-kontroll tat-tniġġis tal-arja (NAPCP), jieħdu azzjonijiet sabiex inaqqsu s-sorsi prinċipali tal-emissjonijiet; u jilħqu l-istandards kollha tal-kwalità tal-arja.</w:t>
            </w:r>
          </w:p>
        </w:tc>
        <w:tc>
          <w:tcPr>
            <w:tcW w:w="2357" w:type="dxa"/>
            <w:tcBorders>
              <w:left w:val="single" w:sz="4" w:space="0" w:color="auto"/>
            </w:tcBorders>
            <w:shd w:val="clear" w:color="auto" w:fill="auto"/>
            <w:vAlign w:val="center"/>
          </w:tcPr>
          <w:p w:rsidR="00ED031C" w:rsidRDefault="0050347A">
            <w:pPr>
              <w:spacing w:after="120"/>
              <w:ind w:left="720" w:hanging="720"/>
              <w:jc w:val="both"/>
              <w:rPr>
                <w:noProof/>
              </w:rPr>
            </w:pPr>
            <w:r>
              <w:rPr>
                <w:noProof/>
              </w:rPr>
              <w:t>L-Istati Membri kollha</w:t>
            </w:r>
          </w:p>
        </w:tc>
      </w:tr>
      <w:tr w:rsidR="00ED031C">
        <w:tc>
          <w:tcPr>
            <w:tcW w:w="7111" w:type="dxa"/>
            <w:tcBorders>
              <w:right w:val="single" w:sz="4" w:space="0" w:color="auto"/>
            </w:tcBorders>
            <w:vAlign w:val="center"/>
          </w:tcPr>
          <w:p w:rsidR="00ED031C" w:rsidRDefault="0050347A">
            <w:pPr>
              <w:pStyle w:val="ListParagraph"/>
              <w:numPr>
                <w:ilvl w:val="0"/>
                <w:numId w:val="2"/>
              </w:numPr>
              <w:rPr>
                <w:rFonts w:eastAsia="Times New Roman"/>
                <w:noProof/>
                <w:sz w:val="20"/>
              </w:rPr>
            </w:pPr>
            <w:r>
              <w:rPr>
                <w:noProof/>
                <w:sz w:val="20"/>
              </w:rPr>
              <w:t xml:space="preserve">Jaċċelleraw it-tnaqqis fl-emissjonijiet u </w:t>
            </w:r>
            <w:r>
              <w:rPr>
                <w:noProof/>
                <w:sz w:val="20"/>
              </w:rPr>
              <w:t>fil-konċentrazzjonijiet ta’ materja partikolata (PM</w:t>
            </w:r>
            <w:r>
              <w:rPr>
                <w:noProof/>
                <w:sz w:val="20"/>
                <w:vertAlign w:val="subscript"/>
              </w:rPr>
              <w:t>2.5</w:t>
            </w:r>
            <w:r>
              <w:rPr>
                <w:noProof/>
                <w:sz w:val="20"/>
              </w:rPr>
              <w:t xml:space="preserve"> u PM</w:t>
            </w:r>
            <w:r>
              <w:rPr>
                <w:noProof/>
                <w:sz w:val="20"/>
                <w:vertAlign w:val="subscript"/>
              </w:rPr>
              <w:t>10</w:t>
            </w:r>
            <w:r>
              <w:rPr>
                <w:noProof/>
                <w:sz w:val="20"/>
              </w:rPr>
              <w:t>) billi jnaqqsu l-emissjonijiet mill-ġenerazzjoni tal-enerġija u mill-ġenerazzjoni tas-sħana bl-użu ta’ fjuwils solidi. Jippromwovu tisħin distrettwali effiċjenti u nadif u ambjent mibni effiċjen</w:t>
            </w:r>
            <w:r>
              <w:rPr>
                <w:noProof/>
                <w:sz w:val="20"/>
              </w:rPr>
              <w:t>ti fl-enerġija.</w:t>
            </w:r>
          </w:p>
        </w:tc>
        <w:tc>
          <w:tcPr>
            <w:tcW w:w="2357" w:type="dxa"/>
            <w:tcBorders>
              <w:left w:val="single" w:sz="4" w:space="0" w:color="auto"/>
            </w:tcBorders>
            <w:shd w:val="clear" w:color="auto" w:fill="auto"/>
            <w:vAlign w:val="center"/>
          </w:tcPr>
          <w:p w:rsidR="00ED031C" w:rsidRDefault="0050347A">
            <w:pPr>
              <w:spacing w:after="120"/>
              <w:jc w:val="both"/>
              <w:rPr>
                <w:noProof/>
              </w:rPr>
            </w:pPr>
            <w:r>
              <w:rPr>
                <w:noProof/>
              </w:rPr>
              <w:t xml:space="preserve">AT, BG, CZ, DE, EL, ES, FR, HR, HU, IT, PL, RO, SE, SI, SK </w:t>
            </w:r>
          </w:p>
        </w:tc>
      </w:tr>
      <w:tr w:rsidR="00ED031C">
        <w:tc>
          <w:tcPr>
            <w:tcW w:w="7111" w:type="dxa"/>
            <w:tcBorders>
              <w:right w:val="single" w:sz="4" w:space="0" w:color="auto"/>
            </w:tcBorders>
            <w:vAlign w:val="center"/>
          </w:tcPr>
          <w:p w:rsidR="00ED031C" w:rsidRDefault="0050347A">
            <w:pPr>
              <w:pStyle w:val="ListParagraph"/>
              <w:numPr>
                <w:ilvl w:val="0"/>
                <w:numId w:val="2"/>
              </w:numPr>
              <w:rPr>
                <w:noProof/>
                <w:sz w:val="20"/>
              </w:rPr>
            </w:pPr>
            <w:r>
              <w:rPr>
                <w:noProof/>
                <w:sz w:val="20"/>
              </w:rPr>
              <w:t>Inaqqsu l-użu tal-faħam għat-tisħin domestiku sabiex jillimitaw l-emissjonijiet tas-sustanzi li jniġġsu l-arja, pereżempju billi jibnu fuq l-inizjattiva “Reġjuni tal-faħam fi tran</w:t>
            </w:r>
            <w:r>
              <w:rPr>
                <w:noProof/>
                <w:sz w:val="20"/>
              </w:rPr>
              <w:t>żizzjoni”.</w:t>
            </w:r>
          </w:p>
        </w:tc>
        <w:tc>
          <w:tcPr>
            <w:tcW w:w="2357" w:type="dxa"/>
            <w:tcBorders>
              <w:left w:val="single" w:sz="4" w:space="0" w:color="auto"/>
            </w:tcBorders>
            <w:shd w:val="clear" w:color="auto" w:fill="auto"/>
            <w:vAlign w:val="center"/>
          </w:tcPr>
          <w:p w:rsidR="00ED031C" w:rsidRDefault="0050347A">
            <w:pPr>
              <w:spacing w:after="120"/>
              <w:jc w:val="both"/>
              <w:rPr>
                <w:noProof/>
              </w:rPr>
            </w:pPr>
            <w:r>
              <w:rPr>
                <w:noProof/>
              </w:rPr>
              <w:t>BG, CZ, EL, HU, PL, RO, SK</w:t>
            </w:r>
          </w:p>
        </w:tc>
      </w:tr>
      <w:tr w:rsidR="00ED031C">
        <w:tc>
          <w:tcPr>
            <w:tcW w:w="7111" w:type="dxa"/>
            <w:vAlign w:val="center"/>
          </w:tcPr>
          <w:p w:rsidR="00ED031C" w:rsidRDefault="0050347A">
            <w:pPr>
              <w:pStyle w:val="ListParagraph"/>
              <w:numPr>
                <w:ilvl w:val="0"/>
                <w:numId w:val="2"/>
              </w:numPr>
              <w:rPr>
                <w:noProof/>
                <w:sz w:val="20"/>
              </w:rPr>
            </w:pPr>
            <w:r>
              <w:rPr>
                <w:noProof/>
                <w:sz w:val="20"/>
              </w:rPr>
              <w:t>Iħaffu t-tnaqqis fl-emissjonijiet tal-ossidu tan-nitroġenu (NO</w:t>
            </w:r>
            <w:r>
              <w:rPr>
                <w:noProof/>
                <w:sz w:val="20"/>
                <w:vertAlign w:val="subscript"/>
              </w:rPr>
              <w:t>x</w:t>
            </w:r>
            <w:r>
              <w:rPr>
                <w:noProof/>
                <w:sz w:val="20"/>
              </w:rPr>
              <w:t>) u fil-konċentrazzjonijiet tad-diossidu tan-nitroġenu (NO</w:t>
            </w:r>
            <w:r>
              <w:rPr>
                <w:noProof/>
                <w:sz w:val="20"/>
                <w:vertAlign w:val="subscript"/>
              </w:rPr>
              <w:t>2</w:t>
            </w:r>
            <w:r>
              <w:rPr>
                <w:noProof/>
                <w:sz w:val="20"/>
              </w:rPr>
              <w:t>) billi jnaqqsu aktar l-emissjonijiet mit-trasport, b’mod partikolari fiż-żoni urbani. Dan jist</w:t>
            </w:r>
            <w:r>
              <w:rPr>
                <w:noProof/>
                <w:sz w:val="20"/>
              </w:rPr>
              <w:t>a’ jirrikjedi wkoll restrizzjonijiet proporzjonati u mmirati fuq l-aċċess tal-vetturi għal żoni urbani u/jew inċentivi fiskali.</w:t>
            </w:r>
          </w:p>
        </w:tc>
        <w:tc>
          <w:tcPr>
            <w:tcW w:w="2357" w:type="dxa"/>
            <w:shd w:val="clear" w:color="auto" w:fill="auto"/>
            <w:vAlign w:val="center"/>
          </w:tcPr>
          <w:p w:rsidR="00ED031C" w:rsidRDefault="0050347A">
            <w:pPr>
              <w:spacing w:after="120"/>
              <w:jc w:val="both"/>
              <w:rPr>
                <w:noProof/>
              </w:rPr>
            </w:pPr>
            <w:r>
              <w:rPr>
                <w:noProof/>
              </w:rPr>
              <w:t xml:space="preserve">AT, BE, BG, CZ, DE, EL, ES, FR, HR, HU, IE, IT, LU, NL, PL, PT, RO, UK </w:t>
            </w:r>
          </w:p>
        </w:tc>
      </w:tr>
      <w:tr w:rsidR="00ED031C">
        <w:tc>
          <w:tcPr>
            <w:tcW w:w="7111" w:type="dxa"/>
            <w:vAlign w:val="center"/>
          </w:tcPr>
          <w:p w:rsidR="00ED031C" w:rsidRDefault="0050347A">
            <w:pPr>
              <w:pStyle w:val="ListParagraph"/>
              <w:numPr>
                <w:ilvl w:val="0"/>
                <w:numId w:val="2"/>
              </w:numPr>
              <w:rPr>
                <w:noProof/>
                <w:sz w:val="20"/>
              </w:rPr>
            </w:pPr>
            <w:r>
              <w:rPr>
                <w:noProof/>
                <w:sz w:val="20"/>
              </w:rPr>
              <w:t>Inaqqsu l-emissjonijiet tal-ammonijaka (NH</w:t>
            </w:r>
            <w:r>
              <w:rPr>
                <w:noProof/>
                <w:sz w:val="20"/>
                <w:vertAlign w:val="subscript"/>
              </w:rPr>
              <w:t>3</w:t>
            </w:r>
            <w:r>
              <w:rPr>
                <w:noProof/>
                <w:sz w:val="20"/>
              </w:rPr>
              <w:t>), pereżempj</w:t>
            </w:r>
            <w:r>
              <w:rPr>
                <w:noProof/>
                <w:sz w:val="20"/>
              </w:rPr>
              <w:t>u billi jintroduċu jew jespandu l-użu ta’ tekniki agrikoli b’emissjonijiet baxxi.</w:t>
            </w:r>
          </w:p>
        </w:tc>
        <w:tc>
          <w:tcPr>
            <w:tcW w:w="2357" w:type="dxa"/>
            <w:shd w:val="clear" w:color="auto" w:fill="auto"/>
            <w:vAlign w:val="center"/>
          </w:tcPr>
          <w:p w:rsidR="00ED031C" w:rsidRDefault="0050347A">
            <w:pPr>
              <w:spacing w:after="120"/>
              <w:jc w:val="both"/>
              <w:rPr>
                <w:noProof/>
              </w:rPr>
            </w:pPr>
            <w:r>
              <w:rPr>
                <w:noProof/>
              </w:rPr>
              <w:t xml:space="preserve">AT, DE, DK, ES, HR, IE </w:t>
            </w:r>
          </w:p>
        </w:tc>
      </w:tr>
      <w:tr w:rsidR="00ED031C">
        <w:tc>
          <w:tcPr>
            <w:tcW w:w="7111" w:type="dxa"/>
            <w:vAlign w:val="center"/>
          </w:tcPr>
          <w:p w:rsidR="00ED031C" w:rsidRDefault="0050347A">
            <w:pPr>
              <w:pStyle w:val="ListParagraph"/>
              <w:numPr>
                <w:ilvl w:val="0"/>
                <w:numId w:val="2"/>
              </w:numPr>
              <w:tabs>
                <w:tab w:val="left" w:pos="1392"/>
              </w:tabs>
              <w:rPr>
                <w:noProof/>
                <w:sz w:val="20"/>
              </w:rPr>
            </w:pPr>
            <w:r>
              <w:rPr>
                <w:noProof/>
                <w:sz w:val="20"/>
              </w:rPr>
              <w:t xml:space="preserve">Inaqqsu l-emissjonijiet tal-komposti organiċi volatili mhux metaniċi, NMVOCs (fejn applikabbli, sabiex jikkonformaw mal-limiti massimi nazzjonali </w:t>
            </w:r>
            <w:r>
              <w:rPr>
                <w:noProof/>
                <w:sz w:val="20"/>
              </w:rPr>
              <w:t>tal-emissjonijiet applikabbli bħalissa).</w:t>
            </w:r>
          </w:p>
        </w:tc>
        <w:tc>
          <w:tcPr>
            <w:tcW w:w="2357" w:type="dxa"/>
            <w:shd w:val="clear" w:color="auto" w:fill="auto"/>
            <w:vAlign w:val="center"/>
          </w:tcPr>
          <w:p w:rsidR="00ED031C" w:rsidRDefault="0050347A">
            <w:pPr>
              <w:spacing w:after="120"/>
              <w:jc w:val="both"/>
              <w:rPr>
                <w:noProof/>
              </w:rPr>
            </w:pPr>
            <w:r>
              <w:rPr>
                <w:noProof/>
              </w:rPr>
              <w:t>DE, HU, IE, LU</w:t>
            </w:r>
          </w:p>
        </w:tc>
      </w:tr>
      <w:tr w:rsidR="00ED031C">
        <w:tc>
          <w:tcPr>
            <w:tcW w:w="7111" w:type="dxa"/>
            <w:vAlign w:val="center"/>
          </w:tcPr>
          <w:p w:rsidR="00ED031C" w:rsidRDefault="0050347A">
            <w:pPr>
              <w:pStyle w:val="ListParagraph"/>
              <w:keepNext/>
              <w:keepLines/>
              <w:numPr>
                <w:ilvl w:val="0"/>
                <w:numId w:val="2"/>
              </w:numPr>
              <w:tabs>
                <w:tab w:val="left" w:pos="4744"/>
              </w:tabs>
              <w:rPr>
                <w:noProof/>
                <w:sz w:val="20"/>
              </w:rPr>
            </w:pPr>
            <w:r>
              <w:rPr>
                <w:noProof/>
                <w:sz w:val="20"/>
              </w:rPr>
              <w:t>Jaġġornaw u jtejbu n-netwerk ta’ monitoraġġ tal-kwalità tal-arja, u jiżguraw ir-rappurtar f’waqtu tad-</w:t>
            </w:r>
            <w:r>
              <w:rPr>
                <w:i/>
                <w:noProof/>
                <w:sz w:val="20"/>
              </w:rPr>
              <w:t>data</w:t>
            </w:r>
            <w:r>
              <w:rPr>
                <w:noProof/>
                <w:sz w:val="20"/>
              </w:rPr>
              <w:t xml:space="preserve"> dwar il-kwalità tal-arja.</w:t>
            </w:r>
          </w:p>
        </w:tc>
        <w:tc>
          <w:tcPr>
            <w:tcW w:w="2357" w:type="dxa"/>
            <w:shd w:val="clear" w:color="auto" w:fill="auto"/>
            <w:vAlign w:val="center"/>
          </w:tcPr>
          <w:p w:rsidR="00ED031C" w:rsidRDefault="0050347A">
            <w:pPr>
              <w:keepNext/>
              <w:keepLines/>
              <w:spacing w:after="120"/>
              <w:jc w:val="both"/>
              <w:rPr>
                <w:noProof/>
              </w:rPr>
            </w:pPr>
            <w:r>
              <w:rPr>
                <w:noProof/>
              </w:rPr>
              <w:t>BE, BG, EL, IT, LU, RO, SI, SK</w:t>
            </w:r>
          </w:p>
        </w:tc>
      </w:tr>
      <w:tr w:rsidR="00ED031C">
        <w:tc>
          <w:tcPr>
            <w:tcW w:w="9468" w:type="dxa"/>
            <w:gridSpan w:val="2"/>
            <w:shd w:val="clear" w:color="auto" w:fill="C6D9F1" w:themeFill="text2" w:themeFillTint="33"/>
            <w:vAlign w:val="center"/>
          </w:tcPr>
          <w:p w:rsidR="00ED031C" w:rsidRDefault="0050347A">
            <w:pPr>
              <w:pStyle w:val="Text1"/>
              <w:keepLines/>
              <w:spacing w:after="0"/>
              <w:ind w:left="0"/>
              <w:rPr>
                <w:noProof/>
              </w:rPr>
            </w:pPr>
            <w:r>
              <w:rPr>
                <w:b/>
                <w:noProof/>
                <w:sz w:val="20"/>
              </w:rPr>
              <w:t>Emissjonijiet industrijali</w:t>
            </w:r>
          </w:p>
        </w:tc>
      </w:tr>
      <w:tr w:rsidR="00ED031C">
        <w:tc>
          <w:tcPr>
            <w:tcW w:w="7111" w:type="dxa"/>
            <w:shd w:val="clear" w:color="auto" w:fill="auto"/>
            <w:vAlign w:val="center"/>
          </w:tcPr>
          <w:p w:rsidR="00ED031C" w:rsidRDefault="0050347A">
            <w:pPr>
              <w:pStyle w:val="ListParagraph"/>
              <w:keepLines/>
              <w:numPr>
                <w:ilvl w:val="0"/>
                <w:numId w:val="2"/>
              </w:numPr>
              <w:tabs>
                <w:tab w:val="left" w:pos="4744"/>
              </w:tabs>
              <w:rPr>
                <w:noProof/>
                <w:sz w:val="20"/>
              </w:rPr>
            </w:pPr>
            <w:r>
              <w:rPr>
                <w:noProof/>
                <w:sz w:val="20"/>
              </w:rPr>
              <w:t xml:space="preserve">Jirrieżaminaw il-permessi u jsaħħu l-kontroll u/jew l-infurzar sabiex jikkonformaw mal-konklużjonijiet adottati ġodda tal-aqwa tekniki disponibbli. </w:t>
            </w:r>
          </w:p>
        </w:tc>
        <w:tc>
          <w:tcPr>
            <w:tcW w:w="2357" w:type="dxa"/>
            <w:shd w:val="clear" w:color="auto" w:fill="auto"/>
            <w:vAlign w:val="center"/>
          </w:tcPr>
          <w:p w:rsidR="00ED031C" w:rsidRDefault="0050347A">
            <w:pPr>
              <w:keepLines/>
              <w:spacing w:after="120"/>
              <w:jc w:val="both"/>
              <w:rPr>
                <w:noProof/>
              </w:rPr>
            </w:pPr>
            <w:r>
              <w:rPr>
                <w:noProof/>
              </w:rPr>
              <w:t>L-Istati Membri kollha</w:t>
            </w:r>
          </w:p>
        </w:tc>
      </w:tr>
      <w:tr w:rsidR="00ED031C">
        <w:trPr>
          <w:trHeight w:val="902"/>
        </w:trPr>
        <w:tc>
          <w:tcPr>
            <w:tcW w:w="7111" w:type="dxa"/>
            <w:shd w:val="clear" w:color="auto" w:fill="auto"/>
            <w:vAlign w:val="center"/>
          </w:tcPr>
          <w:p w:rsidR="00ED031C" w:rsidRDefault="0050347A">
            <w:pPr>
              <w:pStyle w:val="ListParagraph"/>
              <w:keepLines/>
              <w:numPr>
                <w:ilvl w:val="0"/>
                <w:numId w:val="2"/>
              </w:numPr>
              <w:tabs>
                <w:tab w:val="left" w:pos="4744"/>
              </w:tabs>
              <w:rPr>
                <w:noProof/>
                <w:sz w:val="20"/>
              </w:rPr>
            </w:pPr>
            <w:r>
              <w:rPr>
                <w:noProof/>
                <w:sz w:val="20"/>
              </w:rPr>
              <w:t>Jindirizzaw it-tniġġis tal-arja u/jew tal-ilma marbut mal-emissjonijiet minn instal</w:t>
            </w:r>
            <w:r>
              <w:rPr>
                <w:noProof/>
                <w:sz w:val="20"/>
              </w:rPr>
              <w:t>lazzjonijiet f’wieħed jew aktar mis-setturi li ġejjin: l-enerġija, it-trobbija intensiva tal-pollam u tal-majjali, l-attivitajiet tat-trattament tal-iskart, l-impjanti tal-ħadid u tal-azzar.</w:t>
            </w:r>
          </w:p>
        </w:tc>
        <w:tc>
          <w:tcPr>
            <w:tcW w:w="2357" w:type="dxa"/>
            <w:shd w:val="clear" w:color="auto" w:fill="auto"/>
            <w:vAlign w:val="center"/>
          </w:tcPr>
          <w:p w:rsidR="00ED031C" w:rsidRDefault="0050347A">
            <w:pPr>
              <w:keepLines/>
              <w:spacing w:after="120"/>
              <w:jc w:val="both"/>
              <w:rPr>
                <w:noProof/>
              </w:rPr>
            </w:pPr>
            <w:r>
              <w:rPr>
                <w:noProof/>
              </w:rPr>
              <w:t>BG, CY, CZ, DE, EE, EL, ES, FI, HR, HU, IE, IT, LU, LV, NL, PT, R</w:t>
            </w:r>
            <w:r>
              <w:rPr>
                <w:noProof/>
              </w:rPr>
              <w:t>O, SK, UK</w:t>
            </w:r>
          </w:p>
        </w:tc>
      </w:tr>
      <w:tr w:rsidR="00ED031C">
        <w:trPr>
          <w:cantSplit/>
        </w:trPr>
        <w:tc>
          <w:tcPr>
            <w:tcW w:w="9468" w:type="dxa"/>
            <w:gridSpan w:val="2"/>
            <w:shd w:val="clear" w:color="auto" w:fill="C6D9F1" w:themeFill="text2" w:themeFillTint="33"/>
            <w:vAlign w:val="center"/>
          </w:tcPr>
          <w:p w:rsidR="00ED031C" w:rsidRDefault="0050347A">
            <w:pPr>
              <w:pStyle w:val="Text1"/>
              <w:spacing w:after="0"/>
              <w:ind w:left="0"/>
              <w:rPr>
                <w:noProof/>
                <w:sz w:val="20"/>
              </w:rPr>
            </w:pPr>
            <w:r>
              <w:rPr>
                <w:b/>
                <w:noProof/>
                <w:sz w:val="20"/>
              </w:rPr>
              <w:t>L-istorbju</w:t>
            </w:r>
          </w:p>
        </w:tc>
      </w:tr>
      <w:tr w:rsidR="00ED031C">
        <w:trPr>
          <w:cantSplit/>
          <w:trHeight w:val="402"/>
        </w:trPr>
        <w:tc>
          <w:tcPr>
            <w:tcW w:w="7111" w:type="dxa"/>
            <w:vAlign w:val="center"/>
          </w:tcPr>
          <w:p w:rsidR="00ED031C" w:rsidRDefault="0050347A">
            <w:pPr>
              <w:pStyle w:val="Text1"/>
              <w:numPr>
                <w:ilvl w:val="0"/>
                <w:numId w:val="2"/>
              </w:numPr>
              <w:rPr>
                <w:noProof/>
                <w:sz w:val="20"/>
              </w:rPr>
            </w:pPr>
            <w:r>
              <w:rPr>
                <w:noProof/>
                <w:sz w:val="20"/>
              </w:rPr>
              <w:t>Ilestu l-pjanijiet ta’ azzjoni dwar l-istorbju li għadhom neqsin.</w:t>
            </w:r>
          </w:p>
        </w:tc>
        <w:tc>
          <w:tcPr>
            <w:tcW w:w="2357" w:type="dxa"/>
            <w:shd w:val="clear" w:color="auto" w:fill="auto"/>
            <w:vAlign w:val="center"/>
          </w:tcPr>
          <w:p w:rsidR="00ED031C" w:rsidRDefault="0050347A">
            <w:pPr>
              <w:pStyle w:val="Text1"/>
              <w:ind w:left="0"/>
              <w:rPr>
                <w:noProof/>
                <w:sz w:val="20"/>
              </w:rPr>
            </w:pPr>
            <w:r>
              <w:rPr>
                <w:noProof/>
                <w:sz w:val="20"/>
              </w:rPr>
              <w:t>BE, CY, CZ, DE, EL, ES, FR, IT, PL, PT, RO, SE, SK</w:t>
            </w:r>
          </w:p>
        </w:tc>
      </w:tr>
      <w:tr w:rsidR="00ED031C">
        <w:trPr>
          <w:cantSplit/>
          <w:trHeight w:val="287"/>
        </w:trPr>
        <w:tc>
          <w:tcPr>
            <w:tcW w:w="7111" w:type="dxa"/>
            <w:vAlign w:val="center"/>
          </w:tcPr>
          <w:p w:rsidR="00ED031C" w:rsidRDefault="0050347A">
            <w:pPr>
              <w:pStyle w:val="Text1"/>
              <w:numPr>
                <w:ilvl w:val="0"/>
                <w:numId w:val="2"/>
              </w:numPr>
              <w:rPr>
                <w:noProof/>
                <w:sz w:val="20"/>
              </w:rPr>
            </w:pPr>
            <w:r>
              <w:rPr>
                <w:noProof/>
                <w:sz w:val="20"/>
              </w:rPr>
              <w:t>Ilestu l-mapep tal-istorbju li għadhom neqsin.</w:t>
            </w:r>
          </w:p>
        </w:tc>
        <w:tc>
          <w:tcPr>
            <w:tcW w:w="2357" w:type="dxa"/>
            <w:shd w:val="clear" w:color="auto" w:fill="auto"/>
            <w:vAlign w:val="center"/>
          </w:tcPr>
          <w:p w:rsidR="00ED031C" w:rsidRDefault="0050347A">
            <w:pPr>
              <w:pStyle w:val="Text1"/>
              <w:ind w:left="0"/>
              <w:rPr>
                <w:noProof/>
                <w:sz w:val="20"/>
              </w:rPr>
            </w:pPr>
            <w:r>
              <w:rPr>
                <w:noProof/>
                <w:sz w:val="20"/>
              </w:rPr>
              <w:t>BE, EL, ES, IT, PT, RO, SK</w:t>
            </w:r>
          </w:p>
        </w:tc>
      </w:tr>
      <w:tr w:rsidR="00ED031C">
        <w:tc>
          <w:tcPr>
            <w:tcW w:w="9468" w:type="dxa"/>
            <w:gridSpan w:val="2"/>
            <w:shd w:val="clear" w:color="auto" w:fill="C6D9F1" w:themeFill="text2" w:themeFillTint="33"/>
            <w:vAlign w:val="center"/>
          </w:tcPr>
          <w:p w:rsidR="00ED031C" w:rsidRDefault="0050347A">
            <w:pPr>
              <w:pStyle w:val="Text1"/>
              <w:spacing w:after="0"/>
              <w:ind w:left="0"/>
              <w:rPr>
                <w:b/>
                <w:noProof/>
                <w:sz w:val="20"/>
              </w:rPr>
            </w:pPr>
            <w:r>
              <w:rPr>
                <w:b/>
                <w:noProof/>
                <w:sz w:val="20"/>
              </w:rPr>
              <w:t xml:space="preserve">Il-kwalità u l-ġestjoni tal-ilma </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 xml:space="preserve">Itejbu l-monitoraġġ u l-valutazzjoni tal-elementi ta’ kwalità rilevanti kollha fil-kategoriji kollha tal-ilma skont id-Direttiva Qafas dwar l-Ilma. </w:t>
            </w:r>
          </w:p>
        </w:tc>
        <w:tc>
          <w:tcPr>
            <w:tcW w:w="2357" w:type="dxa"/>
            <w:shd w:val="clear" w:color="auto" w:fill="auto"/>
            <w:vAlign w:val="center"/>
          </w:tcPr>
          <w:p w:rsidR="00ED031C" w:rsidRDefault="0050347A">
            <w:pPr>
              <w:pStyle w:val="Text1"/>
              <w:ind w:left="0"/>
              <w:rPr>
                <w:noProof/>
                <w:sz w:val="20"/>
              </w:rPr>
            </w:pPr>
            <w:r>
              <w:rPr>
                <w:noProof/>
                <w:sz w:val="20"/>
              </w:rPr>
              <w:t>BG, CY, CZ, DE,DK, EE, FI, HR, HU, LV, MT, PL, PT, RO, SE, SI, UK</w:t>
            </w:r>
          </w:p>
        </w:tc>
      </w:tr>
      <w:tr w:rsidR="00ED031C">
        <w:tc>
          <w:tcPr>
            <w:tcW w:w="7111" w:type="dxa"/>
            <w:vAlign w:val="center"/>
          </w:tcPr>
          <w:p w:rsidR="00ED031C" w:rsidRDefault="0050347A">
            <w:pPr>
              <w:pStyle w:val="Text1"/>
              <w:numPr>
                <w:ilvl w:val="0"/>
                <w:numId w:val="2"/>
              </w:numPr>
              <w:rPr>
                <w:noProof/>
                <w:sz w:val="20"/>
              </w:rPr>
            </w:pPr>
            <w:r>
              <w:rPr>
                <w:noProof/>
                <w:sz w:val="20"/>
              </w:rPr>
              <w:t xml:space="preserve">Jiżguraw l-adozzjoni u/jew ir-rappurtar </w:t>
            </w:r>
            <w:r>
              <w:rPr>
                <w:noProof/>
                <w:sz w:val="20"/>
              </w:rPr>
              <w:t>f’waqthom tal-pjanijiet ta’ mmaniġġjar tal-baċini tax-xmajjar skont id-Direttiva Qafas dwar l-Ilma.</w:t>
            </w:r>
          </w:p>
        </w:tc>
        <w:tc>
          <w:tcPr>
            <w:tcW w:w="2357" w:type="dxa"/>
            <w:shd w:val="clear" w:color="auto" w:fill="auto"/>
            <w:vAlign w:val="center"/>
          </w:tcPr>
          <w:p w:rsidR="00ED031C" w:rsidRDefault="0050347A">
            <w:pPr>
              <w:pStyle w:val="Text1"/>
              <w:ind w:left="0"/>
              <w:rPr>
                <w:noProof/>
                <w:sz w:val="20"/>
              </w:rPr>
            </w:pPr>
            <w:r>
              <w:rPr>
                <w:noProof/>
                <w:sz w:val="20"/>
              </w:rPr>
              <w:t>AT, ES, EL, IE, LT</w:t>
            </w:r>
          </w:p>
        </w:tc>
      </w:tr>
      <w:tr w:rsidR="00ED031C">
        <w:tc>
          <w:tcPr>
            <w:tcW w:w="7111" w:type="dxa"/>
            <w:vAlign w:val="center"/>
          </w:tcPr>
          <w:p w:rsidR="00ED031C" w:rsidRDefault="0050347A">
            <w:pPr>
              <w:pStyle w:val="Text1"/>
              <w:numPr>
                <w:ilvl w:val="0"/>
                <w:numId w:val="2"/>
              </w:numPr>
              <w:rPr>
                <w:noProof/>
                <w:sz w:val="20"/>
              </w:rPr>
            </w:pPr>
            <w:r>
              <w:rPr>
                <w:noProof/>
                <w:sz w:val="20"/>
              </w:rPr>
              <w:t>Jiżguraw l-adozzjoni f’waqtha tal-pjanijiet ta’ ġestjoni tar-riskju ta’ għargħar skont id-Direttiva dwar l-Għargħar.</w:t>
            </w:r>
          </w:p>
        </w:tc>
        <w:tc>
          <w:tcPr>
            <w:tcW w:w="2357" w:type="dxa"/>
            <w:shd w:val="clear" w:color="auto" w:fill="auto"/>
            <w:vAlign w:val="center"/>
          </w:tcPr>
          <w:p w:rsidR="00ED031C" w:rsidRDefault="0050347A">
            <w:pPr>
              <w:pStyle w:val="Text1"/>
              <w:ind w:left="0"/>
              <w:rPr>
                <w:noProof/>
                <w:sz w:val="20"/>
              </w:rPr>
            </w:pPr>
            <w:r>
              <w:rPr>
                <w:noProof/>
                <w:sz w:val="20"/>
              </w:rPr>
              <w:t>ES, EL, IE</w:t>
            </w:r>
          </w:p>
        </w:tc>
      </w:tr>
      <w:tr w:rsidR="00ED031C">
        <w:tc>
          <w:tcPr>
            <w:tcW w:w="7111" w:type="dxa"/>
            <w:vAlign w:val="center"/>
          </w:tcPr>
          <w:p w:rsidR="00ED031C" w:rsidRDefault="0050347A">
            <w:pPr>
              <w:pStyle w:val="Text1"/>
              <w:numPr>
                <w:ilvl w:val="0"/>
                <w:numId w:val="2"/>
              </w:numPr>
              <w:rPr>
                <w:noProof/>
                <w:sz w:val="20"/>
              </w:rPr>
            </w:pPr>
            <w:r>
              <w:rPr>
                <w:noProof/>
                <w:sz w:val="20"/>
              </w:rPr>
              <w:t xml:space="preserve">Jiżguraw li t-tniġġis tal-ilma mill-agrikoltura, fost setturi oħra, jiġi indirizzat b’mod effettiv skont id-Direttivi Qafas dwar in-Nitrati u/jew dwar l-Ilma. </w:t>
            </w:r>
          </w:p>
        </w:tc>
        <w:tc>
          <w:tcPr>
            <w:tcW w:w="2357" w:type="dxa"/>
            <w:shd w:val="clear" w:color="auto" w:fill="auto"/>
            <w:vAlign w:val="center"/>
          </w:tcPr>
          <w:p w:rsidR="00ED031C" w:rsidRDefault="0050347A">
            <w:pPr>
              <w:pStyle w:val="Text1"/>
              <w:ind w:left="0"/>
              <w:rPr>
                <w:noProof/>
                <w:sz w:val="20"/>
              </w:rPr>
            </w:pPr>
            <w:r>
              <w:rPr>
                <w:noProof/>
                <w:sz w:val="20"/>
              </w:rPr>
              <w:t xml:space="preserve">AT, BE, CY, CZ, DE, DK, EE, EL, ES, FI, FR, IT, LT, MT, NL, PL, PT, SE, SI, SK, UK </w:t>
            </w:r>
          </w:p>
        </w:tc>
      </w:tr>
      <w:tr w:rsidR="00ED031C">
        <w:tc>
          <w:tcPr>
            <w:tcW w:w="7111" w:type="dxa"/>
            <w:vAlign w:val="center"/>
          </w:tcPr>
          <w:p w:rsidR="00ED031C" w:rsidRDefault="0050347A">
            <w:pPr>
              <w:pStyle w:val="Text1"/>
              <w:numPr>
                <w:ilvl w:val="0"/>
                <w:numId w:val="2"/>
              </w:numPr>
              <w:rPr>
                <w:noProof/>
                <w:sz w:val="20"/>
              </w:rPr>
            </w:pPr>
            <w:r>
              <w:rPr>
                <w:noProof/>
                <w:sz w:val="20"/>
              </w:rPr>
              <w:t>Jieħdu akta</w:t>
            </w:r>
            <w:r>
              <w:rPr>
                <w:noProof/>
                <w:sz w:val="20"/>
              </w:rPr>
              <w:t>r miżuri biex jindirizzaw it-tniġġis kimiku (billi jiżviluppaw approċċ aktar speċifiku għas-sustanza/jiżguraw li l-programmi ta’ miżuri jkun ibbażat fuq valutazzjoni affidabbli tal-pressjonijiet).</w:t>
            </w:r>
          </w:p>
        </w:tc>
        <w:tc>
          <w:tcPr>
            <w:tcW w:w="2357" w:type="dxa"/>
            <w:shd w:val="clear" w:color="auto" w:fill="auto"/>
            <w:vAlign w:val="center"/>
          </w:tcPr>
          <w:p w:rsidR="00ED031C" w:rsidRDefault="0050347A">
            <w:pPr>
              <w:pStyle w:val="Text1"/>
              <w:ind w:left="0"/>
              <w:rPr>
                <w:noProof/>
                <w:sz w:val="20"/>
              </w:rPr>
            </w:pPr>
            <w:r>
              <w:rPr>
                <w:noProof/>
                <w:sz w:val="20"/>
              </w:rPr>
              <w:t>BE, NL</w:t>
            </w:r>
          </w:p>
        </w:tc>
      </w:tr>
      <w:tr w:rsidR="00ED031C">
        <w:trPr>
          <w:trHeight w:val="761"/>
        </w:trPr>
        <w:tc>
          <w:tcPr>
            <w:tcW w:w="7111" w:type="dxa"/>
            <w:shd w:val="clear" w:color="auto" w:fill="auto"/>
            <w:vAlign w:val="center"/>
          </w:tcPr>
          <w:p w:rsidR="00ED031C" w:rsidRDefault="0050347A">
            <w:pPr>
              <w:pStyle w:val="Text1"/>
              <w:numPr>
                <w:ilvl w:val="0"/>
                <w:numId w:val="2"/>
              </w:numPr>
              <w:rPr>
                <w:noProof/>
                <w:sz w:val="20"/>
              </w:rPr>
            </w:pPr>
            <w:r>
              <w:rPr>
                <w:noProof/>
                <w:sz w:val="20"/>
              </w:rPr>
              <w:t>Jieħdu aktar miżuri biex jiżguraw status kwantitatt</w:t>
            </w:r>
            <w:r>
              <w:rPr>
                <w:noProof/>
                <w:sz w:val="20"/>
              </w:rPr>
              <w:t>iv/flussi ekoloġiċi tajbin skont id-Direttiva Qafas dwar l-Ilma (inkluż li jiżguraw li l-astrazzjonijiet ikunu soġġetti għal permessi, metraġġ u kontrolli effettivi).</w:t>
            </w:r>
          </w:p>
        </w:tc>
        <w:tc>
          <w:tcPr>
            <w:tcW w:w="2357" w:type="dxa"/>
            <w:shd w:val="clear" w:color="auto" w:fill="auto"/>
            <w:vAlign w:val="center"/>
          </w:tcPr>
          <w:p w:rsidR="00ED031C" w:rsidRDefault="0050347A">
            <w:pPr>
              <w:pStyle w:val="Text1"/>
              <w:ind w:left="0"/>
              <w:rPr>
                <w:noProof/>
                <w:sz w:val="20"/>
              </w:rPr>
            </w:pPr>
            <w:r>
              <w:rPr>
                <w:noProof/>
                <w:sz w:val="20"/>
              </w:rPr>
              <w:t xml:space="preserve">CY, ES, HU, IT, MT, PL, PT </w:t>
            </w:r>
          </w:p>
        </w:tc>
      </w:tr>
      <w:tr w:rsidR="00ED031C">
        <w:trPr>
          <w:trHeight w:val="360"/>
        </w:trPr>
        <w:tc>
          <w:tcPr>
            <w:tcW w:w="7111" w:type="dxa"/>
            <w:shd w:val="clear" w:color="auto" w:fill="auto"/>
            <w:vAlign w:val="center"/>
          </w:tcPr>
          <w:p w:rsidR="00ED031C" w:rsidRDefault="0050347A">
            <w:pPr>
              <w:pStyle w:val="Text1"/>
              <w:numPr>
                <w:ilvl w:val="0"/>
                <w:numId w:val="2"/>
              </w:numPr>
              <w:rPr>
                <w:noProof/>
                <w:sz w:val="20"/>
              </w:rPr>
            </w:pPr>
            <w:r>
              <w:rPr>
                <w:noProof/>
                <w:sz w:val="20"/>
              </w:rPr>
              <w:t xml:space="preserve">Jieħdu passi biex jiżguraw l-implimentazzjoni ta’ miżuri </w:t>
            </w:r>
            <w:r>
              <w:rPr>
                <w:noProof/>
                <w:sz w:val="20"/>
              </w:rPr>
              <w:t>sabiex jiġu indirizzati l-pressjonijiet idromorfoloġiċi.</w:t>
            </w:r>
          </w:p>
        </w:tc>
        <w:tc>
          <w:tcPr>
            <w:tcW w:w="2357" w:type="dxa"/>
            <w:shd w:val="clear" w:color="auto" w:fill="auto"/>
            <w:vAlign w:val="center"/>
          </w:tcPr>
          <w:p w:rsidR="00ED031C" w:rsidRDefault="0050347A">
            <w:pPr>
              <w:pStyle w:val="Text1"/>
              <w:ind w:left="0"/>
              <w:rPr>
                <w:noProof/>
                <w:sz w:val="20"/>
              </w:rPr>
            </w:pPr>
            <w:r>
              <w:rPr>
                <w:noProof/>
                <w:sz w:val="20"/>
              </w:rPr>
              <w:t>SI</w:t>
            </w:r>
          </w:p>
        </w:tc>
      </w:tr>
      <w:tr w:rsidR="00ED031C">
        <w:trPr>
          <w:trHeight w:val="180"/>
        </w:trPr>
        <w:tc>
          <w:tcPr>
            <w:tcW w:w="7111" w:type="dxa"/>
            <w:shd w:val="clear" w:color="auto" w:fill="auto"/>
            <w:vAlign w:val="center"/>
          </w:tcPr>
          <w:p w:rsidR="00ED031C" w:rsidRDefault="0050347A">
            <w:pPr>
              <w:pStyle w:val="Text1"/>
              <w:numPr>
                <w:ilvl w:val="0"/>
                <w:numId w:val="2"/>
              </w:numPr>
              <w:rPr>
                <w:noProof/>
                <w:sz w:val="20"/>
              </w:rPr>
            </w:pPr>
            <w:r>
              <w:rPr>
                <w:noProof/>
                <w:sz w:val="20"/>
              </w:rPr>
              <w:t xml:space="preserve">Jieħdu passi biex jarmonizzaw l-approċċi reġjonali differenti, b’mod partikolari għad-definizzjoni tas-sinifikat tal-pressjonijiet fir-rigward tad-Direttiva Qafas dwar l-Ilma. </w:t>
            </w:r>
          </w:p>
        </w:tc>
        <w:tc>
          <w:tcPr>
            <w:tcW w:w="2357" w:type="dxa"/>
            <w:shd w:val="clear" w:color="auto" w:fill="auto"/>
            <w:vAlign w:val="center"/>
          </w:tcPr>
          <w:p w:rsidR="00ED031C" w:rsidRDefault="0050347A">
            <w:pPr>
              <w:pStyle w:val="Text1"/>
              <w:ind w:left="0"/>
              <w:rPr>
                <w:noProof/>
                <w:sz w:val="20"/>
              </w:rPr>
            </w:pPr>
            <w:r>
              <w:rPr>
                <w:noProof/>
                <w:sz w:val="20"/>
              </w:rPr>
              <w:t>IT</w:t>
            </w:r>
          </w:p>
        </w:tc>
      </w:tr>
      <w:tr w:rsidR="00ED031C">
        <w:trPr>
          <w:trHeight w:val="662"/>
        </w:trPr>
        <w:tc>
          <w:tcPr>
            <w:tcW w:w="7111" w:type="dxa"/>
            <w:shd w:val="clear" w:color="auto" w:fill="auto"/>
            <w:vAlign w:val="center"/>
          </w:tcPr>
          <w:p w:rsidR="00ED031C" w:rsidRDefault="0050347A">
            <w:pPr>
              <w:pStyle w:val="Text1"/>
              <w:numPr>
                <w:ilvl w:val="0"/>
                <w:numId w:val="2"/>
              </w:numPr>
              <w:rPr>
                <w:noProof/>
                <w:sz w:val="20"/>
              </w:rPr>
            </w:pPr>
            <w:r>
              <w:rPr>
                <w:noProof/>
                <w:sz w:val="20"/>
              </w:rPr>
              <w:t>Jiżguraw li l-</w:t>
            </w:r>
            <w:r>
              <w:rPr>
                <w:noProof/>
                <w:sz w:val="20"/>
              </w:rPr>
              <w:t xml:space="preserve">proġetti, li potenzjalment jistgħu jaffettwaw l-istatus tal-korpi tal-ilma, jiġu valutati u ġustifikati bir-reqqa skont ir-rekwiżiti tad-Direttiva Qafas dwar l-Ilma (l-Artikolu 4(7)). </w:t>
            </w:r>
          </w:p>
        </w:tc>
        <w:tc>
          <w:tcPr>
            <w:tcW w:w="2357" w:type="dxa"/>
            <w:shd w:val="clear" w:color="auto" w:fill="auto"/>
            <w:vAlign w:val="center"/>
          </w:tcPr>
          <w:p w:rsidR="00ED031C" w:rsidRDefault="0050347A">
            <w:pPr>
              <w:pStyle w:val="Text1"/>
              <w:ind w:left="0"/>
              <w:rPr>
                <w:noProof/>
                <w:sz w:val="20"/>
              </w:rPr>
            </w:pPr>
            <w:r>
              <w:rPr>
                <w:noProof/>
                <w:sz w:val="20"/>
              </w:rPr>
              <w:t>BG, LU, PL, PT, RO, SE, SK</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 xml:space="preserve">Jieħdu passi biex jirrinforzaw l-aspett </w:t>
            </w:r>
            <w:r>
              <w:rPr>
                <w:noProof/>
                <w:sz w:val="20"/>
              </w:rPr>
              <w:t>tal-parteċipazzjoni pubblika u l-involviment attiv tal-partijiet interessati (pjanijiet ta’ mmaniġġjar tal-baċini tax-xmajjar/pjanijiet ta’ ġestjoni tar-riskju ta’ għargħar).</w:t>
            </w:r>
          </w:p>
        </w:tc>
        <w:tc>
          <w:tcPr>
            <w:tcW w:w="2357" w:type="dxa"/>
            <w:shd w:val="clear" w:color="auto" w:fill="auto"/>
            <w:vAlign w:val="center"/>
          </w:tcPr>
          <w:p w:rsidR="00ED031C" w:rsidRDefault="0050347A">
            <w:pPr>
              <w:pStyle w:val="Text1"/>
              <w:ind w:left="0"/>
              <w:rPr>
                <w:noProof/>
                <w:sz w:val="20"/>
              </w:rPr>
            </w:pPr>
            <w:r>
              <w:rPr>
                <w:noProof/>
                <w:sz w:val="20"/>
              </w:rPr>
              <w:t>NL, SI, SK, UK</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Jieħdu passi biex jikkjarifikaw il-metodu għall-prijoritizzazzjon</w:t>
            </w:r>
            <w:r>
              <w:rPr>
                <w:noProof/>
                <w:sz w:val="20"/>
              </w:rPr>
              <w:t xml:space="preserve">i tal-miżuri, inkluż l-użu tal-analiżi tal-ispejjeż u l-benefiċċji fir-rigward tal-pjanijiet ta’ ġestjoni tar-riskju ta’ għargħar. </w:t>
            </w:r>
          </w:p>
        </w:tc>
        <w:tc>
          <w:tcPr>
            <w:tcW w:w="2357" w:type="dxa"/>
            <w:shd w:val="clear" w:color="auto" w:fill="auto"/>
            <w:vAlign w:val="center"/>
          </w:tcPr>
          <w:p w:rsidR="00ED031C" w:rsidRDefault="0050347A">
            <w:pPr>
              <w:pStyle w:val="Text1"/>
              <w:ind w:left="0"/>
              <w:rPr>
                <w:noProof/>
                <w:sz w:val="20"/>
              </w:rPr>
            </w:pPr>
            <w:r>
              <w:rPr>
                <w:noProof/>
                <w:sz w:val="20"/>
              </w:rPr>
              <w:t>AT, BE, BG, CZ, DE, EE, ES, HR, HU, LU, LV, MT</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Jieħdu passi sabiex jikkunsidraw b’mod sistematiku l-implimentazzjoni ta’ so</w:t>
            </w:r>
            <w:r>
              <w:rPr>
                <w:noProof/>
                <w:sz w:val="20"/>
              </w:rPr>
              <w:t xml:space="preserve">luzzjonijiet ibbażati fuq in-natura biex jappoġġaw it-tnaqqis tar-riskji ta’ għargħar. </w:t>
            </w:r>
          </w:p>
        </w:tc>
        <w:tc>
          <w:tcPr>
            <w:tcW w:w="2357" w:type="dxa"/>
            <w:shd w:val="clear" w:color="auto" w:fill="auto"/>
            <w:vAlign w:val="center"/>
          </w:tcPr>
          <w:p w:rsidR="00ED031C" w:rsidRDefault="0050347A">
            <w:pPr>
              <w:pStyle w:val="Text1"/>
              <w:ind w:left="0"/>
              <w:rPr>
                <w:noProof/>
                <w:sz w:val="20"/>
              </w:rPr>
            </w:pPr>
            <w:r>
              <w:rPr>
                <w:noProof/>
                <w:sz w:val="20"/>
              </w:rPr>
              <w:t>CY</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Jieħdu passi biex jirrinforzaw il-konsiderazzjonijiet dwar it-tibdil fil-klima fil-pjanijiet ta’ ġestjoni tar-riskju ta’ għargħar, inkluża l-koordinazzjoni mal-istr</w:t>
            </w:r>
            <w:r>
              <w:rPr>
                <w:noProof/>
                <w:sz w:val="20"/>
              </w:rPr>
              <w:t xml:space="preserve">ateġija nazzjonali ta’ adattament għat-tibdil fil-klima. </w:t>
            </w:r>
            <w:r>
              <w:rPr>
                <w:noProof/>
              </w:rPr>
              <w:t xml:space="preserve"> </w:t>
            </w:r>
          </w:p>
        </w:tc>
        <w:tc>
          <w:tcPr>
            <w:tcW w:w="2357" w:type="dxa"/>
            <w:shd w:val="clear" w:color="auto" w:fill="auto"/>
            <w:vAlign w:val="center"/>
          </w:tcPr>
          <w:p w:rsidR="00ED031C" w:rsidRDefault="0050347A">
            <w:pPr>
              <w:pStyle w:val="Text1"/>
              <w:ind w:left="0"/>
              <w:rPr>
                <w:noProof/>
                <w:sz w:val="20"/>
              </w:rPr>
            </w:pPr>
            <w:r>
              <w:rPr>
                <w:noProof/>
                <w:sz w:val="20"/>
              </w:rPr>
              <w:t xml:space="preserve">FI, IT, LV </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Jieħdu passi biex itejbu l-integrazzjoni tal-passi suċċessivi taċ-ċiklu ta’ ġestjoni tar-riskju ta’ għargħar fil-pjan ta’ ġestjoni tar-riskju ta’ għargħar.</w:t>
            </w:r>
          </w:p>
        </w:tc>
        <w:tc>
          <w:tcPr>
            <w:tcW w:w="2357" w:type="dxa"/>
            <w:shd w:val="clear" w:color="auto" w:fill="auto"/>
            <w:vAlign w:val="center"/>
          </w:tcPr>
          <w:p w:rsidR="00ED031C" w:rsidRDefault="0050347A">
            <w:pPr>
              <w:pStyle w:val="Text1"/>
              <w:ind w:left="0"/>
              <w:rPr>
                <w:noProof/>
                <w:sz w:val="20"/>
              </w:rPr>
            </w:pPr>
            <w:r>
              <w:rPr>
                <w:noProof/>
                <w:sz w:val="20"/>
              </w:rPr>
              <w:t>DK, FR, PL, PT, RO</w:t>
            </w:r>
          </w:p>
        </w:tc>
      </w:tr>
      <w:tr w:rsidR="00ED031C">
        <w:tc>
          <w:tcPr>
            <w:tcW w:w="7111" w:type="dxa"/>
            <w:shd w:val="clear" w:color="auto" w:fill="auto"/>
            <w:vAlign w:val="center"/>
          </w:tcPr>
          <w:p w:rsidR="00ED031C" w:rsidRDefault="0050347A">
            <w:pPr>
              <w:pStyle w:val="Text1"/>
              <w:numPr>
                <w:ilvl w:val="0"/>
                <w:numId w:val="2"/>
              </w:numPr>
              <w:rPr>
                <w:noProof/>
                <w:sz w:val="20"/>
              </w:rPr>
            </w:pPr>
            <w:r>
              <w:rPr>
                <w:noProof/>
                <w:sz w:val="20"/>
              </w:rPr>
              <w:t xml:space="preserve">Jieħdu passi biex jirrinforzaw il-koordinazzjoni bejn il-pjanijiet ta’ ġestjoni tar-riskju ta’ għargħar u l-pjanijiet ta’ mmaniġġjar tal-baċini tax-xmajjar. </w:t>
            </w:r>
          </w:p>
        </w:tc>
        <w:tc>
          <w:tcPr>
            <w:tcW w:w="2357" w:type="dxa"/>
            <w:shd w:val="clear" w:color="auto" w:fill="auto"/>
            <w:vAlign w:val="center"/>
          </w:tcPr>
          <w:p w:rsidR="00ED031C" w:rsidRDefault="0050347A">
            <w:pPr>
              <w:pStyle w:val="Text1"/>
              <w:ind w:left="0"/>
              <w:rPr>
                <w:noProof/>
                <w:sz w:val="20"/>
              </w:rPr>
            </w:pPr>
            <w:r>
              <w:rPr>
                <w:noProof/>
                <w:sz w:val="20"/>
              </w:rPr>
              <w:t>SE</w:t>
            </w:r>
          </w:p>
        </w:tc>
      </w:tr>
      <w:tr w:rsidR="00ED031C">
        <w:trPr>
          <w:trHeight w:val="180"/>
        </w:trPr>
        <w:tc>
          <w:tcPr>
            <w:tcW w:w="7111" w:type="dxa"/>
            <w:shd w:val="clear" w:color="auto" w:fill="auto"/>
            <w:vAlign w:val="center"/>
          </w:tcPr>
          <w:p w:rsidR="00ED031C" w:rsidRDefault="0050347A">
            <w:pPr>
              <w:pStyle w:val="Text1"/>
              <w:numPr>
                <w:ilvl w:val="0"/>
                <w:numId w:val="2"/>
              </w:numPr>
              <w:rPr>
                <w:noProof/>
                <w:sz w:val="20"/>
              </w:rPr>
            </w:pPr>
            <w:r>
              <w:rPr>
                <w:noProof/>
                <w:sz w:val="20"/>
              </w:rPr>
              <w:t>Jieħdu passi biex jikkjarifikaw l-istatus legali tal-pjan ta’ ġestjoni tar-riskju ta’ għargħar</w:t>
            </w:r>
            <w:r>
              <w:rPr>
                <w:noProof/>
                <w:sz w:val="20"/>
              </w:rPr>
              <w:t>.</w:t>
            </w:r>
          </w:p>
        </w:tc>
        <w:tc>
          <w:tcPr>
            <w:tcW w:w="2357" w:type="dxa"/>
            <w:shd w:val="clear" w:color="auto" w:fill="auto"/>
            <w:vAlign w:val="center"/>
          </w:tcPr>
          <w:p w:rsidR="00ED031C" w:rsidRDefault="0050347A">
            <w:pPr>
              <w:pStyle w:val="Text1"/>
              <w:ind w:left="0"/>
              <w:rPr>
                <w:noProof/>
                <w:sz w:val="20"/>
              </w:rPr>
            </w:pPr>
            <w:r>
              <w:rPr>
                <w:noProof/>
                <w:sz w:val="20"/>
              </w:rPr>
              <w:t>LT</w:t>
            </w:r>
          </w:p>
        </w:tc>
      </w:tr>
      <w:tr w:rsidR="00ED031C">
        <w:trPr>
          <w:trHeight w:val="180"/>
        </w:trPr>
        <w:tc>
          <w:tcPr>
            <w:tcW w:w="7111" w:type="dxa"/>
            <w:shd w:val="clear" w:color="auto" w:fill="auto"/>
            <w:vAlign w:val="center"/>
          </w:tcPr>
          <w:p w:rsidR="00ED031C" w:rsidRDefault="0050347A">
            <w:pPr>
              <w:pStyle w:val="Text1"/>
              <w:numPr>
                <w:ilvl w:val="0"/>
                <w:numId w:val="2"/>
              </w:numPr>
              <w:rPr>
                <w:noProof/>
                <w:sz w:val="20"/>
              </w:rPr>
            </w:pPr>
            <w:r>
              <w:rPr>
                <w:noProof/>
                <w:sz w:val="20"/>
              </w:rPr>
              <w:t>Ilestu b’mod urġenti l-implimentazzjoni tad-Direttiva dwar it-Trattament tal-Ilma Urban Mormi (UWWT) għall-agglomerazzjonijiet kollha. Ikomplu jipprijoritizzaw l-investimenti għall-impjanti tal-UWWT, inkluż permezz ta’ użu effiċjenti tal-fondi tal-UE</w:t>
            </w:r>
            <w:r>
              <w:rPr>
                <w:noProof/>
                <w:sz w:val="20"/>
              </w:rPr>
              <w:t xml:space="preserve"> fejn disponibbli.</w:t>
            </w:r>
          </w:p>
        </w:tc>
        <w:tc>
          <w:tcPr>
            <w:tcW w:w="2357" w:type="dxa"/>
            <w:shd w:val="clear" w:color="auto" w:fill="auto"/>
            <w:vAlign w:val="center"/>
          </w:tcPr>
          <w:p w:rsidR="00ED031C" w:rsidRDefault="0050347A">
            <w:pPr>
              <w:pStyle w:val="Text1"/>
              <w:ind w:left="0"/>
              <w:rPr>
                <w:noProof/>
                <w:sz w:val="20"/>
              </w:rPr>
            </w:pPr>
            <w:r>
              <w:rPr>
                <w:noProof/>
                <w:sz w:val="20"/>
              </w:rPr>
              <w:t>BG, CY, EL, ES, FR, HR, HU, IE, IT, LT, LU, LV, MT, PL, PT, RO, SI, SK</w:t>
            </w:r>
          </w:p>
        </w:tc>
      </w:tr>
      <w:tr w:rsidR="00ED031C">
        <w:trPr>
          <w:cantSplit/>
        </w:trPr>
        <w:tc>
          <w:tcPr>
            <w:tcW w:w="9468" w:type="dxa"/>
            <w:gridSpan w:val="2"/>
            <w:shd w:val="clear" w:color="auto" w:fill="C6D9F1" w:themeFill="text2" w:themeFillTint="33"/>
            <w:vAlign w:val="center"/>
          </w:tcPr>
          <w:p w:rsidR="00ED031C" w:rsidRDefault="0050347A">
            <w:pPr>
              <w:pStyle w:val="Text1"/>
              <w:keepLines/>
              <w:spacing w:after="0"/>
              <w:ind w:left="0"/>
              <w:rPr>
                <w:b/>
                <w:noProof/>
                <w:sz w:val="20"/>
              </w:rPr>
            </w:pPr>
            <w:r>
              <w:rPr>
                <w:b/>
                <w:noProof/>
                <w:sz w:val="20"/>
              </w:rPr>
              <w:t>Finanzjament u nvestimenti ambjentali</w:t>
            </w:r>
          </w:p>
        </w:tc>
      </w:tr>
      <w:tr w:rsidR="00ED031C">
        <w:trPr>
          <w:cantSplit/>
        </w:trPr>
        <w:tc>
          <w:tcPr>
            <w:tcW w:w="7111" w:type="dxa"/>
            <w:vAlign w:val="center"/>
          </w:tcPr>
          <w:p w:rsidR="00ED031C" w:rsidRDefault="0050347A">
            <w:pPr>
              <w:pStyle w:val="Text1"/>
              <w:keepLines/>
              <w:numPr>
                <w:ilvl w:val="0"/>
                <w:numId w:val="2"/>
              </w:numPr>
              <w:rPr>
                <w:noProof/>
                <w:sz w:val="20"/>
              </w:rPr>
            </w:pPr>
            <w:r>
              <w:rPr>
                <w:noProof/>
                <w:sz w:val="20"/>
              </w:rPr>
              <w:t xml:space="preserve">Jiżguraw finanzjament adegwat, inkluż billi jimmobilizzaw l-investimenti u jużaw fondi tal-UE, biex jittrattaw l-isfidi ambjentali ewlenin li jaffettwaw il-pajjiż. </w:t>
            </w:r>
          </w:p>
        </w:tc>
        <w:tc>
          <w:tcPr>
            <w:tcW w:w="2357" w:type="dxa"/>
            <w:vAlign w:val="center"/>
          </w:tcPr>
          <w:p w:rsidR="00ED031C" w:rsidRDefault="0050347A">
            <w:pPr>
              <w:pStyle w:val="Text1"/>
              <w:ind w:left="0"/>
              <w:rPr>
                <w:noProof/>
                <w:sz w:val="20"/>
              </w:rPr>
            </w:pPr>
            <w:r>
              <w:rPr>
                <w:noProof/>
                <w:sz w:val="20"/>
              </w:rPr>
              <w:t>AT, BG, DE, EL, ES, FI, FR, HU, IT, LU, NL, PT, RO, SE, SI, UK</w:t>
            </w:r>
          </w:p>
        </w:tc>
      </w:tr>
      <w:tr w:rsidR="00ED031C">
        <w:trPr>
          <w:cantSplit/>
        </w:trPr>
        <w:tc>
          <w:tcPr>
            <w:tcW w:w="7111" w:type="dxa"/>
            <w:vAlign w:val="center"/>
          </w:tcPr>
          <w:p w:rsidR="00ED031C" w:rsidRDefault="0050347A">
            <w:pPr>
              <w:pStyle w:val="Text1"/>
              <w:keepLines/>
              <w:numPr>
                <w:ilvl w:val="0"/>
                <w:numId w:val="2"/>
              </w:numPr>
              <w:rPr>
                <w:noProof/>
                <w:sz w:val="20"/>
              </w:rPr>
            </w:pPr>
            <w:r>
              <w:rPr>
                <w:noProof/>
                <w:sz w:val="20"/>
              </w:rPr>
              <w:t>Itejbu l-kapaċità li l-fond</w:t>
            </w:r>
            <w:r>
              <w:rPr>
                <w:noProof/>
                <w:sz w:val="20"/>
              </w:rPr>
              <w:t>i tal-UE għall-ambjent jintużaw b’mod effettiv, inkluż għat-tħejjija għall-perjodu ta’ finanzjament li jmiss 2021-2027.</w:t>
            </w:r>
          </w:p>
        </w:tc>
        <w:tc>
          <w:tcPr>
            <w:tcW w:w="2357" w:type="dxa"/>
            <w:vAlign w:val="center"/>
          </w:tcPr>
          <w:p w:rsidR="00ED031C" w:rsidRDefault="0050347A">
            <w:pPr>
              <w:pStyle w:val="Text1"/>
              <w:ind w:left="0"/>
              <w:rPr>
                <w:noProof/>
                <w:sz w:val="20"/>
              </w:rPr>
            </w:pPr>
            <w:r>
              <w:rPr>
                <w:noProof/>
                <w:sz w:val="20"/>
              </w:rPr>
              <w:t>CZ, EE, EL, HR, LT, LV, PL, RO, SK</w:t>
            </w:r>
          </w:p>
        </w:tc>
      </w:tr>
      <w:tr w:rsidR="00ED031C">
        <w:tc>
          <w:tcPr>
            <w:tcW w:w="9468" w:type="dxa"/>
            <w:gridSpan w:val="2"/>
            <w:shd w:val="clear" w:color="auto" w:fill="C6D9F1" w:themeFill="text2" w:themeFillTint="33"/>
            <w:vAlign w:val="center"/>
          </w:tcPr>
          <w:p w:rsidR="00ED031C" w:rsidRDefault="0050347A">
            <w:pPr>
              <w:pStyle w:val="Text1"/>
              <w:spacing w:after="0"/>
              <w:ind w:left="0"/>
              <w:rPr>
                <w:noProof/>
                <w:sz w:val="20"/>
              </w:rPr>
            </w:pPr>
            <w:r>
              <w:rPr>
                <w:b/>
                <w:noProof/>
                <w:sz w:val="20"/>
              </w:rPr>
              <w:t>Informazzjoni, parteċipazzjoni pubblika u aċċess għall-ġustizzja</w:t>
            </w:r>
          </w:p>
        </w:tc>
      </w:tr>
      <w:tr w:rsidR="00ED031C">
        <w:tc>
          <w:tcPr>
            <w:tcW w:w="7111" w:type="dxa"/>
            <w:vAlign w:val="center"/>
          </w:tcPr>
          <w:p w:rsidR="00ED031C" w:rsidRDefault="0050347A">
            <w:pPr>
              <w:pStyle w:val="ListParagraph"/>
              <w:widowControl w:val="0"/>
              <w:numPr>
                <w:ilvl w:val="0"/>
                <w:numId w:val="2"/>
              </w:numPr>
              <w:rPr>
                <w:noProof/>
                <w:sz w:val="20"/>
              </w:rPr>
            </w:pPr>
            <w:r>
              <w:rPr>
                <w:noProof/>
                <w:sz w:val="20"/>
              </w:rPr>
              <w:t>Itejbu l-aċċess għad-</w:t>
            </w:r>
            <w:r>
              <w:rPr>
                <w:i/>
                <w:noProof/>
                <w:sz w:val="20"/>
              </w:rPr>
              <w:t>data</w:t>
            </w:r>
            <w:r>
              <w:rPr>
                <w:noProof/>
                <w:sz w:val="20"/>
              </w:rPr>
              <w:t xml:space="preserve"> u s-servizzi spazjali billi jagħmlu konnessjonijiet aktar b’saħħithom bejn il-portali INSPIRE tal-pajjiżi, jidentifikaw u jiddokumentaw is-settijiet ta’ </w:t>
            </w:r>
            <w:r>
              <w:rPr>
                <w:i/>
                <w:noProof/>
                <w:sz w:val="20"/>
              </w:rPr>
              <w:t>data</w:t>
            </w:r>
            <w:r>
              <w:rPr>
                <w:noProof/>
                <w:sz w:val="20"/>
              </w:rPr>
              <w:t xml:space="preserve"> spazjali kollha meħtieġa għall-implimentazzjoni tal-liġi ambjentali, u jagħmlu d-</w:t>
            </w:r>
            <w:r>
              <w:rPr>
                <w:i/>
                <w:noProof/>
                <w:sz w:val="20"/>
              </w:rPr>
              <w:t>data</w:t>
            </w:r>
            <w:r>
              <w:rPr>
                <w:noProof/>
                <w:sz w:val="20"/>
              </w:rPr>
              <w:t xml:space="preserve"> u d-dokumen</w:t>
            </w:r>
            <w:r>
              <w:rPr>
                <w:noProof/>
                <w:sz w:val="20"/>
              </w:rPr>
              <w:t xml:space="preserve">tazzjoni tal-anqas disponibbli </w:t>
            </w:r>
            <w:r>
              <w:rPr>
                <w:i/>
                <w:noProof/>
                <w:sz w:val="20"/>
              </w:rPr>
              <w:t>'kif inhi'</w:t>
            </w:r>
            <w:r>
              <w:rPr>
                <w:noProof/>
                <w:sz w:val="20"/>
              </w:rPr>
              <w:t xml:space="preserve"> għal awtoritajiet pubbliċi oħra u għall-pubbliku permezz tas-servizzi diġitali previsti fid-Direttiva dwar l-INSPIRE.</w:t>
            </w:r>
          </w:p>
        </w:tc>
        <w:tc>
          <w:tcPr>
            <w:tcW w:w="2357" w:type="dxa"/>
            <w:shd w:val="clear" w:color="auto" w:fill="auto"/>
            <w:vAlign w:val="center"/>
          </w:tcPr>
          <w:p w:rsidR="00ED031C" w:rsidRDefault="0050347A">
            <w:pPr>
              <w:spacing w:after="120"/>
              <w:jc w:val="both"/>
              <w:rPr>
                <w:noProof/>
              </w:rPr>
            </w:pPr>
            <w:r>
              <w:rPr>
                <w:noProof/>
              </w:rPr>
              <w:t>L-Istati Membri kollha</w:t>
            </w:r>
          </w:p>
        </w:tc>
      </w:tr>
      <w:tr w:rsidR="00ED031C">
        <w:tc>
          <w:tcPr>
            <w:tcW w:w="7111" w:type="dxa"/>
            <w:vAlign w:val="center"/>
          </w:tcPr>
          <w:p w:rsidR="00ED031C" w:rsidRDefault="0050347A">
            <w:pPr>
              <w:pStyle w:val="ListParagraph"/>
              <w:widowControl w:val="0"/>
              <w:numPr>
                <w:ilvl w:val="0"/>
                <w:numId w:val="2"/>
              </w:numPr>
              <w:rPr>
                <w:noProof/>
                <w:sz w:val="20"/>
              </w:rPr>
            </w:pPr>
            <w:r>
              <w:rPr>
                <w:noProof/>
                <w:sz w:val="20"/>
              </w:rPr>
              <w:t>Jiffaċilitaw il-parteċipazzjoni pubblika fl-implimentazzjoni tal-leġiżla</w:t>
            </w:r>
            <w:r>
              <w:rPr>
                <w:noProof/>
                <w:sz w:val="20"/>
              </w:rPr>
              <w:t>zzjoni ambjentali tal-UE.</w:t>
            </w:r>
          </w:p>
        </w:tc>
        <w:tc>
          <w:tcPr>
            <w:tcW w:w="2357" w:type="dxa"/>
            <w:shd w:val="clear" w:color="auto" w:fill="auto"/>
            <w:vAlign w:val="center"/>
          </w:tcPr>
          <w:p w:rsidR="00ED031C" w:rsidRDefault="0050347A">
            <w:pPr>
              <w:spacing w:after="120"/>
              <w:jc w:val="both"/>
              <w:rPr>
                <w:noProof/>
              </w:rPr>
            </w:pPr>
            <w:r>
              <w:rPr>
                <w:noProof/>
              </w:rPr>
              <w:t>BE, CZ, HU, LT, PL, RO, SI</w:t>
            </w:r>
          </w:p>
        </w:tc>
      </w:tr>
      <w:tr w:rsidR="00ED031C">
        <w:tc>
          <w:tcPr>
            <w:tcW w:w="7111" w:type="dxa"/>
            <w:vAlign w:val="center"/>
          </w:tcPr>
          <w:p w:rsidR="00ED031C" w:rsidRDefault="0050347A">
            <w:pPr>
              <w:pStyle w:val="ListParagraph"/>
              <w:widowControl w:val="0"/>
              <w:numPr>
                <w:ilvl w:val="0"/>
                <w:numId w:val="2"/>
              </w:numPr>
              <w:rPr>
                <w:noProof/>
                <w:sz w:val="20"/>
              </w:rPr>
            </w:pPr>
            <w:r>
              <w:rPr>
                <w:noProof/>
                <w:sz w:val="20"/>
              </w:rPr>
              <w:t xml:space="preserve">Jiżguraw li jkun hemm pożizzjoni legali biex l-NGOs ambjentali jippreżentaw kontestazzjonijiet legali fuq kwistjonijiet ambjentali, fejn ikun rilevanti, mingħajr ma jiffaċċjaw spejjeż projbittivi. </w:t>
            </w:r>
          </w:p>
        </w:tc>
        <w:tc>
          <w:tcPr>
            <w:tcW w:w="2357" w:type="dxa"/>
            <w:shd w:val="clear" w:color="auto" w:fill="auto"/>
            <w:vAlign w:val="center"/>
          </w:tcPr>
          <w:p w:rsidR="00ED031C" w:rsidRDefault="0050347A">
            <w:pPr>
              <w:spacing w:after="120"/>
              <w:jc w:val="both"/>
              <w:rPr>
                <w:noProof/>
              </w:rPr>
            </w:pPr>
            <w:r>
              <w:rPr>
                <w:noProof/>
              </w:rPr>
              <w:t xml:space="preserve">BG, </w:t>
            </w:r>
            <w:r>
              <w:rPr>
                <w:noProof/>
              </w:rPr>
              <w:t>CY, FI, HR, HU, IE, LT, LU, MT, PL, RO</w:t>
            </w:r>
          </w:p>
        </w:tc>
      </w:tr>
      <w:tr w:rsidR="00ED031C">
        <w:tc>
          <w:tcPr>
            <w:tcW w:w="7111" w:type="dxa"/>
            <w:vAlign w:val="center"/>
          </w:tcPr>
          <w:p w:rsidR="00ED031C" w:rsidRDefault="0050347A">
            <w:pPr>
              <w:pStyle w:val="ListParagraph"/>
              <w:widowControl w:val="0"/>
              <w:numPr>
                <w:ilvl w:val="0"/>
                <w:numId w:val="2"/>
              </w:numPr>
              <w:rPr>
                <w:noProof/>
                <w:sz w:val="20"/>
              </w:rPr>
            </w:pPr>
            <w:r>
              <w:rPr>
                <w:noProof/>
                <w:sz w:val="20"/>
              </w:rPr>
              <w:t>Jinfurmaw aħjar lill-pubbliku dwar l-aċċess tagħhom għad-drittijiet ta’ ġustizzja.</w:t>
            </w:r>
          </w:p>
        </w:tc>
        <w:tc>
          <w:tcPr>
            <w:tcW w:w="2357" w:type="dxa"/>
            <w:shd w:val="clear" w:color="auto" w:fill="auto"/>
            <w:vAlign w:val="center"/>
          </w:tcPr>
          <w:p w:rsidR="00ED031C" w:rsidRDefault="0050347A">
            <w:pPr>
              <w:spacing w:after="120"/>
              <w:jc w:val="both"/>
              <w:rPr>
                <w:noProof/>
              </w:rPr>
            </w:pPr>
            <w:r>
              <w:rPr>
                <w:noProof/>
              </w:rPr>
              <w:t>AT, BE, CY, EE, EL, ES, FI, FR, HR, IE, IT, LU, LV, MT, NL, PT, RO, SE, SK, UK</w:t>
            </w:r>
          </w:p>
        </w:tc>
      </w:tr>
      <w:tr w:rsidR="00ED031C">
        <w:tc>
          <w:tcPr>
            <w:tcW w:w="9468" w:type="dxa"/>
            <w:gridSpan w:val="2"/>
            <w:shd w:val="clear" w:color="auto" w:fill="C6D9F1" w:themeFill="text2" w:themeFillTint="33"/>
            <w:vAlign w:val="center"/>
          </w:tcPr>
          <w:p w:rsidR="00ED031C" w:rsidRDefault="0050347A">
            <w:pPr>
              <w:pStyle w:val="Text1"/>
              <w:spacing w:after="0"/>
              <w:ind w:left="0"/>
              <w:rPr>
                <w:noProof/>
                <w:sz w:val="20"/>
              </w:rPr>
            </w:pPr>
            <w:r>
              <w:rPr>
                <w:b/>
                <w:noProof/>
                <w:sz w:val="20"/>
              </w:rPr>
              <w:t>Assigurazzjoni tal-konformità</w:t>
            </w:r>
          </w:p>
        </w:tc>
      </w:tr>
      <w:tr w:rsidR="00ED031C">
        <w:tc>
          <w:tcPr>
            <w:tcW w:w="7111" w:type="dxa"/>
            <w:vAlign w:val="center"/>
          </w:tcPr>
          <w:p w:rsidR="00ED031C" w:rsidRDefault="0050347A">
            <w:pPr>
              <w:pStyle w:val="ListParagraph"/>
              <w:widowControl w:val="0"/>
              <w:numPr>
                <w:ilvl w:val="0"/>
                <w:numId w:val="2"/>
              </w:numPr>
              <w:rPr>
                <w:noProof/>
                <w:sz w:val="20"/>
              </w:rPr>
            </w:pPr>
            <w:r>
              <w:rPr>
                <w:noProof/>
                <w:sz w:val="20"/>
              </w:rPr>
              <w:t xml:space="preserve">Jinfurmaw aħjar </w:t>
            </w:r>
            <w:r>
              <w:rPr>
                <w:noProof/>
                <w:sz w:val="20"/>
              </w:rPr>
              <w:t>lill-pubbliku dwar il-promozzjoni, il-monitoraġġ u l-infurzar tal-konformità.</w:t>
            </w:r>
          </w:p>
        </w:tc>
        <w:tc>
          <w:tcPr>
            <w:tcW w:w="2357" w:type="dxa"/>
            <w:shd w:val="clear" w:color="auto" w:fill="auto"/>
            <w:vAlign w:val="center"/>
          </w:tcPr>
          <w:p w:rsidR="00ED031C" w:rsidRDefault="0050347A">
            <w:pPr>
              <w:spacing w:after="120"/>
              <w:jc w:val="both"/>
              <w:rPr>
                <w:noProof/>
              </w:rPr>
            </w:pPr>
            <w:r>
              <w:rPr>
                <w:noProof/>
              </w:rPr>
              <w:t>L-Istati Membri kollha</w:t>
            </w:r>
          </w:p>
        </w:tc>
      </w:tr>
      <w:tr w:rsidR="00ED031C">
        <w:tc>
          <w:tcPr>
            <w:tcW w:w="7111" w:type="dxa"/>
            <w:vAlign w:val="center"/>
          </w:tcPr>
          <w:p w:rsidR="00ED031C" w:rsidRDefault="0050347A">
            <w:pPr>
              <w:pStyle w:val="ListParagraph"/>
              <w:widowControl w:val="0"/>
              <w:numPr>
                <w:ilvl w:val="0"/>
                <w:numId w:val="2"/>
              </w:numPr>
              <w:rPr>
                <w:noProof/>
                <w:sz w:val="20"/>
              </w:rPr>
            </w:pPr>
            <w:r>
              <w:rPr>
                <w:noProof/>
                <w:sz w:val="20"/>
              </w:rPr>
              <w:t>Jiżguraw aktar informazzjoni dwar kif il-professjonisti li jittrattaw il-kriminalità ambjentali jaħdmu flimkien.</w:t>
            </w:r>
          </w:p>
        </w:tc>
        <w:tc>
          <w:tcPr>
            <w:tcW w:w="2357" w:type="dxa"/>
            <w:vAlign w:val="center"/>
          </w:tcPr>
          <w:p w:rsidR="00ED031C" w:rsidRDefault="0050347A">
            <w:pPr>
              <w:spacing w:after="120"/>
              <w:jc w:val="both"/>
              <w:rPr>
                <w:noProof/>
              </w:rPr>
            </w:pPr>
            <w:r>
              <w:rPr>
                <w:noProof/>
              </w:rPr>
              <w:t>AT, BE, BG, DK, EL, HR, HU, IE, LT, LU, L</w:t>
            </w:r>
            <w:r>
              <w:rPr>
                <w:noProof/>
              </w:rPr>
              <w:t>V, MT, NL, PL, SE, SI, SK, UK</w:t>
            </w:r>
          </w:p>
        </w:tc>
      </w:tr>
      <w:tr w:rsidR="00ED031C">
        <w:tc>
          <w:tcPr>
            <w:tcW w:w="7111" w:type="dxa"/>
            <w:vAlign w:val="center"/>
          </w:tcPr>
          <w:p w:rsidR="00ED031C" w:rsidRDefault="0050347A">
            <w:pPr>
              <w:pStyle w:val="ListParagraph"/>
              <w:numPr>
                <w:ilvl w:val="0"/>
                <w:numId w:val="2"/>
              </w:numPr>
              <w:rPr>
                <w:noProof/>
                <w:sz w:val="20"/>
              </w:rPr>
            </w:pPr>
            <w:r>
              <w:rPr>
                <w:noProof/>
                <w:sz w:val="20"/>
              </w:rPr>
              <w:t xml:space="preserve">Itejbu s-sigurtà finanzjarja għall-obbligazzjonijiet skont id-Direttiva dwar ir-Responsabbiltà Ambjentali (ELD) u/jew il-gwida dwar l-ELD, u/jew il-ġbir u l-pubblikazzjoni ta’ informazzjoni dwar il-ħsara ambjentali. </w:t>
            </w:r>
          </w:p>
        </w:tc>
        <w:tc>
          <w:tcPr>
            <w:tcW w:w="2357" w:type="dxa"/>
            <w:shd w:val="clear" w:color="auto" w:fill="auto"/>
            <w:vAlign w:val="center"/>
          </w:tcPr>
          <w:p w:rsidR="00ED031C" w:rsidRDefault="0050347A">
            <w:pPr>
              <w:spacing w:after="120"/>
              <w:jc w:val="both"/>
              <w:rPr>
                <w:noProof/>
              </w:rPr>
            </w:pPr>
            <w:r>
              <w:rPr>
                <w:noProof/>
              </w:rPr>
              <w:t xml:space="preserve">AT, BE, </w:t>
            </w:r>
            <w:r>
              <w:rPr>
                <w:noProof/>
              </w:rPr>
              <w:t>BG, CY, CZ, DE, DK, EE, EL, FI, FR, HR, HU, IE, IT, LT, LU, LV, MT, NL, PL, RO, SE, SI, SK, UK</w:t>
            </w:r>
          </w:p>
        </w:tc>
      </w:tr>
      <w:tr w:rsidR="00ED031C">
        <w:trPr>
          <w:trHeight w:val="1115"/>
        </w:trPr>
        <w:tc>
          <w:tcPr>
            <w:tcW w:w="7111" w:type="dxa"/>
            <w:shd w:val="clear" w:color="auto" w:fill="auto"/>
            <w:vAlign w:val="center"/>
          </w:tcPr>
          <w:p w:rsidR="00ED031C" w:rsidRDefault="0050347A">
            <w:pPr>
              <w:pStyle w:val="ListParagraph"/>
              <w:numPr>
                <w:ilvl w:val="0"/>
                <w:numId w:val="2"/>
              </w:numPr>
              <w:rPr>
                <w:noProof/>
                <w:sz w:val="20"/>
              </w:rPr>
            </w:pPr>
            <w:r>
              <w:rPr>
                <w:noProof/>
                <w:sz w:val="20"/>
              </w:rPr>
              <w:t>Jippubblikaw informazzjoni dwar l-eżitu tal-azzjoni ta’ infurzar u dwar is-segwitu għall-ksur misjub tal-kondizzjonalità dwar in-nitrati u n-natura.</w:t>
            </w:r>
          </w:p>
        </w:tc>
        <w:tc>
          <w:tcPr>
            <w:tcW w:w="2357" w:type="dxa"/>
            <w:shd w:val="clear" w:color="auto" w:fill="auto"/>
            <w:vAlign w:val="center"/>
          </w:tcPr>
          <w:p w:rsidR="00ED031C" w:rsidRDefault="0050347A">
            <w:pPr>
              <w:pStyle w:val="Text1"/>
              <w:ind w:left="0"/>
              <w:rPr>
                <w:noProof/>
                <w:sz w:val="20"/>
              </w:rPr>
            </w:pPr>
            <w:r>
              <w:rPr>
                <w:noProof/>
                <w:sz w:val="20"/>
              </w:rPr>
              <w:t>AT, BE, BG,</w:t>
            </w:r>
            <w:r>
              <w:rPr>
                <w:noProof/>
                <w:sz w:val="20"/>
              </w:rPr>
              <w:t xml:space="preserve"> CY, DE, DK, EE, EL, ES, FI, FR, HR, IE, IT, LT, LU, LV, MT, NL, PL, PT, RO, SE, SK, SI, UK</w:t>
            </w:r>
          </w:p>
        </w:tc>
      </w:tr>
      <w:tr w:rsidR="00ED031C">
        <w:tc>
          <w:tcPr>
            <w:tcW w:w="9468" w:type="dxa"/>
            <w:gridSpan w:val="2"/>
            <w:shd w:val="clear" w:color="auto" w:fill="C6D9F1" w:themeFill="text2" w:themeFillTint="33"/>
            <w:vAlign w:val="center"/>
          </w:tcPr>
          <w:p w:rsidR="00ED031C" w:rsidRDefault="0050347A">
            <w:pPr>
              <w:pStyle w:val="Text1"/>
              <w:spacing w:after="0"/>
              <w:ind w:left="0"/>
              <w:rPr>
                <w:b/>
                <w:noProof/>
                <w:sz w:val="20"/>
              </w:rPr>
            </w:pPr>
            <w:r>
              <w:rPr>
                <w:b/>
                <w:noProof/>
                <w:sz w:val="20"/>
              </w:rPr>
              <w:t>L-effettività tal-amministrazzjonijiet ambjentali</w:t>
            </w:r>
          </w:p>
        </w:tc>
      </w:tr>
      <w:tr w:rsidR="00ED031C">
        <w:tc>
          <w:tcPr>
            <w:tcW w:w="7111" w:type="dxa"/>
            <w:vAlign w:val="center"/>
          </w:tcPr>
          <w:p w:rsidR="00ED031C" w:rsidRDefault="0050347A">
            <w:pPr>
              <w:pStyle w:val="ListParagraph"/>
              <w:numPr>
                <w:ilvl w:val="0"/>
                <w:numId w:val="2"/>
              </w:numPr>
              <w:rPr>
                <w:noProof/>
                <w:sz w:val="20"/>
              </w:rPr>
            </w:pPr>
            <w:r>
              <w:rPr>
                <w:noProof/>
                <w:sz w:val="20"/>
              </w:rPr>
              <w:t xml:space="preserve">Ikomplu jtejbu l-governanza ambjentali ġenerali (bħat-trasparenza, l-involviment taċ-ċittadini, il-konformità u </w:t>
            </w:r>
            <w:r>
              <w:rPr>
                <w:noProof/>
                <w:sz w:val="20"/>
              </w:rPr>
              <w:t>l-infurzar kif ukoll il-kapaċità u l-koordinazzjoni amministrattiva).</w:t>
            </w:r>
          </w:p>
        </w:tc>
        <w:tc>
          <w:tcPr>
            <w:tcW w:w="2357" w:type="dxa"/>
            <w:shd w:val="clear" w:color="auto" w:fill="auto"/>
            <w:vAlign w:val="center"/>
          </w:tcPr>
          <w:p w:rsidR="00ED031C" w:rsidRDefault="0050347A">
            <w:pPr>
              <w:pStyle w:val="Text1"/>
              <w:ind w:left="0"/>
              <w:rPr>
                <w:noProof/>
                <w:sz w:val="20"/>
              </w:rPr>
            </w:pPr>
            <w:r>
              <w:rPr>
                <w:noProof/>
                <w:sz w:val="20"/>
              </w:rPr>
              <w:t>L-Istati Membri kollha</w:t>
            </w:r>
          </w:p>
        </w:tc>
      </w:tr>
      <w:tr w:rsidR="00ED031C">
        <w:tc>
          <w:tcPr>
            <w:tcW w:w="7111" w:type="dxa"/>
            <w:vAlign w:val="center"/>
          </w:tcPr>
          <w:p w:rsidR="00ED031C" w:rsidRDefault="0050347A">
            <w:pPr>
              <w:pStyle w:val="ListParagraph"/>
              <w:numPr>
                <w:ilvl w:val="0"/>
                <w:numId w:val="2"/>
              </w:numPr>
              <w:rPr>
                <w:noProof/>
                <w:sz w:val="20"/>
              </w:rPr>
            </w:pPr>
            <w:r>
              <w:rPr>
                <w:noProof/>
                <w:sz w:val="20"/>
              </w:rPr>
              <w:t>Ilestu t-traspożizzjoni tad-Direttiva riveduta dwar il-Valutazzjoni tal-Impatt Ambjentali (VIA).</w:t>
            </w:r>
          </w:p>
        </w:tc>
        <w:tc>
          <w:tcPr>
            <w:tcW w:w="2357" w:type="dxa"/>
            <w:shd w:val="clear" w:color="auto" w:fill="auto"/>
            <w:vAlign w:val="center"/>
          </w:tcPr>
          <w:p w:rsidR="00ED031C" w:rsidRDefault="0050347A">
            <w:pPr>
              <w:pStyle w:val="Text1"/>
              <w:ind w:left="0"/>
              <w:rPr>
                <w:noProof/>
                <w:sz w:val="20"/>
              </w:rPr>
            </w:pPr>
            <w:r>
              <w:rPr>
                <w:noProof/>
                <w:sz w:val="20"/>
              </w:rPr>
              <w:t>DE, LT</w:t>
            </w:r>
          </w:p>
        </w:tc>
      </w:tr>
      <w:tr w:rsidR="00ED031C">
        <w:tc>
          <w:tcPr>
            <w:tcW w:w="7111" w:type="dxa"/>
            <w:vAlign w:val="center"/>
          </w:tcPr>
          <w:p w:rsidR="00ED031C" w:rsidRDefault="0050347A">
            <w:pPr>
              <w:pStyle w:val="ListParagraph"/>
              <w:numPr>
                <w:ilvl w:val="0"/>
                <w:numId w:val="2"/>
              </w:numPr>
              <w:rPr>
                <w:noProof/>
                <w:sz w:val="20"/>
              </w:rPr>
            </w:pPr>
            <w:r>
              <w:rPr>
                <w:noProof/>
                <w:sz w:val="20"/>
              </w:rPr>
              <w:t>Jindirizzaw il-frammentazzjoni f’livelli reġjonali u loka</w:t>
            </w:r>
            <w:r>
              <w:rPr>
                <w:noProof/>
                <w:sz w:val="20"/>
              </w:rPr>
              <w:t xml:space="preserve">li billi jiżviluppaw mekkaniżmi aħjar ta’ koordinazzjoni għall-ambjent. </w:t>
            </w:r>
          </w:p>
        </w:tc>
        <w:tc>
          <w:tcPr>
            <w:tcW w:w="2357" w:type="dxa"/>
            <w:shd w:val="clear" w:color="auto" w:fill="auto"/>
            <w:vAlign w:val="center"/>
          </w:tcPr>
          <w:p w:rsidR="00ED031C" w:rsidRDefault="0050347A">
            <w:pPr>
              <w:pStyle w:val="Text1"/>
              <w:ind w:left="0"/>
              <w:rPr>
                <w:noProof/>
                <w:sz w:val="20"/>
              </w:rPr>
            </w:pPr>
            <w:r>
              <w:rPr>
                <w:noProof/>
                <w:sz w:val="20"/>
              </w:rPr>
              <w:t>EL, ES, IT</w:t>
            </w:r>
          </w:p>
        </w:tc>
      </w:tr>
      <w:tr w:rsidR="00ED031C">
        <w:tc>
          <w:tcPr>
            <w:tcW w:w="7111" w:type="dxa"/>
            <w:vAlign w:val="center"/>
          </w:tcPr>
          <w:p w:rsidR="00ED031C" w:rsidRDefault="0050347A">
            <w:pPr>
              <w:pStyle w:val="ListParagraph"/>
              <w:numPr>
                <w:ilvl w:val="0"/>
                <w:numId w:val="2"/>
              </w:numPr>
              <w:rPr>
                <w:noProof/>
                <w:sz w:val="20"/>
              </w:rPr>
            </w:pPr>
            <w:r>
              <w:rPr>
                <w:noProof/>
                <w:sz w:val="20"/>
              </w:rPr>
              <w:t xml:space="preserve">Ikomplu jagħmlu sforzi biex jissimplifikaw il-proċeduri ta’ valutazzjoni ambjentali. </w:t>
            </w:r>
          </w:p>
        </w:tc>
        <w:tc>
          <w:tcPr>
            <w:tcW w:w="2357" w:type="dxa"/>
            <w:shd w:val="clear" w:color="auto" w:fill="auto"/>
            <w:vAlign w:val="center"/>
          </w:tcPr>
          <w:p w:rsidR="00ED031C" w:rsidRDefault="0050347A">
            <w:pPr>
              <w:pStyle w:val="Text1"/>
              <w:ind w:left="0"/>
              <w:rPr>
                <w:noProof/>
                <w:sz w:val="20"/>
              </w:rPr>
            </w:pPr>
            <w:r>
              <w:rPr>
                <w:noProof/>
                <w:sz w:val="20"/>
              </w:rPr>
              <w:t>BE, CZ, HR</w:t>
            </w:r>
          </w:p>
        </w:tc>
      </w:tr>
      <w:tr w:rsidR="00ED031C">
        <w:tc>
          <w:tcPr>
            <w:tcW w:w="9468" w:type="dxa"/>
            <w:gridSpan w:val="2"/>
            <w:shd w:val="clear" w:color="auto" w:fill="C6D9F1" w:themeFill="text2" w:themeFillTint="33"/>
            <w:vAlign w:val="center"/>
          </w:tcPr>
          <w:p w:rsidR="00ED031C" w:rsidRDefault="0050347A">
            <w:pPr>
              <w:pStyle w:val="Text1"/>
              <w:spacing w:after="0"/>
              <w:ind w:left="0"/>
              <w:rPr>
                <w:b/>
                <w:noProof/>
                <w:sz w:val="20"/>
              </w:rPr>
            </w:pPr>
            <w:r>
              <w:rPr>
                <w:b/>
                <w:noProof/>
                <w:sz w:val="20"/>
              </w:rPr>
              <w:t>Ftehimiet internazzjonali</w:t>
            </w:r>
          </w:p>
        </w:tc>
      </w:tr>
      <w:tr w:rsidR="00ED031C">
        <w:tc>
          <w:tcPr>
            <w:tcW w:w="7111" w:type="dxa"/>
            <w:vAlign w:val="center"/>
          </w:tcPr>
          <w:p w:rsidR="00ED031C" w:rsidRDefault="0050347A">
            <w:pPr>
              <w:pStyle w:val="Text1"/>
              <w:numPr>
                <w:ilvl w:val="0"/>
                <w:numId w:val="2"/>
              </w:numPr>
              <w:rPr>
                <w:noProof/>
                <w:sz w:val="20"/>
              </w:rPr>
            </w:pPr>
            <w:r>
              <w:rPr>
                <w:noProof/>
                <w:sz w:val="20"/>
              </w:rPr>
              <w:t xml:space="preserve">Isiru partijiet għal ftehimiet ambjentali </w:t>
            </w:r>
            <w:r>
              <w:rPr>
                <w:noProof/>
                <w:sz w:val="20"/>
              </w:rPr>
              <w:t>multilaterali rilevanti billi jiffirmaw u jirratifikaw dawk li fadal.</w:t>
            </w:r>
          </w:p>
        </w:tc>
        <w:tc>
          <w:tcPr>
            <w:tcW w:w="2357" w:type="dxa"/>
            <w:vAlign w:val="center"/>
          </w:tcPr>
          <w:p w:rsidR="00ED031C" w:rsidRDefault="0050347A">
            <w:pPr>
              <w:pStyle w:val="Text1"/>
              <w:ind w:left="0"/>
              <w:rPr>
                <w:noProof/>
                <w:sz w:val="20"/>
              </w:rPr>
            </w:pPr>
            <w:r>
              <w:rPr>
                <w:noProof/>
                <w:sz w:val="20"/>
              </w:rPr>
              <w:t>AT, BE, CY, CZ, EL, ES, FR, IE, IT, LT, LV, MT, PL, PT, RO, SI, SK</w:t>
            </w:r>
          </w:p>
        </w:tc>
      </w:tr>
    </w:tbl>
    <w:p w:rsidR="00ED031C" w:rsidRDefault="00ED031C">
      <w:pPr>
        <w:jc w:val="both"/>
        <w:rPr>
          <w:noProof/>
        </w:rPr>
      </w:pPr>
    </w:p>
    <w:sectPr w:rsidR="00ED031C">
      <w:headerReference w:type="even" r:id="rId24"/>
      <w:headerReference w:type="default" r:id="rId25"/>
      <w:footerReference w:type="even" r:id="rId26"/>
      <w:footerReference w:type="default" r:id="rId27"/>
      <w:headerReference w:type="first" r:id="rId28"/>
      <w:footerReference w:type="first" r:id="rId29"/>
      <w:pgSz w:w="11906" w:h="16838"/>
      <w:pgMar w:top="1134" w:right="1417" w:bottom="851" w:left="141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31C" w:rsidRDefault="0050347A">
      <w:pPr>
        <w:spacing w:after="0" w:line="240" w:lineRule="auto"/>
      </w:pPr>
      <w:r>
        <w:separator/>
      </w:r>
    </w:p>
  </w:endnote>
  <w:endnote w:type="continuationSeparator" w:id="0">
    <w:p w:rsidR="00ED031C" w:rsidRDefault="0050347A">
      <w:pPr>
        <w:spacing w:after="0" w:line="240" w:lineRule="auto"/>
      </w:pPr>
      <w:r>
        <w:continuationSeparator/>
      </w:r>
    </w:p>
  </w:endnote>
  <w:endnote w:type="continuationNotice" w:id="1">
    <w:p w:rsidR="00ED031C" w:rsidRDefault="00ED0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7A" w:rsidRPr="0050347A" w:rsidRDefault="0050347A" w:rsidP="00503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7A" w:rsidRPr="0050347A" w:rsidRDefault="0050347A" w:rsidP="0050347A">
    <w:pPr>
      <w:pStyle w:val="FooterCoverPage"/>
      <w:rPr>
        <w:rFonts w:ascii="Arial" w:hAnsi="Arial" w:cs="Arial"/>
        <w:b/>
        <w:sz w:val="48"/>
      </w:rPr>
    </w:pPr>
    <w:r w:rsidRPr="0050347A">
      <w:rPr>
        <w:rFonts w:ascii="Arial" w:hAnsi="Arial" w:cs="Arial"/>
        <w:b/>
        <w:sz w:val="48"/>
      </w:rPr>
      <w:t>MT</w:t>
    </w:r>
    <w:r w:rsidRPr="0050347A">
      <w:rPr>
        <w:rFonts w:ascii="Arial" w:hAnsi="Arial" w:cs="Arial"/>
        <w:b/>
        <w:sz w:val="48"/>
      </w:rPr>
      <w:tab/>
    </w:r>
    <w:r w:rsidRPr="0050347A">
      <w:rPr>
        <w:rFonts w:ascii="Arial" w:hAnsi="Arial" w:cs="Arial"/>
        <w:b/>
        <w:sz w:val="48"/>
      </w:rPr>
      <w:tab/>
    </w:r>
    <w:r w:rsidRPr="0050347A">
      <w:tab/>
    </w:r>
    <w:r w:rsidRPr="0050347A">
      <w:rPr>
        <w:rFonts w:ascii="Arial" w:hAnsi="Arial" w:cs="Arial"/>
        <w:b/>
        <w:sz w:val="48"/>
      </w:rPr>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7A" w:rsidRPr="0050347A" w:rsidRDefault="0050347A" w:rsidP="0050347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1C" w:rsidRDefault="00ED03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874408"/>
      <w:docPartObj>
        <w:docPartGallery w:val="Page Numbers (Bottom of Page)"/>
        <w:docPartUnique/>
      </w:docPartObj>
    </w:sdtPr>
    <w:sdtEndPr>
      <w:rPr>
        <w:noProof/>
      </w:rPr>
    </w:sdtEndPr>
    <w:sdtContent>
      <w:p w:rsidR="00ED031C" w:rsidRDefault="005034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12966"/>
      <w:docPartObj>
        <w:docPartGallery w:val="Page Numbers (Bottom of Page)"/>
        <w:docPartUnique/>
      </w:docPartObj>
    </w:sdtPr>
    <w:sdtEndPr>
      <w:rPr>
        <w:noProof/>
      </w:rPr>
    </w:sdtEndPr>
    <w:sdtContent>
      <w:p w:rsidR="00ED031C" w:rsidRDefault="005034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1C" w:rsidRDefault="00ED031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49879"/>
      <w:docPartObj>
        <w:docPartGallery w:val="Page Numbers (Bottom of Page)"/>
        <w:docPartUnique/>
      </w:docPartObj>
    </w:sdtPr>
    <w:sdtEndPr>
      <w:rPr>
        <w:noProof/>
      </w:rPr>
    </w:sdtEndPr>
    <w:sdtContent>
      <w:p w:rsidR="00ED031C" w:rsidRDefault="0050347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8988"/>
      <w:docPartObj>
        <w:docPartGallery w:val="Page Numbers (Bottom of Page)"/>
        <w:docPartUnique/>
      </w:docPartObj>
    </w:sdtPr>
    <w:sdtEndPr>
      <w:rPr>
        <w:noProof/>
      </w:rPr>
    </w:sdtEndPr>
    <w:sdtContent>
      <w:p w:rsidR="00ED031C" w:rsidRDefault="0050347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31C" w:rsidRDefault="0050347A">
      <w:pPr>
        <w:spacing w:after="0" w:line="240" w:lineRule="auto"/>
      </w:pPr>
      <w:r>
        <w:separator/>
      </w:r>
    </w:p>
  </w:footnote>
  <w:footnote w:type="continuationSeparator" w:id="0">
    <w:p w:rsidR="00ED031C" w:rsidRDefault="0050347A">
      <w:pPr>
        <w:spacing w:after="0" w:line="240" w:lineRule="auto"/>
      </w:pPr>
      <w:r>
        <w:continuationSeparator/>
      </w:r>
    </w:p>
  </w:footnote>
  <w:footnote w:type="continuationNotice" w:id="1">
    <w:p w:rsidR="00ED031C" w:rsidRDefault="00ED031C">
      <w:pPr>
        <w:spacing w:after="0" w:line="240" w:lineRule="auto"/>
      </w:pPr>
    </w:p>
  </w:footnote>
  <w:footnote w:id="2">
    <w:p w:rsidR="00ED031C" w:rsidRDefault="0050347A">
      <w:pPr>
        <w:pStyle w:val="FootnoteText"/>
        <w:tabs>
          <w:tab w:val="left" w:pos="2552"/>
        </w:tabs>
        <w:jc w:val="left"/>
        <w:rPr>
          <w:sz w:val="16"/>
          <w:szCs w:val="16"/>
          <w:lang w:eastAsia="en-GB"/>
        </w:rPr>
      </w:pPr>
      <w:r>
        <w:footnoteRef/>
      </w:r>
      <w:r>
        <w:t xml:space="preserve"> </w:t>
      </w:r>
      <w:r>
        <w:tab/>
      </w:r>
      <w:r>
        <w:rPr>
          <w:sz w:val="16"/>
        </w:rPr>
        <w:t>L-azzjonijiet ta’ prijorità ġew inklużi f’kull rapport tal-pajjiż fid-dawl tal-informazzjoni disponibbli għall-Kummissjoni Ewropea, sabiex ikun żgurat it-trattament indaqs tal-Istati Membri kollha. Għall-finijiet ta’ komparabbiltà, l-azzjonijiet ta’ prijor</w:t>
      </w:r>
      <w:r>
        <w:rPr>
          <w:sz w:val="16"/>
        </w:rPr>
        <w:t xml:space="preserve">ità kollha ġew miġburin flimkien f’dan l-Anness skont il-gruppi ta’ Stati Membri li rċevew rakkomandazzjonijiet simili. Għal din ir-raġuni, il-formulazzjoni fl-Anness tista’ tkun anqas speċifika milli fir-rapporti tal-pajjiżi. </w:t>
      </w:r>
    </w:p>
  </w:footnote>
  <w:footnote w:id="3">
    <w:p w:rsidR="00ED031C" w:rsidRDefault="0050347A">
      <w:pPr>
        <w:pStyle w:val="FootnoteText"/>
        <w:jc w:val="left"/>
      </w:pPr>
      <w:r>
        <w:rPr>
          <w:sz w:val="16"/>
        </w:rPr>
        <w:footnoteRef/>
      </w:r>
      <w:r>
        <w:rPr>
          <w:sz w:val="16"/>
        </w:rPr>
        <w:t xml:space="preserve"> </w:t>
      </w:r>
      <w:r>
        <w:tab/>
      </w:r>
      <w:r>
        <w:rPr>
          <w:sz w:val="16"/>
        </w:rPr>
        <w:t xml:space="preserve">Diversi Stati Membri </w:t>
      </w:r>
      <w:r>
        <w:rPr>
          <w:sz w:val="16"/>
        </w:rPr>
        <w:t>kienu tard fir-rappurtar tal-miżuri tagħhom biex jikkonformaw mad-Direttiva Kwadru dwar l-Istrateġija Marina. Għal dawn il-pajjiżi, tapplika biss l-ewwel azzjoni ta’ prijorità, minħabba li d-</w:t>
      </w:r>
      <w:r>
        <w:rPr>
          <w:i/>
          <w:sz w:val="16"/>
        </w:rPr>
        <w:t>data</w:t>
      </w:r>
      <w:r>
        <w:rPr>
          <w:sz w:val="16"/>
        </w:rPr>
        <w:t xml:space="preserve"> mhijiex suffiċjenti biex jiġi valutat il-progress mill-2017 </w:t>
      </w:r>
      <w:r>
        <w:rPr>
          <w:sz w:val="16"/>
        </w:rPr>
        <w:t xml:space="preserve">u jiġu definiti l-isfidi ġodda.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7A" w:rsidRPr="0050347A" w:rsidRDefault="0050347A" w:rsidP="00503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7A" w:rsidRPr="0050347A" w:rsidRDefault="0050347A" w:rsidP="0050347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7A" w:rsidRPr="0050347A" w:rsidRDefault="0050347A" w:rsidP="0050347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1C" w:rsidRDefault="00ED03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1C" w:rsidRDefault="00ED03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1C" w:rsidRDefault="00ED03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1C" w:rsidRDefault="00ED03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1C" w:rsidRDefault="00ED031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1C" w:rsidRDefault="00ED0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0in;height:810pt;visibility:visible;mso-wrap-style:square" o:bullet="t">
        <v:imagedata r:id="rId1" o:title="" croptop="42983f" cropbottom="21645f" cropleft="54648f" cropright="10334f"/>
      </v:shape>
    </w:pict>
  </w:numPicBullet>
  <w:abstractNum w:abstractNumId="0" w15:restartNumberingAfterBreak="0">
    <w:nsid w:val="02E6737D"/>
    <w:multiLevelType w:val="hybridMultilevel"/>
    <w:tmpl w:val="349E1EDA"/>
    <w:lvl w:ilvl="0" w:tplc="E8BADA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2A5D"/>
    <w:multiLevelType w:val="hybridMultilevel"/>
    <w:tmpl w:val="EA9AB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893E2D"/>
    <w:multiLevelType w:val="hybridMultilevel"/>
    <w:tmpl w:val="2D72C25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3" w15:restartNumberingAfterBreak="0">
    <w:nsid w:val="04E20BC9"/>
    <w:multiLevelType w:val="hybridMultilevel"/>
    <w:tmpl w:val="19345C86"/>
    <w:lvl w:ilvl="0" w:tplc="0EB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909C5"/>
    <w:multiLevelType w:val="hybridMultilevel"/>
    <w:tmpl w:val="956A9F1E"/>
    <w:lvl w:ilvl="0" w:tplc="D8BE8D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0C77D0"/>
    <w:multiLevelType w:val="hybridMultilevel"/>
    <w:tmpl w:val="F4A8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261607"/>
    <w:multiLevelType w:val="hybridMultilevel"/>
    <w:tmpl w:val="34EA3B38"/>
    <w:lvl w:ilvl="0" w:tplc="52A4E736">
      <w:start w:val="1"/>
      <w:numFmt w:val="bullet"/>
      <w:pStyle w:val="SuggA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0660"/>
    <w:multiLevelType w:val="hybridMultilevel"/>
    <w:tmpl w:val="5E46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F92763"/>
    <w:multiLevelType w:val="hybridMultilevel"/>
    <w:tmpl w:val="8752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84FFD"/>
    <w:multiLevelType w:val="hybridMultilevel"/>
    <w:tmpl w:val="D29A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734306"/>
    <w:multiLevelType w:val="multilevel"/>
    <w:tmpl w:val="C53E7C98"/>
    <w:lvl w:ilvl="0">
      <w:start w:val="1"/>
      <w:numFmt w:val="decimal"/>
      <w:pStyle w:val="Heading1"/>
      <w:lvlText w:val="%1."/>
      <w:lvlJc w:val="left"/>
      <w:pPr>
        <w:tabs>
          <w:tab w:val="num" w:pos="480"/>
        </w:tabs>
        <w:ind w:left="480" w:hanging="480"/>
      </w:pPr>
      <w:rPr>
        <w:b/>
      </w:r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4A3347"/>
    <w:multiLevelType w:val="hybridMultilevel"/>
    <w:tmpl w:val="AAEEFE7E"/>
    <w:lvl w:ilvl="0" w:tplc="AEBE3B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3047D"/>
    <w:multiLevelType w:val="hybridMultilevel"/>
    <w:tmpl w:val="86D03B10"/>
    <w:lvl w:ilvl="0" w:tplc="2ABA73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B0E92"/>
    <w:multiLevelType w:val="hybridMultilevel"/>
    <w:tmpl w:val="6E18F87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88E4C1A"/>
    <w:multiLevelType w:val="hybridMultilevel"/>
    <w:tmpl w:val="7898E29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43461292"/>
    <w:multiLevelType w:val="hybridMultilevel"/>
    <w:tmpl w:val="AFE0C6AA"/>
    <w:lvl w:ilvl="0" w:tplc="EAD0B41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AE14F91"/>
    <w:multiLevelType w:val="hybridMultilevel"/>
    <w:tmpl w:val="5EAEC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F43FC2"/>
    <w:multiLevelType w:val="hybridMultilevel"/>
    <w:tmpl w:val="5F8C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4C31F5"/>
    <w:multiLevelType w:val="hybridMultilevel"/>
    <w:tmpl w:val="2A046A92"/>
    <w:lvl w:ilvl="0" w:tplc="DFA6A5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B7D40"/>
    <w:multiLevelType w:val="hybridMultilevel"/>
    <w:tmpl w:val="E35E4F5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A486770">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1692A"/>
    <w:multiLevelType w:val="hybridMultilevel"/>
    <w:tmpl w:val="E522F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5D7940"/>
    <w:multiLevelType w:val="hybridMultilevel"/>
    <w:tmpl w:val="A28C8044"/>
    <w:lvl w:ilvl="0" w:tplc="CF3A71A8">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C2864"/>
    <w:multiLevelType w:val="hybridMultilevel"/>
    <w:tmpl w:val="7D5CA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342455"/>
    <w:multiLevelType w:val="hybridMultilevel"/>
    <w:tmpl w:val="289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318C0"/>
    <w:multiLevelType w:val="hybridMultilevel"/>
    <w:tmpl w:val="526C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246BB3"/>
    <w:multiLevelType w:val="hybridMultilevel"/>
    <w:tmpl w:val="F652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5"/>
  </w:num>
  <w:num w:numId="4">
    <w:abstractNumId w:val="10"/>
  </w:num>
  <w:num w:numId="5">
    <w:abstractNumId w:val="1"/>
  </w:num>
  <w:num w:numId="6">
    <w:abstractNumId w:val="21"/>
  </w:num>
  <w:num w:numId="7">
    <w:abstractNumId w:val="6"/>
  </w:num>
  <w:num w:numId="8">
    <w:abstractNumId w:val="6"/>
  </w:num>
  <w:num w:numId="9">
    <w:abstractNumId w:val="16"/>
  </w:num>
  <w:num w:numId="10">
    <w:abstractNumId w:val="6"/>
  </w:num>
  <w:num w:numId="11">
    <w:abstractNumId w:val="22"/>
  </w:num>
  <w:num w:numId="12">
    <w:abstractNumId w:val="3"/>
  </w:num>
  <w:num w:numId="13">
    <w:abstractNumId w:val="6"/>
  </w:num>
  <w:num w:numId="14">
    <w:abstractNumId w:val="13"/>
  </w:num>
  <w:num w:numId="15">
    <w:abstractNumId w:val="17"/>
  </w:num>
  <w:num w:numId="16">
    <w:abstractNumId w:val="9"/>
  </w:num>
  <w:num w:numId="17">
    <w:abstractNumId w:val="18"/>
  </w:num>
  <w:num w:numId="18">
    <w:abstractNumId w:val="7"/>
  </w:num>
  <w:num w:numId="19">
    <w:abstractNumId w:val="19"/>
  </w:num>
  <w:num w:numId="20">
    <w:abstractNumId w:val="4"/>
  </w:num>
  <w:num w:numId="21">
    <w:abstractNumId w:val="0"/>
  </w:num>
  <w:num w:numId="22">
    <w:abstractNumId w:val="8"/>
  </w:num>
  <w:num w:numId="23">
    <w:abstractNumId w:val="11"/>
  </w:num>
  <w:num w:numId="24">
    <w:abstractNumId w:val="15"/>
  </w:num>
  <w:num w:numId="25">
    <w:abstractNumId w:val="14"/>
  </w:num>
  <w:num w:numId="26">
    <w:abstractNumId w:val="12"/>
  </w:num>
  <w:num w:numId="27">
    <w:abstractNumId w:val="24"/>
  </w:num>
  <w:num w:numId="28">
    <w:abstractNumId w:val="2"/>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activeWritingStyle w:appName="MSWord" w:lang="nb-NO" w:vendorID="64" w:dllVersion="131078" w:nlCheck="1" w:checkStyle="0"/>
  <w:activeWritingStyle w:appName="MSWord" w:lang="it-IT" w:vendorID="64" w:dllVersion="131078" w:nlCheck="1" w:checkStyle="0"/>
  <w:activeWritingStyle w:appName="MSWord" w:lang="en-IE" w:vendorID="64" w:dllVersion="131078" w:nlCheck="1" w:checkStyle="1"/>
  <w:activeWritingStyle w:appName="MSWord" w:lang="da-DK" w:vendorID="64" w:dllVersion="131078" w:nlCheck="1" w:checkStyle="0"/>
  <w:activeWritingStyle w:appName="MSWord" w:lang="en-US" w:vendorID="64" w:dllVersion="131078" w:nlCheck="1" w:checkStyle="1"/>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al-"/>
    <w:docVar w:name="LW_ANNEX_NBR_FIRST" w:val="1"/>
    <w:docVar w:name="LW_ANNEX_NBR_LAST" w:val="1"/>
    <w:docVar w:name="LW_ANNEX_UNIQUE" w:val="1"/>
    <w:docVar w:name="LW_CORRIGENDUM" w:val="&lt;UNUSED&gt;"/>
    <w:docVar w:name="LW_COVERPAGE_EXISTS" w:val="True"/>
    <w:docVar w:name="LW_COVERPAGE_GUID" w:val="95FC5698-E89F-4528-A8B7-0EA54DD14161"/>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4.2019"/>
    <w:docVar w:name="LW_EMISSION_ISODATE" w:val="2019-04-04"/>
    <w:docVar w:name="LW_EMISSION_LOCATION" w:val="BRX"/>
    <w:docVar w:name="LW_EMISSION_PREFIX" w:val="Brussell, "/>
    <w:docVar w:name="LW_EMISSION_SUFFIX" w:val=" "/>
    <w:docVar w:name="LW_ID_DOCTYPE_NONLW" w:val="CP-039"/>
    <w:docVar w:name="LW_LANGUE" w:val="MT"/>
    <w:docVar w:name="LW_LEVEL_OF_SENSITIVITY" w:val="Standard treatment"/>
    <w:docVar w:name="LW_NOM.INST" w:val="IL-KUMMISSJONI EWROPEA"/>
    <w:docVar w:name="LW_NOM.INST_JOINTDOC" w:val="&lt;EMPTY&gt;"/>
    <w:docVar w:name="LW_OBJETACTEPRINCIPAL.CP" w:val="Anali\u380?i tal-Implimentazzjoni Ambjentali 2019: _x000b_Ewropa li tipprote\u289?i li\u267?-\u267?ittadini tag\u295?ha u ttejjeb il-kwalità ta' \u295?ajjithom_x000b_"/>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SS_x000b_"/>
    <w:docVar w:name="LW_TYPEACTEPRINCIPAL.CP" w:val="KOMUNIKAZZJONI MILL-KUMMISSJONI LILL-PARLAMENT EWROPEW, LILL-KUNSILL, LILL-KUMITAT EKONOMIKU U SO\u266?JALI EWROPEW U LILL-KUMITAT TAR-RE\u288?JUNI "/>
  </w:docVars>
  <w:rsids>
    <w:rsidRoot w:val="00ED031C"/>
    <w:rsid w:val="0050347A"/>
    <w:rsid w:val="00ED03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C4E0F-9D25-496B-B774-90933AC8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1"/>
      </w:numPr>
      <w:suppressAutoHyphens/>
      <w:autoSpaceDN w:val="0"/>
      <w:spacing w:before="240" w:line="240" w:lineRule="auto"/>
      <w:jc w:val="both"/>
      <w:textAlignment w:val="baseline"/>
      <w:outlineLvl w:val="0"/>
    </w:pPr>
    <w:rPr>
      <w:rFonts w:ascii="Times New Roman" w:eastAsia="Calibri" w:hAnsi="Times New Roman" w:cs="Times New Roman"/>
      <w:b/>
      <w:bCs/>
      <w:smallCaps/>
      <w:sz w:val="24"/>
      <w:szCs w:val="24"/>
    </w:rPr>
  </w:style>
  <w:style w:type="paragraph" w:styleId="Heading2">
    <w:name w:val="heading 2"/>
    <w:basedOn w:val="Normal"/>
    <w:next w:val="Normal"/>
    <w:link w:val="Heading2Char"/>
    <w:qFormat/>
    <w:pPr>
      <w:keepNext/>
      <w:numPr>
        <w:ilvl w:val="1"/>
        <w:numId w:val="1"/>
      </w:numPr>
      <w:suppressAutoHyphens/>
      <w:autoSpaceDN w:val="0"/>
      <w:spacing w:after="120" w:line="240" w:lineRule="auto"/>
      <w:jc w:val="both"/>
      <w:textAlignment w:val="baseline"/>
      <w:outlineLvl w:val="1"/>
    </w:pPr>
    <w:rPr>
      <w:rFonts w:ascii="Times New Roman" w:eastAsia="Calibri" w:hAnsi="Times New Roman" w:cs="Times New Roman"/>
      <w:b/>
      <w:sz w:val="24"/>
    </w:rPr>
  </w:style>
  <w:style w:type="paragraph" w:styleId="Heading3">
    <w:name w:val="heading 3"/>
    <w:basedOn w:val="Normal"/>
    <w:next w:val="Normal"/>
    <w:link w:val="Heading3Char"/>
    <w:qFormat/>
    <w:pPr>
      <w:keepNext/>
      <w:numPr>
        <w:ilvl w:val="2"/>
        <w:numId w:val="1"/>
      </w:numPr>
      <w:suppressAutoHyphens/>
      <w:autoSpaceDN w:val="0"/>
      <w:spacing w:after="120" w:line="240" w:lineRule="auto"/>
      <w:jc w:val="both"/>
      <w:textAlignment w:val="baseline"/>
      <w:outlineLvl w:val="2"/>
    </w:pPr>
    <w:rPr>
      <w:rFonts w:ascii="Times New Roman" w:eastAsia="Calibri" w:hAnsi="Times New Roman" w:cs="Times New Roman"/>
      <w:b/>
      <w:sz w:val="24"/>
    </w:rPr>
  </w:style>
  <w:style w:type="paragraph" w:styleId="Heading4">
    <w:name w:val="heading 4"/>
    <w:basedOn w:val="Normal"/>
    <w:next w:val="Normal"/>
    <w:link w:val="Heading4Char"/>
    <w:qFormat/>
    <w:pPr>
      <w:keepNext/>
      <w:numPr>
        <w:ilvl w:val="3"/>
        <w:numId w:val="1"/>
      </w:numPr>
      <w:suppressAutoHyphens/>
      <w:autoSpaceDN w:val="0"/>
      <w:spacing w:after="120" w:line="240" w:lineRule="auto"/>
      <w:jc w:val="both"/>
      <w:textAlignment w:val="baseline"/>
      <w:outlineLvl w:val="3"/>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Calibri" w:hAnsi="Times New Roman" w:cs="Times New Roman"/>
      <w:b/>
      <w:bCs/>
      <w:smallCaps/>
      <w:sz w:val="24"/>
      <w:szCs w:val="24"/>
    </w:rPr>
  </w:style>
  <w:style w:type="character" w:customStyle="1" w:styleId="Heading2Char">
    <w:name w:val="Heading 2 Char"/>
    <w:basedOn w:val="DefaultParagraphFont"/>
    <w:link w:val="Heading2"/>
    <w:rPr>
      <w:rFonts w:ascii="Times New Roman" w:eastAsia="Calibri" w:hAnsi="Times New Roman" w:cs="Times New Roman"/>
      <w:b/>
      <w:sz w:val="24"/>
    </w:rPr>
  </w:style>
  <w:style w:type="character" w:customStyle="1" w:styleId="Heading3Char">
    <w:name w:val="Heading 3 Char"/>
    <w:basedOn w:val="DefaultParagraphFont"/>
    <w:link w:val="Heading3"/>
    <w:rPr>
      <w:rFonts w:ascii="Times New Roman" w:eastAsia="Calibri" w:hAnsi="Times New Roman" w:cs="Times New Roman"/>
      <w:b/>
      <w:sz w:val="24"/>
    </w:rPr>
  </w:style>
  <w:style w:type="character" w:customStyle="1" w:styleId="Heading4Char">
    <w:name w:val="Heading 4 Char"/>
    <w:basedOn w:val="DefaultParagraphFont"/>
    <w:link w:val="Heading4"/>
    <w:rPr>
      <w:rFonts w:ascii="Times New Roman" w:eastAsia="Calibri" w:hAnsi="Times New Roman" w:cs="Times New Roman"/>
      <w:sz w:val="24"/>
    </w:rPr>
  </w:style>
  <w:style w:type="paragraph" w:customStyle="1" w:styleId="Text1">
    <w:name w:val="Text 1"/>
    <w:basedOn w:val="Normal"/>
    <w:pPr>
      <w:suppressAutoHyphens/>
      <w:autoSpaceDN w:val="0"/>
      <w:spacing w:after="120" w:line="240" w:lineRule="auto"/>
      <w:ind w:left="482"/>
      <w:jc w:val="both"/>
      <w:textAlignment w:val="baseline"/>
    </w:pPr>
    <w:rPr>
      <w:rFonts w:ascii="Times New Roman" w:eastAsia="Calibri" w:hAnsi="Times New Roman" w:cs="Times New Roman"/>
      <w:sz w:val="24"/>
    </w:rPr>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qFormat/>
    <w:pPr>
      <w:suppressAutoHyphens/>
      <w:autoSpaceDN w:val="0"/>
      <w:spacing w:after="60" w:line="240" w:lineRule="auto"/>
      <w:ind w:left="357" w:hanging="357"/>
      <w:jc w:val="both"/>
      <w:textAlignment w:val="baseline"/>
    </w:pPr>
    <w:rPr>
      <w:rFonts w:ascii="Times New Roman" w:eastAsia="Calibri" w:hAnsi="Times New Roman" w:cs="Times New Roman"/>
      <w:sz w:val="18"/>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rPr>
      <w:rFonts w:ascii="Times New Roman" w:eastAsia="Calibri" w:hAnsi="Times New Roman" w:cs="Times New Roman"/>
      <w:sz w:val="18"/>
    </w:rPr>
  </w:style>
  <w:style w:type="paragraph" w:styleId="ListParagraph">
    <w:name w:val="List Paragraph"/>
    <w:aliases w:val="Heading 2_sj,List Paragraph1,Bullet List Paragraph"/>
    <w:basedOn w:val="Normal"/>
    <w:link w:val="ListParagraphChar"/>
    <w:uiPriority w:val="34"/>
    <w:qFormat/>
    <w:pPr>
      <w:suppressAutoHyphens/>
      <w:autoSpaceDN w:val="0"/>
      <w:spacing w:after="120" w:line="240" w:lineRule="auto"/>
      <w:ind w:left="720"/>
      <w:jc w:val="both"/>
      <w:textAlignment w:val="baseline"/>
    </w:pPr>
    <w:rPr>
      <w:rFonts w:ascii="Times New Roman" w:eastAsia="Calibri" w:hAnsi="Times New Roman" w:cs="Times New Roman"/>
      <w:sz w:val="24"/>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A"/>
    <w:uiPriority w:val="1"/>
    <w:qFormat/>
    <w:pPr>
      <w:numPr>
        <w:numId w:val="6"/>
      </w:numPr>
      <w:spacing w:after="0" w:line="240" w:lineRule="auto"/>
      <w:ind w:left="170" w:hanging="170"/>
      <w:jc w:val="both"/>
    </w:pPr>
    <w:rPr>
      <w:rFonts w:ascii="Calibri" w:eastAsia="Calibri" w:hAnsi="Calibri" w:cs="Times New Roman"/>
      <w:sz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ggActions">
    <w:name w:val="SuggActions"/>
    <w:basedOn w:val="ListParagraph"/>
    <w:link w:val="SuggActionsChar"/>
    <w:autoRedefine/>
    <w:qFormat/>
    <w:pPr>
      <w:widowControl w:val="0"/>
      <w:numPr>
        <w:numId w:val="7"/>
      </w:numPr>
      <w:suppressAutoHyphens w:val="0"/>
      <w:autoSpaceDN/>
      <w:spacing w:after="0"/>
      <w:textAlignment w:val="auto"/>
    </w:pPr>
    <w:rPr>
      <w:rFonts w:asciiTheme="minorHAnsi" w:hAnsiTheme="minorHAnsi" w:cstheme="minorBidi"/>
      <w:noProof/>
      <w:sz w:val="20"/>
      <w:szCs w:val="20"/>
    </w:rPr>
  </w:style>
  <w:style w:type="character" w:customStyle="1" w:styleId="SuggActionsChar">
    <w:name w:val="SuggActions Char"/>
    <w:basedOn w:val="DefaultParagraphFont"/>
    <w:link w:val="SuggActions"/>
    <w:rPr>
      <w:rFonts w:eastAsia="Calibri"/>
      <w:noProof/>
      <w:sz w:val="20"/>
      <w:szCs w:val="20"/>
      <w:lang w:eastAsia="mt-MT"/>
    </w:rPr>
  </w:style>
  <w:style w:type="character" w:customStyle="1" w:styleId="ListParagraphChar">
    <w:name w:val="List Paragraph Char"/>
    <w:aliases w:val="Heading 2_sj Char,List Paragraph1 Char,Bullet List Paragraph Char"/>
    <w:link w:val="ListParagraph"/>
    <w:uiPriority w:val="34"/>
    <w:locked/>
    <w:rPr>
      <w:rFonts w:ascii="Times New Roman" w:eastAsia="Calibri"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6784">
      <w:bodyDiv w:val="1"/>
      <w:marLeft w:val="0"/>
      <w:marRight w:val="0"/>
      <w:marTop w:val="0"/>
      <w:marBottom w:val="0"/>
      <w:divBdr>
        <w:top w:val="none" w:sz="0" w:space="0" w:color="auto"/>
        <w:left w:val="none" w:sz="0" w:space="0" w:color="auto"/>
        <w:bottom w:val="none" w:sz="0" w:space="0" w:color="auto"/>
        <w:right w:val="none" w:sz="0" w:space="0" w:color="auto"/>
      </w:divBdr>
    </w:div>
    <w:div w:id="940458629">
      <w:bodyDiv w:val="1"/>
      <w:marLeft w:val="0"/>
      <w:marRight w:val="0"/>
      <w:marTop w:val="0"/>
      <w:marBottom w:val="0"/>
      <w:divBdr>
        <w:top w:val="none" w:sz="0" w:space="0" w:color="auto"/>
        <w:left w:val="none" w:sz="0" w:space="0" w:color="auto"/>
        <w:bottom w:val="none" w:sz="0" w:space="0" w:color="auto"/>
        <w:right w:val="none" w:sz="0" w:space="0" w:color="auto"/>
      </w:divBdr>
    </w:div>
    <w:div w:id="1553341951">
      <w:bodyDiv w:val="1"/>
      <w:marLeft w:val="0"/>
      <w:marRight w:val="0"/>
      <w:marTop w:val="0"/>
      <w:marBottom w:val="0"/>
      <w:divBdr>
        <w:top w:val="none" w:sz="0" w:space="0" w:color="auto"/>
        <w:left w:val="none" w:sz="0" w:space="0" w:color="auto"/>
        <w:bottom w:val="none" w:sz="0" w:space="0" w:color="auto"/>
        <w:right w:val="none" w:sz="0" w:space="0" w:color="auto"/>
      </w:divBdr>
    </w:div>
    <w:div w:id="1795060304">
      <w:bodyDiv w:val="1"/>
      <w:marLeft w:val="0"/>
      <w:marRight w:val="0"/>
      <w:marTop w:val="0"/>
      <w:marBottom w:val="0"/>
      <w:divBdr>
        <w:top w:val="none" w:sz="0" w:space="0" w:color="auto"/>
        <w:left w:val="none" w:sz="0" w:space="0" w:color="auto"/>
        <w:bottom w:val="none" w:sz="0" w:space="0" w:color="auto"/>
        <w:right w:val="none" w:sz="0" w:space="0" w:color="auto"/>
      </w:divBdr>
    </w:div>
    <w:div w:id="1984307438">
      <w:bodyDiv w:val="1"/>
      <w:marLeft w:val="0"/>
      <w:marRight w:val="0"/>
      <w:marTop w:val="0"/>
      <w:marBottom w:val="0"/>
      <w:divBdr>
        <w:top w:val="none" w:sz="0" w:space="0" w:color="auto"/>
        <w:left w:val="none" w:sz="0" w:space="0" w:color="auto"/>
        <w:bottom w:val="none" w:sz="0" w:space="0" w:color="auto"/>
        <w:right w:val="none" w:sz="0" w:space="0" w:color="auto"/>
      </w:divBdr>
    </w:div>
    <w:div w:id="2103793265">
      <w:bodyDiv w:val="1"/>
      <w:marLeft w:val="0"/>
      <w:marRight w:val="0"/>
      <w:marTop w:val="0"/>
      <w:marBottom w:val="0"/>
      <w:divBdr>
        <w:top w:val="none" w:sz="0" w:space="0" w:color="auto"/>
        <w:left w:val="none" w:sz="0" w:space="0" w:color="auto"/>
        <w:bottom w:val="none" w:sz="0" w:space="0" w:color="auto"/>
        <w:right w:val="none" w:sz="0" w:space="0" w:color="auto"/>
      </w:divBdr>
      <w:divsChild>
        <w:div w:id="1170949558">
          <w:marLeft w:val="0"/>
          <w:marRight w:val="0"/>
          <w:marTop w:val="0"/>
          <w:marBottom w:val="0"/>
          <w:divBdr>
            <w:top w:val="none" w:sz="0" w:space="0" w:color="auto"/>
            <w:left w:val="none" w:sz="0" w:space="0" w:color="auto"/>
            <w:bottom w:val="none" w:sz="0" w:space="0" w:color="auto"/>
            <w:right w:val="none" w:sz="0" w:space="0" w:color="auto"/>
          </w:divBdr>
        </w:div>
        <w:div w:id="25837807">
          <w:marLeft w:val="0"/>
          <w:marRight w:val="0"/>
          <w:marTop w:val="0"/>
          <w:marBottom w:val="0"/>
          <w:divBdr>
            <w:top w:val="none" w:sz="0" w:space="0" w:color="auto"/>
            <w:left w:val="none" w:sz="0" w:space="0" w:color="auto"/>
            <w:bottom w:val="none" w:sz="0" w:space="0" w:color="auto"/>
            <w:right w:val="none" w:sz="0" w:space="0" w:color="auto"/>
          </w:divBdr>
        </w:div>
        <w:div w:id="65077605">
          <w:marLeft w:val="0"/>
          <w:marRight w:val="0"/>
          <w:marTop w:val="0"/>
          <w:marBottom w:val="0"/>
          <w:divBdr>
            <w:top w:val="none" w:sz="0" w:space="0" w:color="auto"/>
            <w:left w:val="none" w:sz="0" w:space="0" w:color="auto"/>
            <w:bottom w:val="none" w:sz="0" w:space="0" w:color="auto"/>
            <w:right w:val="none" w:sz="0" w:space="0" w:color="auto"/>
          </w:divBdr>
          <w:divsChild>
            <w:div w:id="650988474">
              <w:marLeft w:val="0"/>
              <w:marRight w:val="0"/>
              <w:marTop w:val="0"/>
              <w:marBottom w:val="0"/>
              <w:divBdr>
                <w:top w:val="none" w:sz="0" w:space="0" w:color="auto"/>
                <w:left w:val="none" w:sz="0" w:space="0" w:color="auto"/>
                <w:bottom w:val="none" w:sz="0" w:space="0" w:color="auto"/>
                <w:right w:val="none" w:sz="0" w:space="0" w:color="auto"/>
              </w:divBdr>
            </w:div>
            <w:div w:id="855267574">
              <w:marLeft w:val="0"/>
              <w:marRight w:val="0"/>
              <w:marTop w:val="0"/>
              <w:marBottom w:val="0"/>
              <w:divBdr>
                <w:top w:val="none" w:sz="0" w:space="0" w:color="auto"/>
                <w:left w:val="none" w:sz="0" w:space="0" w:color="auto"/>
                <w:bottom w:val="none" w:sz="0" w:space="0" w:color="auto"/>
                <w:right w:val="none" w:sz="0" w:space="0" w:color="auto"/>
              </w:divBdr>
            </w:div>
            <w:div w:id="2109351880">
              <w:marLeft w:val="0"/>
              <w:marRight w:val="0"/>
              <w:marTop w:val="0"/>
              <w:marBottom w:val="0"/>
              <w:divBdr>
                <w:top w:val="none" w:sz="0" w:space="0" w:color="auto"/>
                <w:left w:val="none" w:sz="0" w:space="0" w:color="auto"/>
                <w:bottom w:val="none" w:sz="0" w:space="0" w:color="auto"/>
                <w:right w:val="none" w:sz="0" w:space="0" w:color="auto"/>
              </w:divBdr>
            </w:div>
            <w:div w:id="1023242132">
              <w:marLeft w:val="0"/>
              <w:marRight w:val="0"/>
              <w:marTop w:val="0"/>
              <w:marBottom w:val="0"/>
              <w:divBdr>
                <w:top w:val="none" w:sz="0" w:space="0" w:color="auto"/>
                <w:left w:val="none" w:sz="0" w:space="0" w:color="auto"/>
                <w:bottom w:val="none" w:sz="0" w:space="0" w:color="auto"/>
                <w:right w:val="none" w:sz="0" w:space="0" w:color="auto"/>
              </w:divBdr>
            </w:div>
            <w:div w:id="5781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671F-52B5-4A57-8188-E23ED74EA8B4}">
  <ds:schemaRefs>
    <ds:schemaRef ds:uri="http://schemas.microsoft.com/sharepoint/v3/contenttype/forms"/>
  </ds:schemaRefs>
</ds:datastoreItem>
</file>

<file path=customXml/itemProps2.xml><?xml version="1.0" encoding="utf-8"?>
<ds:datastoreItem xmlns:ds="http://schemas.openxmlformats.org/officeDocument/2006/customXml" ds:itemID="{9FB28ED5-D2FD-4BE5-9E09-6AC5D854D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659AAF-45E9-48C6-AAFF-51F5B367CD34}">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BD54F77-4BA5-4549-8E58-F827793E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2131</Words>
  <Characters>14071</Characters>
  <Application>Microsoft Office Word</Application>
  <DocSecurity>0</DocSecurity>
  <Lines>360</Lines>
  <Paragraphs>180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CODESCU Ion (ENV)</dc:creator>
  <cp:lastModifiedBy>LAGES CARVALHO Patrick (SG)</cp:lastModifiedBy>
  <cp:revision>10</cp:revision>
  <cp:lastPrinted>2019-01-23T10:05:00Z</cp:lastPrinted>
  <dcterms:created xsi:type="dcterms:W3CDTF">2019-03-07T10:30:00Z</dcterms:created>
  <dcterms:modified xsi:type="dcterms:W3CDTF">2019-03-25T11:03:00Z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ontentTypeId">
    <vt:lpwstr>0x01010078E97EA221F96E4B9233A8505060E8B9</vt:lpwstr>
  </property>
  <property fmtid="{D5CDD505-2E9C-101B-9397-08002B2CF9AE}" pid="8" name="Offisync_UpdateToken">
    <vt:lpwstr>13</vt:lpwstr>
  </property>
  <property fmtid="{D5CDD505-2E9C-101B-9397-08002B2CF9AE}" pid="9" name="Offisync_UniqueId">
    <vt:lpwstr>181497</vt:lpwstr>
  </property>
  <property fmtid="{D5CDD505-2E9C-101B-9397-08002B2CF9AE}" pid="10" name="Jive_VersionGuid">
    <vt:lpwstr>f1562e83-4210-4c4a-b4c2-f5df04ff6de0</vt:lpwstr>
  </property>
  <property fmtid="{D5CDD505-2E9C-101B-9397-08002B2CF9AE}" pid="11" name="Offisync_ProviderInitializationData">
    <vt:lpwstr>https://connected.cnect.cec.eu.int</vt:lpwstr>
  </property>
  <property fmtid="{D5CDD505-2E9C-101B-9397-08002B2CF9AE}" pid="12" name="Jive_LatestUserAccountName">
    <vt:lpwstr>dalgaka</vt:lpwstr>
  </property>
  <property fmtid="{D5CDD505-2E9C-101B-9397-08002B2CF9AE}" pid="13" name="Offisync_ServerID">
    <vt:lpwstr>0d3b22a6-6203-4efc-8e8e-b5279256493b</vt:lpwstr>
  </property>
  <property fmtid="{D5CDD505-2E9C-101B-9397-08002B2CF9AE}" pid="14" name="Level of sensitivity">
    <vt:lpwstr>Standard treatment</vt:lpwstr>
  </property>
  <property fmtid="{D5CDD505-2E9C-101B-9397-08002B2CF9AE}" pid="15" name="Last edited using">
    <vt:lpwstr>LW 6.0.1, Build 20180503</vt:lpwstr>
  </property>
  <property fmtid="{D5CDD505-2E9C-101B-9397-08002B2CF9AE}" pid="16" name="Unique annex">
    <vt:lpwstr>1</vt:lpwstr>
  </property>
  <property fmtid="{D5CDD505-2E9C-101B-9397-08002B2CF9AE}" pid="17" name="Created using">
    <vt:lpwstr>LW 6.0.1, Build 20180503</vt:lpwstr>
  </property>
</Properties>
</file>