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43" w:rsidRDefault="005659D6" w:rsidP="005659D6">
      <w:pPr>
        <w:pStyle w:val="Pagedecouverture"/>
        <w:rPr>
          <w:noProof/>
        </w:rPr>
      </w:pPr>
      <w:bookmarkStart w:id="0" w:name="LW_BM_COVERPAGE"/>
      <w:r>
        <w:rPr>
          <w:noProof/>
        </w:rPr>
        <w:pict>
          <v:shape id="_x0000_i1033" type="#_x0000_t75" alt="332C6A1B-41FF-4175-91AE-9E026A6B25D0" style="width:450.75pt;height:557.25pt">
            <v:imagedata r:id="rId11" o:title=""/>
          </v:shape>
        </w:pict>
      </w:r>
    </w:p>
    <w:bookmarkEnd w:id="0"/>
    <w:p w:rsidR="00625A43" w:rsidRDefault="00625A43">
      <w:pPr>
        <w:rPr>
          <w:noProof/>
        </w:rPr>
        <w:sectPr w:rsidR="00625A43" w:rsidSect="005659D6">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625A43" w:rsidRDefault="005659D6">
      <w:pPr>
        <w:pStyle w:val="Heading1"/>
        <w:numPr>
          <w:ilvl w:val="0"/>
          <w:numId w:val="0"/>
        </w:numPr>
        <w:spacing w:before="120" w:after="360"/>
        <w:jc w:val="center"/>
        <w:rPr>
          <w:noProof/>
        </w:rPr>
      </w:pPr>
      <w:bookmarkStart w:id="1" w:name="_GoBack"/>
      <w:bookmarkEnd w:id="1"/>
      <w:r>
        <w:rPr>
          <w:noProof/>
        </w:rPr>
        <w:lastRenderedPageBreak/>
        <w:t>PRIORITETINIAI VEIKSMAI, SIŪLOMI SIEKIANT GERESNIO APLINKOS TEISĖS AKTŲ ĮGYVENDINIMO</w:t>
      </w:r>
    </w:p>
    <w:p w:rsidR="00625A43" w:rsidRDefault="005659D6">
      <w:pPr>
        <w:jc w:val="center"/>
        <w:rPr>
          <w:rFonts w:ascii="Times New Roman" w:hAnsi="Times New Roman" w:cs="Times New Roman"/>
          <w:noProof/>
        </w:rPr>
      </w:pPr>
      <w:r>
        <w:rPr>
          <w:rFonts w:ascii="Times New Roman" w:hAnsi="Times New Roman"/>
          <w:noProof/>
        </w:rPr>
        <w:t xml:space="preserve">Šiame priede pateikta </w:t>
      </w:r>
      <w:r>
        <w:rPr>
          <w:rFonts w:ascii="Times New Roman" w:hAnsi="Times New Roman"/>
          <w:noProof/>
        </w:rPr>
        <w:t>aplinkos nuostatų įgyvendinimo peržiūros 28 šalių ataskaitose nurodytų prioritetinių veiksmų suvestinė.</w:t>
      </w:r>
      <w:r>
        <w:rPr>
          <w:rFonts w:ascii="Times New Roman" w:hAnsi="Times New Roman"/>
          <w:noProof/>
        </w:rPr>
        <w:footnoteReference w:id="2"/>
      </w:r>
    </w:p>
    <w:tbl>
      <w:tblPr>
        <w:tblStyle w:val="TableGrid"/>
        <w:tblW w:w="9468" w:type="dxa"/>
        <w:tblLayout w:type="fixed"/>
        <w:tblLook w:val="04A0" w:firstRow="1" w:lastRow="0" w:firstColumn="1" w:lastColumn="0" w:noHBand="0" w:noVBand="1"/>
      </w:tblPr>
      <w:tblGrid>
        <w:gridCol w:w="7111"/>
        <w:gridCol w:w="2357"/>
      </w:tblGrid>
      <w:tr w:rsidR="00625A43">
        <w:tc>
          <w:tcPr>
            <w:tcW w:w="7111" w:type="dxa"/>
            <w:shd w:val="clear" w:color="auto" w:fill="auto"/>
            <w:vAlign w:val="center"/>
          </w:tcPr>
          <w:p w:rsidR="00625A43" w:rsidRDefault="005659D6">
            <w:pPr>
              <w:pStyle w:val="Text1"/>
              <w:ind w:left="0"/>
              <w:jc w:val="left"/>
              <w:rPr>
                <w:i/>
                <w:noProof/>
                <w:sz w:val="20"/>
              </w:rPr>
            </w:pPr>
            <w:r>
              <w:rPr>
                <w:i/>
                <w:noProof/>
                <w:sz w:val="20"/>
              </w:rPr>
              <w:t>Prioritetiniai veiksmai</w:t>
            </w:r>
          </w:p>
        </w:tc>
        <w:tc>
          <w:tcPr>
            <w:tcW w:w="2357" w:type="dxa"/>
            <w:shd w:val="clear" w:color="auto" w:fill="auto"/>
            <w:vAlign w:val="center"/>
          </w:tcPr>
          <w:p w:rsidR="00625A43" w:rsidRDefault="005659D6">
            <w:pPr>
              <w:pStyle w:val="Text1"/>
              <w:ind w:left="0"/>
              <w:jc w:val="left"/>
              <w:rPr>
                <w:i/>
                <w:noProof/>
                <w:sz w:val="20"/>
              </w:rPr>
            </w:pPr>
            <w:r>
              <w:rPr>
                <w:i/>
                <w:noProof/>
                <w:sz w:val="20"/>
              </w:rPr>
              <w:t xml:space="preserve">Valstybė (-ės) narė (-ės) </w:t>
            </w:r>
          </w:p>
        </w:tc>
      </w:tr>
      <w:tr w:rsidR="00625A43">
        <w:tc>
          <w:tcPr>
            <w:tcW w:w="9468" w:type="dxa"/>
            <w:gridSpan w:val="2"/>
            <w:shd w:val="clear" w:color="auto" w:fill="C6D9F1" w:themeFill="text2" w:themeFillTint="33"/>
            <w:vAlign w:val="center"/>
          </w:tcPr>
          <w:p w:rsidR="00625A43" w:rsidRDefault="005659D6">
            <w:pPr>
              <w:pStyle w:val="Text1"/>
              <w:spacing w:after="0"/>
              <w:ind w:left="0"/>
              <w:rPr>
                <w:noProof/>
                <w:sz w:val="20"/>
              </w:rPr>
            </w:pPr>
            <w:r>
              <w:rPr>
                <w:b/>
                <w:noProof/>
                <w:sz w:val="20"/>
              </w:rPr>
              <w:t>Žiedinės ekonomikos kūrimo priemonės</w:t>
            </w:r>
          </w:p>
        </w:tc>
      </w:tr>
      <w:tr w:rsidR="00625A43">
        <w:tc>
          <w:tcPr>
            <w:tcW w:w="7111" w:type="dxa"/>
            <w:shd w:val="clear" w:color="auto" w:fill="auto"/>
            <w:vAlign w:val="center"/>
          </w:tcPr>
          <w:p w:rsidR="00625A43" w:rsidRDefault="005659D6">
            <w:pPr>
              <w:pStyle w:val="ListParagraph"/>
              <w:numPr>
                <w:ilvl w:val="0"/>
                <w:numId w:val="3"/>
              </w:numPr>
              <w:rPr>
                <w:noProof/>
                <w:sz w:val="20"/>
              </w:rPr>
            </w:pPr>
            <w:r>
              <w:rPr>
                <w:noProof/>
                <w:sz w:val="20"/>
              </w:rPr>
              <w:t xml:space="preserve">Sustiprinti politikos sistemą siekiant paspartinti perėjimą prie žiedinės ekonomikos visuose ekonomikos sektoriuose, pvz., kad būtų galima taupyti vandenį ir energiją, mažinti atliekų kiekį, perdirbti medžiagas ir (arba) sukurti antrinių žaliavų rinką.  </w:t>
            </w:r>
          </w:p>
        </w:tc>
        <w:tc>
          <w:tcPr>
            <w:tcW w:w="2357" w:type="dxa"/>
            <w:shd w:val="clear" w:color="auto" w:fill="auto"/>
            <w:vAlign w:val="center"/>
          </w:tcPr>
          <w:p w:rsidR="00625A43" w:rsidRDefault="005659D6">
            <w:pPr>
              <w:spacing w:after="120"/>
              <w:jc w:val="both"/>
              <w:rPr>
                <w:noProof/>
              </w:rPr>
            </w:pPr>
            <w:r>
              <w:rPr>
                <w:noProof/>
              </w:rPr>
              <w:t>A</w:t>
            </w:r>
            <w:r>
              <w:rPr>
                <w:noProof/>
              </w:rPr>
              <w:t>T, BG, CY, CZ, DE, EL, EE, ES, HR, HU, IE, LV, MT, PL, PT, RO, SK</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Taikyti žiedinės ekonomikos principus, kurie skatintų imtis išteklių naudojimo efektyvumo didinimo priemonių ir plėsti perdirbimą, didinti ekologinių inovacijų veiksmingumą ir daugiau inves</w:t>
            </w:r>
            <w:r>
              <w:rPr>
                <w:noProof/>
                <w:sz w:val="20"/>
              </w:rPr>
              <w:t>tuoti į žaliuosius produktus bei paslaugas.</w:t>
            </w:r>
          </w:p>
        </w:tc>
        <w:tc>
          <w:tcPr>
            <w:tcW w:w="2357" w:type="dxa"/>
            <w:shd w:val="clear" w:color="auto" w:fill="auto"/>
            <w:vAlign w:val="center"/>
          </w:tcPr>
          <w:p w:rsidR="00625A43" w:rsidRDefault="005659D6">
            <w:pPr>
              <w:pStyle w:val="Text1"/>
              <w:ind w:left="0"/>
              <w:rPr>
                <w:noProof/>
                <w:sz w:val="20"/>
              </w:rPr>
            </w:pPr>
            <w:r>
              <w:rPr>
                <w:noProof/>
                <w:sz w:val="20"/>
              </w:rPr>
              <w:t>AT, CY, EL, HU, IT, MT, NL, RO, SK</w:t>
            </w:r>
          </w:p>
        </w:tc>
      </w:tr>
      <w:tr w:rsidR="00625A43">
        <w:tc>
          <w:tcPr>
            <w:tcW w:w="9468" w:type="dxa"/>
            <w:gridSpan w:val="2"/>
            <w:shd w:val="clear" w:color="auto" w:fill="C6D9F1" w:themeFill="text2" w:themeFillTint="33"/>
            <w:vAlign w:val="center"/>
          </w:tcPr>
          <w:p w:rsidR="00625A43" w:rsidRDefault="005659D6">
            <w:pPr>
              <w:pStyle w:val="Text1"/>
              <w:spacing w:after="0"/>
              <w:ind w:left="0"/>
              <w:rPr>
                <w:b/>
                <w:noProof/>
                <w:sz w:val="20"/>
              </w:rPr>
            </w:pPr>
            <w:r>
              <w:rPr>
                <w:b/>
                <w:noProof/>
                <w:sz w:val="20"/>
              </w:rPr>
              <w:t xml:space="preserve">Atliekų tvarkymas </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 xml:space="preserve">Formuoti naują politiką, įskaitant ekonomines priemones, kad būtų toliau įgyvendinama atliekų hierarchija, t. y. skatinama atliekų prevencija ir didinamas </w:t>
            </w:r>
            <w:r>
              <w:rPr>
                <w:noProof/>
                <w:sz w:val="20"/>
              </w:rPr>
              <w:t>ekonominis pakartotinio naudojimo ir perdirbimo patrauklumas, ir (arba) įgyvendinti jau patvirtintą politiką.</w:t>
            </w:r>
          </w:p>
        </w:tc>
        <w:tc>
          <w:tcPr>
            <w:tcW w:w="2357" w:type="dxa"/>
            <w:shd w:val="clear" w:color="auto" w:fill="auto"/>
            <w:vAlign w:val="center"/>
          </w:tcPr>
          <w:p w:rsidR="00625A43" w:rsidRDefault="005659D6">
            <w:pPr>
              <w:pStyle w:val="Text1"/>
              <w:ind w:left="0"/>
              <w:rPr>
                <w:noProof/>
                <w:sz w:val="20"/>
              </w:rPr>
            </w:pPr>
            <w:r>
              <w:rPr>
                <w:noProof/>
                <w:sz w:val="20"/>
              </w:rPr>
              <w:t>AT, BG, CY, DE, DK, EE, FI, IE, IT, LT, LU, LV, NL, PL, PT, RO, SE, SI, UK</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Gerinti didesnės gamintojų atsakomybės sistemų veikimą, laikantis Atli</w:t>
            </w:r>
            <w:r>
              <w:rPr>
                <w:noProof/>
                <w:sz w:val="20"/>
              </w:rPr>
              <w:t>ekų pagrindų direktyvoje nustatytų bendrųjų būtiniausių reikalavimų.</w:t>
            </w:r>
          </w:p>
        </w:tc>
        <w:tc>
          <w:tcPr>
            <w:tcW w:w="2357" w:type="dxa"/>
            <w:shd w:val="clear" w:color="auto" w:fill="auto"/>
            <w:vAlign w:val="center"/>
          </w:tcPr>
          <w:p w:rsidR="00625A43" w:rsidRDefault="005659D6">
            <w:pPr>
              <w:pStyle w:val="Text1"/>
              <w:ind w:left="0"/>
              <w:rPr>
                <w:noProof/>
                <w:sz w:val="20"/>
              </w:rPr>
            </w:pPr>
            <w:r>
              <w:rPr>
                <w:noProof/>
                <w:sz w:val="20"/>
              </w:rPr>
              <w:t>AT, CY, CZ, EE, EL, ES, HR, HU, IT, LT, LV, MT, PL, RO, SI, SK, UK</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Deginti vis mažiau pakartotinai naudoti ir perdirbti tinkamų atliekų, palaipsniui atsisakant subsidijų už deginimą arba</w:t>
            </w:r>
            <w:r>
              <w:rPr>
                <w:noProof/>
                <w:sz w:val="20"/>
              </w:rPr>
              <w:t xml:space="preserve"> jį apmokestinant. Naudoti šias pajamas priemonėms, kuriomis gerinamas atliekų tvarkymas, atsižvelgiant į atliekų hierarchiją.</w:t>
            </w:r>
          </w:p>
        </w:tc>
        <w:tc>
          <w:tcPr>
            <w:tcW w:w="2357" w:type="dxa"/>
            <w:shd w:val="clear" w:color="auto" w:fill="auto"/>
            <w:vAlign w:val="center"/>
          </w:tcPr>
          <w:p w:rsidR="00625A43" w:rsidRDefault="005659D6">
            <w:pPr>
              <w:pStyle w:val="Text1"/>
              <w:ind w:left="0"/>
              <w:rPr>
                <w:noProof/>
                <w:sz w:val="20"/>
              </w:rPr>
            </w:pPr>
            <w:r>
              <w:rPr>
                <w:noProof/>
                <w:sz w:val="20"/>
              </w:rPr>
              <w:t>AT, BE, CZ, DE, DK, EE, FI, IE, LT, LU, NL, PL, PT, SE</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Pradėti taikyti ir (arba) pamažu didinti sąvartynų mokesčius, kad perdirb</w:t>
            </w:r>
            <w:r>
              <w:rPr>
                <w:noProof/>
                <w:sz w:val="20"/>
              </w:rPr>
              <w:t>ti ir naudoti tinkamų atliekų sąvartynuose būtų šalinama vis mažiau. Suderinti regionų sąvartynų mokesčius. Naudoti šias pajamas priemonėms, kuriomis gerinamas atliekų tvarkymas atsižvelgiant į atliekų hierarchiją.</w:t>
            </w:r>
          </w:p>
        </w:tc>
        <w:tc>
          <w:tcPr>
            <w:tcW w:w="2357" w:type="dxa"/>
            <w:shd w:val="clear" w:color="auto" w:fill="auto"/>
            <w:vAlign w:val="center"/>
          </w:tcPr>
          <w:p w:rsidR="00625A43" w:rsidRDefault="005659D6">
            <w:pPr>
              <w:pStyle w:val="Text1"/>
              <w:ind w:left="0"/>
              <w:rPr>
                <w:noProof/>
                <w:sz w:val="20"/>
              </w:rPr>
            </w:pPr>
            <w:r>
              <w:rPr>
                <w:noProof/>
                <w:sz w:val="20"/>
              </w:rPr>
              <w:t>CY, CZ, EL, ES, HR, HU, IT, LT, LV, MT, R</w:t>
            </w:r>
            <w:r>
              <w:rPr>
                <w:noProof/>
                <w:sz w:val="20"/>
              </w:rPr>
              <w:t>O, SI, SK, UK</w:t>
            </w:r>
          </w:p>
        </w:tc>
      </w:tr>
      <w:tr w:rsidR="00625A43">
        <w:tc>
          <w:tcPr>
            <w:tcW w:w="7111" w:type="dxa"/>
            <w:shd w:val="clear" w:color="auto" w:fill="auto"/>
            <w:vAlign w:val="center"/>
          </w:tcPr>
          <w:p w:rsidR="00625A43" w:rsidRDefault="005659D6">
            <w:pPr>
              <w:pStyle w:val="ListParagraph"/>
              <w:numPr>
                <w:ilvl w:val="0"/>
                <w:numId w:val="2"/>
              </w:numPr>
              <w:rPr>
                <w:noProof/>
                <w:sz w:val="20"/>
              </w:rPr>
            </w:pPr>
            <w:r>
              <w:rPr>
                <w:noProof/>
                <w:sz w:val="20"/>
              </w:rPr>
              <w:t xml:space="preserve">Siekiant padidinti perdirbimo lygį, dėmesį skirti tam, kad būtų įgyvendinta rūšiuojamojo surinkimo prievolė, įskaitant biologinių atliekų surinkimą. Parengti ir įgyvendinti minimaliuosius paslaugų standartus ir (arba) savivaldybėms skirtas </w:t>
            </w:r>
            <w:r>
              <w:rPr>
                <w:noProof/>
                <w:sz w:val="20"/>
              </w:rPr>
              <w:t>paramos programas.</w:t>
            </w:r>
          </w:p>
        </w:tc>
        <w:tc>
          <w:tcPr>
            <w:tcW w:w="2357" w:type="dxa"/>
            <w:shd w:val="clear" w:color="auto" w:fill="auto"/>
            <w:vAlign w:val="center"/>
          </w:tcPr>
          <w:p w:rsidR="00625A43" w:rsidRDefault="005659D6">
            <w:pPr>
              <w:spacing w:after="120"/>
              <w:jc w:val="both"/>
              <w:rPr>
                <w:noProof/>
              </w:rPr>
            </w:pPr>
            <w:r>
              <w:rPr>
                <w:noProof/>
              </w:rPr>
              <w:t>BG, CY, CZ, EE, EL, ES, FI, FR, HR, HU, IE, IT, LT, LV, MT, PL, PT, RO, SI, SK, UK</w:t>
            </w:r>
          </w:p>
        </w:tc>
      </w:tr>
      <w:tr w:rsidR="00625A43">
        <w:tc>
          <w:tcPr>
            <w:tcW w:w="7111" w:type="dxa"/>
            <w:shd w:val="clear" w:color="auto" w:fill="auto"/>
            <w:vAlign w:val="center"/>
          </w:tcPr>
          <w:p w:rsidR="00625A43" w:rsidRDefault="005659D6">
            <w:pPr>
              <w:pStyle w:val="ListParagraph"/>
              <w:numPr>
                <w:ilvl w:val="0"/>
                <w:numId w:val="2"/>
              </w:numPr>
              <w:rPr>
                <w:noProof/>
                <w:sz w:val="20"/>
              </w:rPr>
            </w:pPr>
            <w:r>
              <w:rPr>
                <w:noProof/>
                <w:sz w:val="20"/>
              </w:rPr>
              <w:t>Baigti rengti ir (arba) atnaujinti atliekų tvarkymo planą (-us) ir (arba) atliekų prevencijos programą (-as).</w:t>
            </w:r>
          </w:p>
        </w:tc>
        <w:tc>
          <w:tcPr>
            <w:tcW w:w="2357" w:type="dxa"/>
            <w:shd w:val="clear" w:color="auto" w:fill="auto"/>
            <w:vAlign w:val="center"/>
          </w:tcPr>
          <w:p w:rsidR="00625A43" w:rsidRDefault="005659D6">
            <w:pPr>
              <w:pStyle w:val="Text1"/>
              <w:ind w:left="0"/>
              <w:rPr>
                <w:noProof/>
                <w:sz w:val="20"/>
              </w:rPr>
            </w:pPr>
            <w:r>
              <w:rPr>
                <w:noProof/>
                <w:sz w:val="20"/>
              </w:rPr>
              <w:t>ES, FR</w:t>
            </w:r>
          </w:p>
        </w:tc>
      </w:tr>
      <w:tr w:rsidR="00625A43">
        <w:tc>
          <w:tcPr>
            <w:tcW w:w="7111" w:type="dxa"/>
            <w:shd w:val="clear" w:color="auto" w:fill="auto"/>
            <w:vAlign w:val="center"/>
          </w:tcPr>
          <w:p w:rsidR="00625A43" w:rsidRDefault="005659D6">
            <w:pPr>
              <w:pStyle w:val="ListParagraph"/>
              <w:numPr>
                <w:ilvl w:val="0"/>
                <w:numId w:val="2"/>
              </w:numPr>
              <w:rPr>
                <w:noProof/>
                <w:sz w:val="20"/>
              </w:rPr>
            </w:pPr>
            <w:r>
              <w:rPr>
                <w:noProof/>
                <w:sz w:val="20"/>
              </w:rPr>
              <w:t>Teikti pirmenybę reikalavimų neatit</w:t>
            </w:r>
            <w:r>
              <w:rPr>
                <w:noProof/>
                <w:sz w:val="20"/>
              </w:rPr>
              <w:t xml:space="preserve">inkančių sąvartynų uždarymui ir pertvarkymui. </w:t>
            </w:r>
          </w:p>
        </w:tc>
        <w:tc>
          <w:tcPr>
            <w:tcW w:w="2357" w:type="dxa"/>
            <w:shd w:val="clear" w:color="auto" w:fill="auto"/>
            <w:vAlign w:val="center"/>
          </w:tcPr>
          <w:p w:rsidR="00625A43" w:rsidRDefault="005659D6">
            <w:pPr>
              <w:pStyle w:val="Text1"/>
              <w:ind w:left="0"/>
              <w:rPr>
                <w:noProof/>
                <w:sz w:val="20"/>
              </w:rPr>
            </w:pPr>
            <w:r>
              <w:rPr>
                <w:noProof/>
                <w:sz w:val="20"/>
              </w:rPr>
              <w:t>BG, CY, EL, ES, IT, PL, RO, SI, SK</w:t>
            </w:r>
          </w:p>
        </w:tc>
      </w:tr>
      <w:tr w:rsidR="00625A43">
        <w:tc>
          <w:tcPr>
            <w:tcW w:w="7111" w:type="dxa"/>
            <w:shd w:val="clear" w:color="auto" w:fill="auto"/>
            <w:vAlign w:val="center"/>
          </w:tcPr>
          <w:p w:rsidR="00625A43" w:rsidRDefault="005659D6">
            <w:pPr>
              <w:pStyle w:val="ListParagraph"/>
              <w:numPr>
                <w:ilvl w:val="0"/>
                <w:numId w:val="2"/>
              </w:numPr>
              <w:rPr>
                <w:noProof/>
                <w:sz w:val="20"/>
              </w:rPr>
            </w:pPr>
            <w:r>
              <w:rPr>
                <w:noProof/>
                <w:sz w:val="20"/>
              </w:rPr>
              <w:t>Stengtis nekurti perteklinių galutinėms atliekoms tvarkyti skirtų infrastruktūros pajėgumų, pvz., mechaninio biologinio apdorojimo, deginimo įrenginių ir sąvartynų.</w:t>
            </w:r>
          </w:p>
        </w:tc>
        <w:tc>
          <w:tcPr>
            <w:tcW w:w="2357" w:type="dxa"/>
            <w:shd w:val="clear" w:color="auto" w:fill="auto"/>
            <w:vAlign w:val="center"/>
          </w:tcPr>
          <w:p w:rsidR="00625A43" w:rsidRDefault="005659D6">
            <w:pPr>
              <w:pStyle w:val="Text1"/>
              <w:ind w:left="0"/>
              <w:rPr>
                <w:noProof/>
                <w:sz w:val="20"/>
              </w:rPr>
            </w:pPr>
            <w:r>
              <w:rPr>
                <w:noProof/>
                <w:sz w:val="20"/>
              </w:rPr>
              <w:t xml:space="preserve">CZ, EL, </w:t>
            </w:r>
            <w:r>
              <w:rPr>
                <w:noProof/>
                <w:sz w:val="20"/>
              </w:rPr>
              <w:t>LT, PL, SK</w:t>
            </w:r>
          </w:p>
        </w:tc>
      </w:tr>
      <w:tr w:rsidR="00625A43">
        <w:tc>
          <w:tcPr>
            <w:tcW w:w="7111" w:type="dxa"/>
            <w:shd w:val="clear" w:color="auto" w:fill="auto"/>
            <w:vAlign w:val="center"/>
          </w:tcPr>
          <w:p w:rsidR="00625A43" w:rsidRDefault="005659D6">
            <w:pPr>
              <w:pStyle w:val="ListParagraph"/>
              <w:numPr>
                <w:ilvl w:val="0"/>
                <w:numId w:val="2"/>
              </w:numPr>
              <w:rPr>
                <w:noProof/>
                <w:sz w:val="20"/>
              </w:rPr>
            </w:pPr>
            <w:r>
              <w:rPr>
                <w:noProof/>
                <w:sz w:val="20"/>
              </w:rPr>
              <w:t>Užtikrinti, kad atliekų statistiniai duomenys atitiktų Eurostato gaires. Laiku teikti atliekų tvarkymo duomenis ir gerinti jų suderinamumą.</w:t>
            </w:r>
          </w:p>
        </w:tc>
        <w:tc>
          <w:tcPr>
            <w:tcW w:w="2357" w:type="dxa"/>
            <w:shd w:val="clear" w:color="auto" w:fill="auto"/>
            <w:vAlign w:val="center"/>
          </w:tcPr>
          <w:p w:rsidR="00625A43" w:rsidRDefault="005659D6">
            <w:pPr>
              <w:pStyle w:val="Text1"/>
              <w:ind w:left="0"/>
              <w:rPr>
                <w:noProof/>
                <w:sz w:val="20"/>
              </w:rPr>
            </w:pPr>
            <w:r>
              <w:rPr>
                <w:noProof/>
                <w:sz w:val="20"/>
              </w:rPr>
              <w:t>CZ, IE, SI</w:t>
            </w:r>
          </w:p>
        </w:tc>
      </w:tr>
      <w:tr w:rsidR="00625A43">
        <w:tc>
          <w:tcPr>
            <w:tcW w:w="9468" w:type="dxa"/>
            <w:gridSpan w:val="2"/>
            <w:shd w:val="clear" w:color="auto" w:fill="C6D9F1" w:themeFill="text2" w:themeFillTint="33"/>
            <w:vAlign w:val="center"/>
          </w:tcPr>
          <w:p w:rsidR="00625A43" w:rsidRDefault="005659D6">
            <w:pPr>
              <w:pStyle w:val="Text1"/>
              <w:pageBreakBefore/>
              <w:spacing w:after="0"/>
              <w:ind w:left="0"/>
              <w:rPr>
                <w:b/>
                <w:noProof/>
                <w:sz w:val="20"/>
              </w:rPr>
            </w:pPr>
            <w:bookmarkStart w:id="2" w:name="_Toc433296160"/>
            <w:bookmarkStart w:id="3" w:name="_Toc439678149"/>
            <w:r>
              <w:rPr>
                <w:b/>
                <w:noProof/>
                <w:sz w:val="20"/>
              </w:rPr>
              <w:t>Gamta ir biologinė įvairovė</w:t>
            </w:r>
            <w:bookmarkEnd w:id="2"/>
            <w:bookmarkEnd w:id="3"/>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 xml:space="preserve">Baigti teritorijų, įskaitant jūrines, pripažinimo tinklo </w:t>
            </w:r>
            <w:r>
              <w:rPr>
                <w:noProof/>
                <w:sz w:val="20"/>
              </w:rPr>
              <w:t>„Natura 2000“ dalimis procesą ir (arba) nustatyti visoms tinklo „Natura 2000“ teritorijoms taikomus aiškiai apibrėžtus išsaugojimo tikslus ir reikiamas išsaugojimo priemones, geriausia – teritorijų valdymo planuose arba rengiant panašias priemones.</w:t>
            </w:r>
          </w:p>
        </w:tc>
        <w:tc>
          <w:tcPr>
            <w:tcW w:w="2357" w:type="dxa"/>
            <w:shd w:val="clear" w:color="auto" w:fill="auto"/>
            <w:vAlign w:val="center"/>
          </w:tcPr>
          <w:p w:rsidR="00625A43" w:rsidRDefault="005659D6">
            <w:pPr>
              <w:pStyle w:val="Text1"/>
              <w:ind w:left="0"/>
              <w:rPr>
                <w:noProof/>
                <w:sz w:val="20"/>
              </w:rPr>
            </w:pPr>
            <w:r>
              <w:rPr>
                <w:noProof/>
                <w:sz w:val="20"/>
              </w:rPr>
              <w:t>AT, BE,</w:t>
            </w:r>
            <w:r>
              <w:rPr>
                <w:noProof/>
                <w:sz w:val="20"/>
              </w:rPr>
              <w:t xml:space="preserve"> BG, CY, CZ, DE, DK, EE, EL, ES, FI, HR, HU, IE, IT, LT, LV, MT, NL, PL, PT, RO, SE, SI, SK, UK</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 xml:space="preserve">Užtikrinti veiksmingą pakankamais administraciniais gebėjimais ir finansavimu pagrįstą tinklo „Natura 2000“ valdymo planų įgyvendinimą. </w:t>
            </w:r>
          </w:p>
        </w:tc>
        <w:tc>
          <w:tcPr>
            <w:tcW w:w="2357" w:type="dxa"/>
            <w:shd w:val="clear" w:color="auto" w:fill="auto"/>
            <w:vAlign w:val="center"/>
          </w:tcPr>
          <w:p w:rsidR="00625A43" w:rsidRDefault="005659D6">
            <w:pPr>
              <w:pStyle w:val="Text1"/>
              <w:ind w:left="0"/>
              <w:rPr>
                <w:noProof/>
                <w:sz w:val="20"/>
              </w:rPr>
            </w:pPr>
            <w:r>
              <w:rPr>
                <w:noProof/>
                <w:sz w:val="20"/>
              </w:rPr>
              <w:t>BG, EE, ES, EL, FR, HR</w:t>
            </w:r>
            <w:r>
              <w:rPr>
                <w:noProof/>
                <w:sz w:val="20"/>
              </w:rPr>
              <w:t xml:space="preserve">, HU, IE, IT, LT, LU, MT, RO, SI, SK </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 xml:space="preserve">Plėtoti ir populiarinti pažangius ir racionalizuotus įgyvendinimo modelius, ypač kiek tai sietina su tinkamomis vertinimo procedūromis ir su rūšimis susijusių leidimų išdavimo procedūromis, užtikrinant reikiamą žinių </w:t>
            </w:r>
            <w:r>
              <w:rPr>
                <w:noProof/>
                <w:sz w:val="20"/>
              </w:rPr>
              <w:t xml:space="preserve">ir duomenų prieinamumą, ir aktyviau bendrauti su suinteresuotaisiais subjektais. </w:t>
            </w:r>
          </w:p>
        </w:tc>
        <w:tc>
          <w:tcPr>
            <w:tcW w:w="2357" w:type="dxa"/>
            <w:shd w:val="clear" w:color="auto" w:fill="auto"/>
            <w:vAlign w:val="center"/>
          </w:tcPr>
          <w:p w:rsidR="00625A43" w:rsidRDefault="005659D6">
            <w:pPr>
              <w:pStyle w:val="Text1"/>
              <w:ind w:left="0"/>
              <w:rPr>
                <w:noProof/>
                <w:sz w:val="20"/>
              </w:rPr>
            </w:pPr>
            <w:r>
              <w:rPr>
                <w:noProof/>
                <w:sz w:val="20"/>
              </w:rPr>
              <w:t>BG, CY, EE, EL, HU, IT, LT, PT, RO, SI</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Užtikrinti tinkamą saugomų rūšių paukščių medžioklės ir arba spąstų draudimų vykdymą.</w:t>
            </w:r>
          </w:p>
        </w:tc>
        <w:tc>
          <w:tcPr>
            <w:tcW w:w="2357" w:type="dxa"/>
            <w:shd w:val="clear" w:color="auto" w:fill="auto"/>
            <w:vAlign w:val="center"/>
          </w:tcPr>
          <w:p w:rsidR="00625A43" w:rsidRDefault="005659D6">
            <w:pPr>
              <w:pStyle w:val="Text1"/>
              <w:ind w:left="0"/>
              <w:rPr>
                <w:noProof/>
                <w:sz w:val="20"/>
              </w:rPr>
            </w:pPr>
            <w:r>
              <w:rPr>
                <w:noProof/>
                <w:sz w:val="20"/>
              </w:rPr>
              <w:t>CY, ES, IT, MT</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Geriau integruoti biologinės įva</w:t>
            </w:r>
            <w:r>
              <w:rPr>
                <w:noProof/>
                <w:sz w:val="20"/>
              </w:rPr>
              <w:t>irovės aspektus į kitas politikos sritis (ypač į žemės ūkį, taip pat į žuvininkystę, miestų ir infrastruktūros planavimą ir darnų turizmą) ir skatinti geresnį subjektų tarpusavio bendravimą. Kai tinkama, vengti tolesnės buveinių fragmentacijos ir imtis pri</w:t>
            </w:r>
            <w:r>
              <w:rPr>
                <w:noProof/>
                <w:sz w:val="20"/>
              </w:rPr>
              <w:t>emonių, kad būtų atkurtas jų tarpusavio susisiekimas.</w:t>
            </w:r>
          </w:p>
        </w:tc>
        <w:tc>
          <w:tcPr>
            <w:tcW w:w="2357" w:type="dxa"/>
            <w:shd w:val="clear" w:color="auto" w:fill="auto"/>
            <w:vAlign w:val="center"/>
          </w:tcPr>
          <w:p w:rsidR="00625A43" w:rsidRDefault="005659D6">
            <w:pPr>
              <w:pStyle w:val="Text1"/>
              <w:ind w:left="0"/>
              <w:rPr>
                <w:noProof/>
                <w:sz w:val="20"/>
              </w:rPr>
            </w:pPr>
            <w:r>
              <w:rPr>
                <w:noProof/>
                <w:sz w:val="20"/>
              </w:rPr>
              <w:t>CZ, DE, DK, EL, ES, FI, FR, HR, LU, NL, PT, SK</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 xml:space="preserve">Didinti paskatas ūkininkams ir miškininkams, kad jie geriau saugotų miškų ir pievų buveines. Užtikrinti darnią miškininkystę ir skatinti efektyviai </w:t>
            </w:r>
            <w:r>
              <w:rPr>
                <w:noProof/>
                <w:sz w:val="20"/>
              </w:rPr>
              <w:t>naudoti biomasę.</w:t>
            </w:r>
          </w:p>
        </w:tc>
        <w:tc>
          <w:tcPr>
            <w:tcW w:w="2357" w:type="dxa"/>
            <w:shd w:val="clear" w:color="auto" w:fill="auto"/>
            <w:vAlign w:val="center"/>
          </w:tcPr>
          <w:p w:rsidR="00625A43" w:rsidRDefault="005659D6">
            <w:pPr>
              <w:pStyle w:val="Text1"/>
              <w:ind w:left="0"/>
              <w:rPr>
                <w:noProof/>
                <w:sz w:val="20"/>
              </w:rPr>
            </w:pPr>
            <w:r>
              <w:rPr>
                <w:noProof/>
                <w:sz w:val="20"/>
              </w:rPr>
              <w:t>FI, LT, LV, PL, SE, SK</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Toliau remti biologinės įvairovės apsaugai, darniam vystymuisi ir prisitaikymui prie klimato kaitos ir švelninimo priemonėms kai kuriuose iš atokiausių regionų ir užjūrio šalyse ir teritorijose skirtos tvarios partn</w:t>
            </w:r>
            <w:r>
              <w:rPr>
                <w:noProof/>
                <w:sz w:val="20"/>
              </w:rPr>
              <w:t>erystės kūrimo pastangas.</w:t>
            </w:r>
          </w:p>
        </w:tc>
        <w:tc>
          <w:tcPr>
            <w:tcW w:w="2357" w:type="dxa"/>
            <w:shd w:val="clear" w:color="auto" w:fill="auto"/>
            <w:vAlign w:val="center"/>
          </w:tcPr>
          <w:p w:rsidR="00625A43" w:rsidRDefault="005659D6">
            <w:pPr>
              <w:pStyle w:val="Text1"/>
              <w:ind w:left="0"/>
              <w:rPr>
                <w:noProof/>
                <w:sz w:val="20"/>
              </w:rPr>
            </w:pPr>
            <w:r>
              <w:rPr>
                <w:noProof/>
                <w:sz w:val="20"/>
              </w:rPr>
              <w:t>FR, UK</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Toliau remti ekosistemų ir ekosisteminių paslaugų žemėlapių sudarymą ir vertinimą, gamtinio kapitalo vertės nustatymą ir apskaitos sistemų plėtrą.</w:t>
            </w:r>
          </w:p>
        </w:tc>
        <w:tc>
          <w:tcPr>
            <w:tcW w:w="2357" w:type="dxa"/>
            <w:shd w:val="clear" w:color="auto" w:fill="auto"/>
            <w:vAlign w:val="center"/>
          </w:tcPr>
          <w:p w:rsidR="00625A43" w:rsidRDefault="005659D6">
            <w:pPr>
              <w:pStyle w:val="Text1"/>
              <w:ind w:left="0"/>
              <w:rPr>
                <w:noProof/>
                <w:sz w:val="20"/>
              </w:rPr>
            </w:pPr>
            <w:r>
              <w:rPr>
                <w:noProof/>
                <w:sz w:val="20"/>
              </w:rPr>
              <w:t>AT, BE, CZ, DK, EE, HU, PT, SE, SK</w:t>
            </w:r>
          </w:p>
        </w:tc>
      </w:tr>
      <w:tr w:rsidR="00625A43">
        <w:tc>
          <w:tcPr>
            <w:tcW w:w="9468" w:type="dxa"/>
            <w:gridSpan w:val="2"/>
            <w:shd w:val="clear" w:color="auto" w:fill="B8CCE4" w:themeFill="accent1" w:themeFillTint="66"/>
            <w:vAlign w:val="center"/>
          </w:tcPr>
          <w:p w:rsidR="00625A43" w:rsidRDefault="005659D6">
            <w:pPr>
              <w:pStyle w:val="Text1"/>
              <w:spacing w:after="0"/>
              <w:ind w:left="0"/>
              <w:rPr>
                <w:b/>
                <w:noProof/>
                <w:sz w:val="20"/>
              </w:rPr>
            </w:pPr>
            <w:r>
              <w:rPr>
                <w:b/>
                <w:noProof/>
                <w:sz w:val="20"/>
              </w:rPr>
              <w:t>Invazinės svetimos rūšys</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 xml:space="preserve">Priimti nacionalinės teisės aktus, pagal kuriuos būtų vykdomi Invazinių svetimų rūšių reglamente nustatyti įpareigojimai, ir pranešti apie tai Komisijai. Pateikti tinkamus duomenis. </w:t>
            </w:r>
          </w:p>
        </w:tc>
        <w:tc>
          <w:tcPr>
            <w:tcW w:w="2357" w:type="dxa"/>
            <w:shd w:val="clear" w:color="auto" w:fill="auto"/>
            <w:vAlign w:val="center"/>
          </w:tcPr>
          <w:p w:rsidR="00625A43" w:rsidRDefault="005659D6">
            <w:pPr>
              <w:pStyle w:val="Text1"/>
              <w:ind w:left="0"/>
              <w:rPr>
                <w:noProof/>
                <w:sz w:val="20"/>
              </w:rPr>
            </w:pPr>
            <w:r>
              <w:rPr>
                <w:noProof/>
                <w:sz w:val="20"/>
              </w:rPr>
              <w:t>AT, BE, CZ, EL, IE, PT, RO, SE, SK, UK</w:t>
            </w:r>
          </w:p>
        </w:tc>
      </w:tr>
      <w:tr w:rsidR="00625A43">
        <w:trPr>
          <w:trHeight w:val="978"/>
        </w:trPr>
        <w:tc>
          <w:tcPr>
            <w:tcW w:w="7111" w:type="dxa"/>
            <w:shd w:val="clear" w:color="auto" w:fill="auto"/>
            <w:vAlign w:val="center"/>
          </w:tcPr>
          <w:p w:rsidR="00625A43" w:rsidRDefault="005659D6">
            <w:pPr>
              <w:pStyle w:val="Text1"/>
              <w:numPr>
                <w:ilvl w:val="0"/>
                <w:numId w:val="2"/>
              </w:numPr>
              <w:rPr>
                <w:noProof/>
                <w:sz w:val="20"/>
              </w:rPr>
            </w:pPr>
            <w:r>
              <w:rPr>
                <w:noProof/>
                <w:sz w:val="20"/>
              </w:rPr>
              <w:t>Pateikti šalyje esančių invazinių</w:t>
            </w:r>
            <w:r>
              <w:rPr>
                <w:noProof/>
                <w:sz w:val="20"/>
              </w:rPr>
              <w:t xml:space="preserve"> svetimų rūšių ir (arba) numatytų taikyti jų likvidavimo priemonių sąrašą. Parengti priemones, jei jos dar neparengtos. Jei taikoma, ištirti akivaizdų duomenų trūkumą ir ieškoti būdų tobulinti priežiūros sistemą.</w:t>
            </w:r>
          </w:p>
        </w:tc>
        <w:tc>
          <w:tcPr>
            <w:tcW w:w="2357" w:type="dxa"/>
            <w:shd w:val="clear" w:color="auto" w:fill="auto"/>
            <w:vAlign w:val="center"/>
          </w:tcPr>
          <w:p w:rsidR="00625A43" w:rsidRDefault="005659D6">
            <w:pPr>
              <w:pStyle w:val="Text1"/>
              <w:spacing w:after="0"/>
              <w:ind w:left="0"/>
              <w:rPr>
                <w:noProof/>
                <w:sz w:val="20"/>
              </w:rPr>
            </w:pPr>
            <w:r>
              <w:rPr>
                <w:noProof/>
                <w:sz w:val="20"/>
              </w:rPr>
              <w:t>CZ, DE, DK, EL, ES, FR, HU, PT</w:t>
            </w:r>
          </w:p>
        </w:tc>
      </w:tr>
      <w:tr w:rsidR="00625A43">
        <w:trPr>
          <w:cantSplit/>
        </w:trPr>
        <w:tc>
          <w:tcPr>
            <w:tcW w:w="9468" w:type="dxa"/>
            <w:gridSpan w:val="2"/>
            <w:shd w:val="clear" w:color="auto" w:fill="C6D9F1" w:themeFill="text2" w:themeFillTint="33"/>
            <w:vAlign w:val="center"/>
          </w:tcPr>
          <w:p w:rsidR="00625A43" w:rsidRDefault="005659D6">
            <w:pPr>
              <w:pStyle w:val="Text1"/>
              <w:keepLines/>
              <w:spacing w:after="0"/>
              <w:ind w:left="0"/>
              <w:rPr>
                <w:b/>
                <w:noProof/>
                <w:sz w:val="20"/>
              </w:rPr>
            </w:pPr>
            <w:r>
              <w:rPr>
                <w:b/>
                <w:noProof/>
                <w:sz w:val="20"/>
              </w:rPr>
              <w:t>Jūrų apsaug</w:t>
            </w:r>
            <w:r>
              <w:rPr>
                <w:b/>
                <w:noProof/>
                <w:sz w:val="20"/>
              </w:rPr>
              <w:t>a</w:t>
            </w:r>
            <w:r>
              <w:rPr>
                <w:b/>
                <w:noProof/>
                <w:sz w:val="20"/>
              </w:rPr>
              <w:footnoteReference w:id="3"/>
            </w:r>
          </w:p>
        </w:tc>
      </w:tr>
      <w:tr w:rsidR="00625A43">
        <w:tc>
          <w:tcPr>
            <w:tcW w:w="7111" w:type="dxa"/>
            <w:vAlign w:val="center"/>
          </w:tcPr>
          <w:p w:rsidR="00625A43" w:rsidRDefault="005659D6">
            <w:pPr>
              <w:pStyle w:val="ListParagraph"/>
              <w:keepLines/>
              <w:widowControl w:val="0"/>
              <w:numPr>
                <w:ilvl w:val="0"/>
                <w:numId w:val="2"/>
              </w:numPr>
              <w:rPr>
                <w:noProof/>
                <w:sz w:val="20"/>
              </w:rPr>
            </w:pPr>
            <w:r>
              <w:rPr>
                <w:noProof/>
                <w:sz w:val="20"/>
              </w:rPr>
              <w:t>Užtikrinti, kad būtų laiku teikiama informacija įvairiais Jūrų strategijos pagrindų direktyvos aspektais ir kad juos būtų galima įtraukti į būsimus Komisijos vertinimus.</w:t>
            </w:r>
          </w:p>
        </w:tc>
        <w:tc>
          <w:tcPr>
            <w:tcW w:w="2357" w:type="dxa"/>
            <w:shd w:val="clear" w:color="auto" w:fill="auto"/>
            <w:vAlign w:val="center"/>
          </w:tcPr>
          <w:p w:rsidR="00625A43" w:rsidRDefault="005659D6">
            <w:pPr>
              <w:pStyle w:val="Text1"/>
              <w:keepLines/>
              <w:ind w:left="0"/>
              <w:rPr>
                <w:noProof/>
                <w:sz w:val="20"/>
              </w:rPr>
            </w:pPr>
            <w:r>
              <w:rPr>
                <w:noProof/>
                <w:sz w:val="20"/>
              </w:rPr>
              <w:t>DK, EE, EL, HR, LT, RO, SI</w:t>
            </w:r>
          </w:p>
        </w:tc>
      </w:tr>
      <w:tr w:rsidR="00625A43">
        <w:trPr>
          <w:cantSplit/>
        </w:trPr>
        <w:tc>
          <w:tcPr>
            <w:tcW w:w="7111" w:type="dxa"/>
            <w:vAlign w:val="center"/>
          </w:tcPr>
          <w:p w:rsidR="00625A43" w:rsidRDefault="005659D6">
            <w:pPr>
              <w:pStyle w:val="ListParagraph"/>
              <w:keepLines/>
              <w:widowControl w:val="0"/>
              <w:numPr>
                <w:ilvl w:val="0"/>
                <w:numId w:val="2"/>
              </w:numPr>
              <w:rPr>
                <w:noProof/>
                <w:sz w:val="20"/>
              </w:rPr>
            </w:pPr>
            <w:r>
              <w:rPr>
                <w:noProof/>
                <w:sz w:val="20"/>
              </w:rPr>
              <w:t>Apibrėžti gerą aplinkos būklę (toliau – GAB) ir (arba)</w:t>
            </w:r>
            <w:r>
              <w:rPr>
                <w:noProof/>
                <w:sz w:val="20"/>
              </w:rPr>
              <w:t xml:space="preserve"> nustatyti GAB užtikrinimo tvarkaraštį. Nustatyti tikslus, jei jie dar nenustatyti.</w:t>
            </w:r>
          </w:p>
        </w:tc>
        <w:tc>
          <w:tcPr>
            <w:tcW w:w="2357" w:type="dxa"/>
            <w:shd w:val="clear" w:color="auto" w:fill="auto"/>
            <w:vAlign w:val="center"/>
          </w:tcPr>
          <w:p w:rsidR="00625A43" w:rsidRDefault="005659D6">
            <w:pPr>
              <w:pStyle w:val="Text1"/>
              <w:keepLines/>
              <w:ind w:left="0"/>
              <w:rPr>
                <w:noProof/>
                <w:sz w:val="20"/>
              </w:rPr>
            </w:pPr>
            <w:r>
              <w:rPr>
                <w:noProof/>
                <w:sz w:val="20"/>
              </w:rPr>
              <w:t>BG, DE, ES, FI, IE, IT, LV, MT, NL, PL, PT, SE, UK</w:t>
            </w:r>
          </w:p>
        </w:tc>
      </w:tr>
      <w:tr w:rsidR="00625A43">
        <w:tc>
          <w:tcPr>
            <w:tcW w:w="7111" w:type="dxa"/>
            <w:vAlign w:val="center"/>
          </w:tcPr>
          <w:p w:rsidR="00625A43" w:rsidRDefault="005659D6">
            <w:pPr>
              <w:pStyle w:val="ListParagraph"/>
              <w:widowControl w:val="0"/>
              <w:numPr>
                <w:ilvl w:val="0"/>
                <w:numId w:val="2"/>
              </w:numPr>
              <w:rPr>
                <w:noProof/>
                <w:sz w:val="20"/>
              </w:rPr>
            </w:pPr>
            <w:r>
              <w:rPr>
                <w:noProof/>
                <w:sz w:val="20"/>
              </w:rPr>
              <w:t xml:space="preserve">Pateikti daugiau informacijos apie priemones, kuriomis siekiama užtikrinti GAB, nustatyti daugiau priemonių, turinčių </w:t>
            </w:r>
            <w:r>
              <w:rPr>
                <w:noProof/>
                <w:sz w:val="20"/>
              </w:rPr>
              <w:t>tiesioginės įtakos neigiamiems veiksniams, ir kiekybiškai įvertinti numatomo neigiamų veiksnių šalinimo rezultatus.</w:t>
            </w:r>
          </w:p>
        </w:tc>
        <w:tc>
          <w:tcPr>
            <w:tcW w:w="2357" w:type="dxa"/>
            <w:shd w:val="clear" w:color="auto" w:fill="auto"/>
            <w:vAlign w:val="center"/>
          </w:tcPr>
          <w:p w:rsidR="00625A43" w:rsidRDefault="005659D6">
            <w:pPr>
              <w:pStyle w:val="Text1"/>
              <w:ind w:left="0"/>
              <w:rPr>
                <w:noProof/>
                <w:sz w:val="20"/>
              </w:rPr>
            </w:pPr>
            <w:r>
              <w:rPr>
                <w:noProof/>
                <w:sz w:val="20"/>
              </w:rPr>
              <w:t>BE, BG, CY, DE, ES, FR, IE, IT, LV, MT, NL, PL, PT, SE, UK</w:t>
            </w:r>
          </w:p>
        </w:tc>
      </w:tr>
      <w:tr w:rsidR="00625A43">
        <w:tc>
          <w:tcPr>
            <w:tcW w:w="7111" w:type="dxa"/>
            <w:vAlign w:val="center"/>
          </w:tcPr>
          <w:p w:rsidR="00625A43" w:rsidRDefault="005659D6">
            <w:pPr>
              <w:pStyle w:val="ListParagraph"/>
              <w:numPr>
                <w:ilvl w:val="0"/>
                <w:numId w:val="2"/>
              </w:numPr>
              <w:rPr>
                <w:noProof/>
                <w:sz w:val="20"/>
              </w:rPr>
            </w:pPr>
            <w:r>
              <w:rPr>
                <w:noProof/>
                <w:sz w:val="20"/>
              </w:rPr>
              <w:t>Užtikrinti regioninį bendradarbiavimą su tame pačiame jūriniame regione (paregio</w:t>
            </w:r>
            <w:r>
              <w:rPr>
                <w:noProof/>
                <w:sz w:val="20"/>
              </w:rPr>
              <w:t>nyje) esančiomis valstybėmis narėmis, siekiant šalinti svarbiausius neigiamus veiksnius.</w:t>
            </w:r>
          </w:p>
        </w:tc>
        <w:tc>
          <w:tcPr>
            <w:tcW w:w="2357" w:type="dxa"/>
            <w:shd w:val="clear" w:color="auto" w:fill="auto"/>
            <w:vAlign w:val="center"/>
          </w:tcPr>
          <w:p w:rsidR="00625A43" w:rsidRDefault="005659D6">
            <w:pPr>
              <w:spacing w:after="120"/>
              <w:jc w:val="both"/>
              <w:rPr>
                <w:noProof/>
              </w:rPr>
            </w:pPr>
            <w:r>
              <w:rPr>
                <w:noProof/>
              </w:rPr>
              <w:t>BE, BG, CY, DE, ES, FI, IE, IT, LV, PT, SE, UK</w:t>
            </w:r>
          </w:p>
        </w:tc>
      </w:tr>
    </w:tbl>
    <w:p w:rsidR="00625A43" w:rsidRDefault="00625A43">
      <w:pPr>
        <w:pStyle w:val="ListParagraph"/>
        <w:widowControl w:val="0"/>
        <w:numPr>
          <w:ilvl w:val="0"/>
          <w:numId w:val="2"/>
        </w:numPr>
        <w:rPr>
          <w:noProof/>
          <w:sz w:val="20"/>
        </w:rPr>
        <w:sectPr w:rsidR="00625A43">
          <w:headerReference w:type="even" r:id="rId18"/>
          <w:headerReference w:type="default" r:id="rId19"/>
          <w:footerReference w:type="even" r:id="rId20"/>
          <w:footerReference w:type="default" r:id="rId21"/>
          <w:headerReference w:type="first" r:id="rId22"/>
          <w:footerReference w:type="first" r:id="rId23"/>
          <w:pgSz w:w="11906" w:h="16838"/>
          <w:pgMar w:top="1134" w:right="1417" w:bottom="851" w:left="1417" w:header="709" w:footer="709" w:gutter="0"/>
          <w:pgNumType w:start="1"/>
          <w:cols w:space="720"/>
          <w:titlePg/>
          <w:docGrid w:linePitch="360"/>
        </w:sectPr>
      </w:pPr>
    </w:p>
    <w:tbl>
      <w:tblPr>
        <w:tblStyle w:val="TableGrid"/>
        <w:tblW w:w="9468" w:type="dxa"/>
        <w:tblLayout w:type="fixed"/>
        <w:tblLook w:val="04A0" w:firstRow="1" w:lastRow="0" w:firstColumn="1" w:lastColumn="0" w:noHBand="0" w:noVBand="1"/>
      </w:tblPr>
      <w:tblGrid>
        <w:gridCol w:w="7111"/>
        <w:gridCol w:w="2357"/>
      </w:tblGrid>
      <w:tr w:rsidR="00625A43">
        <w:tc>
          <w:tcPr>
            <w:tcW w:w="7111" w:type="dxa"/>
            <w:vAlign w:val="center"/>
          </w:tcPr>
          <w:p w:rsidR="00625A43" w:rsidRDefault="005659D6">
            <w:pPr>
              <w:pStyle w:val="ListParagraph"/>
              <w:widowControl w:val="0"/>
              <w:numPr>
                <w:ilvl w:val="0"/>
                <w:numId w:val="2"/>
              </w:numPr>
              <w:rPr>
                <w:noProof/>
                <w:sz w:val="20"/>
              </w:rPr>
            </w:pPr>
            <w:r>
              <w:rPr>
                <w:noProof/>
                <w:sz w:val="20"/>
              </w:rPr>
              <w:t>Užtikrinti, kad valstybės n</w:t>
            </w:r>
            <w:r>
              <w:rPr>
                <w:noProof/>
                <w:sz w:val="20"/>
              </w:rPr>
              <w:t>arės stebėsenos programa būtų įgyvendinama nevėluojant ir už ją būtų atsiskaityta iki nustatyto termino.</w:t>
            </w:r>
          </w:p>
        </w:tc>
        <w:tc>
          <w:tcPr>
            <w:tcW w:w="2357" w:type="dxa"/>
            <w:shd w:val="clear" w:color="auto" w:fill="auto"/>
            <w:vAlign w:val="center"/>
          </w:tcPr>
          <w:p w:rsidR="00625A43" w:rsidRDefault="005659D6">
            <w:pPr>
              <w:pStyle w:val="Text1"/>
              <w:ind w:left="0"/>
              <w:rPr>
                <w:noProof/>
                <w:sz w:val="20"/>
              </w:rPr>
            </w:pPr>
            <w:r>
              <w:rPr>
                <w:noProof/>
                <w:sz w:val="20"/>
              </w:rPr>
              <w:t>BG, CY, ES, FR, IE, IT, LV, MT, PL, UK</w:t>
            </w:r>
          </w:p>
        </w:tc>
      </w:tr>
      <w:tr w:rsidR="00625A43">
        <w:tc>
          <w:tcPr>
            <w:tcW w:w="9468" w:type="dxa"/>
            <w:gridSpan w:val="2"/>
            <w:shd w:val="clear" w:color="auto" w:fill="C6D9F1" w:themeFill="text2" w:themeFillTint="33"/>
            <w:vAlign w:val="center"/>
          </w:tcPr>
          <w:p w:rsidR="00625A43" w:rsidRDefault="005659D6">
            <w:pPr>
              <w:pStyle w:val="Text1"/>
              <w:spacing w:after="0"/>
              <w:ind w:left="0"/>
              <w:rPr>
                <w:noProof/>
                <w:sz w:val="20"/>
              </w:rPr>
            </w:pPr>
            <w:bookmarkStart w:id="4" w:name="_Toc433296166"/>
            <w:bookmarkStart w:id="5" w:name="_Toc439678155"/>
            <w:r>
              <w:rPr>
                <w:b/>
                <w:noProof/>
                <w:sz w:val="20"/>
              </w:rPr>
              <w:t>Oro kokybė</w:t>
            </w:r>
            <w:bookmarkEnd w:id="4"/>
            <w:bookmarkEnd w:id="5"/>
          </w:p>
        </w:tc>
      </w:tr>
      <w:tr w:rsidR="00625A43">
        <w:tc>
          <w:tcPr>
            <w:tcW w:w="7111" w:type="dxa"/>
            <w:tcBorders>
              <w:right w:val="single" w:sz="4" w:space="0" w:color="auto"/>
            </w:tcBorders>
            <w:vAlign w:val="center"/>
          </w:tcPr>
          <w:p w:rsidR="00625A43" w:rsidRDefault="005659D6">
            <w:pPr>
              <w:pStyle w:val="ListParagraph"/>
              <w:numPr>
                <w:ilvl w:val="0"/>
                <w:numId w:val="2"/>
              </w:numPr>
              <w:rPr>
                <w:rFonts w:eastAsia="Times New Roman"/>
                <w:noProof/>
                <w:sz w:val="20"/>
              </w:rPr>
            </w:pPr>
            <w:r>
              <w:rPr>
                <w:noProof/>
                <w:sz w:val="20"/>
              </w:rPr>
              <w:t xml:space="preserve">Rengiant tinkamas nacionalines oro taršos kontrolės programas (NOTKP) imtis veiksmų siekiant </w:t>
            </w:r>
            <w:r>
              <w:rPr>
                <w:noProof/>
                <w:sz w:val="20"/>
              </w:rPr>
              <w:t>sumažinti pagrindinius teršalų išmetimo šaltinius ir įvykdyti visus aplinkos kokybės standartus.</w:t>
            </w:r>
          </w:p>
        </w:tc>
        <w:tc>
          <w:tcPr>
            <w:tcW w:w="2357" w:type="dxa"/>
            <w:tcBorders>
              <w:left w:val="single" w:sz="4" w:space="0" w:color="auto"/>
            </w:tcBorders>
            <w:shd w:val="clear" w:color="auto" w:fill="auto"/>
            <w:vAlign w:val="center"/>
          </w:tcPr>
          <w:p w:rsidR="00625A43" w:rsidRDefault="005659D6">
            <w:pPr>
              <w:spacing w:after="120"/>
              <w:ind w:left="720" w:hanging="720"/>
              <w:jc w:val="both"/>
              <w:rPr>
                <w:noProof/>
              </w:rPr>
            </w:pPr>
            <w:r>
              <w:rPr>
                <w:noProof/>
              </w:rPr>
              <w:t>Visos valstybės narės</w:t>
            </w:r>
          </w:p>
        </w:tc>
      </w:tr>
      <w:tr w:rsidR="00625A43">
        <w:tc>
          <w:tcPr>
            <w:tcW w:w="7111" w:type="dxa"/>
            <w:tcBorders>
              <w:right w:val="single" w:sz="4" w:space="0" w:color="auto"/>
            </w:tcBorders>
            <w:vAlign w:val="center"/>
          </w:tcPr>
          <w:p w:rsidR="00625A43" w:rsidRDefault="005659D6">
            <w:pPr>
              <w:pStyle w:val="ListParagraph"/>
              <w:numPr>
                <w:ilvl w:val="0"/>
                <w:numId w:val="2"/>
              </w:numPr>
              <w:rPr>
                <w:rFonts w:eastAsia="Times New Roman"/>
                <w:noProof/>
                <w:sz w:val="20"/>
              </w:rPr>
            </w:pPr>
            <w:r>
              <w:rPr>
                <w:noProof/>
                <w:sz w:val="20"/>
              </w:rPr>
              <w:t>Sparčiau mažinti išmetamą kietųjų dalelių (KD</w:t>
            </w:r>
            <w:r>
              <w:rPr>
                <w:noProof/>
                <w:sz w:val="20"/>
                <w:vertAlign w:val="subscript"/>
              </w:rPr>
              <w:t>2,5</w:t>
            </w:r>
            <w:r>
              <w:rPr>
                <w:noProof/>
                <w:sz w:val="20"/>
              </w:rPr>
              <w:t xml:space="preserve"> ir KD</w:t>
            </w:r>
            <w:r>
              <w:rPr>
                <w:noProof/>
                <w:sz w:val="20"/>
                <w:vertAlign w:val="subscript"/>
              </w:rPr>
              <w:t>10</w:t>
            </w:r>
            <w:r>
              <w:rPr>
                <w:noProof/>
                <w:sz w:val="20"/>
              </w:rPr>
              <w:t xml:space="preserve">) kiekį ir jų koncentraciją mažinant teršalų kiekį, kuris išmetamas gaminant </w:t>
            </w:r>
            <w:r>
              <w:rPr>
                <w:noProof/>
                <w:sz w:val="20"/>
              </w:rPr>
              <w:t>energiją ir gaminant šilumą iš kietojo kuro. Skatinti efektyvų ir švarų centralizuotą šilumos tiekimą ir efektyviu energijos vartojimu pasižyminčią apstatytą aplinką.</w:t>
            </w:r>
          </w:p>
        </w:tc>
        <w:tc>
          <w:tcPr>
            <w:tcW w:w="2357" w:type="dxa"/>
            <w:tcBorders>
              <w:left w:val="single" w:sz="4" w:space="0" w:color="auto"/>
            </w:tcBorders>
            <w:shd w:val="clear" w:color="auto" w:fill="auto"/>
            <w:vAlign w:val="center"/>
          </w:tcPr>
          <w:p w:rsidR="00625A43" w:rsidRDefault="005659D6">
            <w:pPr>
              <w:spacing w:after="120"/>
              <w:jc w:val="both"/>
              <w:rPr>
                <w:noProof/>
              </w:rPr>
            </w:pPr>
            <w:r>
              <w:rPr>
                <w:noProof/>
              </w:rPr>
              <w:t xml:space="preserve">AT, BG, CZ, DE, EL, ES, FR, HR, HU, IT, PL, RO, SE, SI, SK </w:t>
            </w:r>
          </w:p>
        </w:tc>
      </w:tr>
      <w:tr w:rsidR="00625A43">
        <w:tc>
          <w:tcPr>
            <w:tcW w:w="7111" w:type="dxa"/>
            <w:tcBorders>
              <w:right w:val="single" w:sz="4" w:space="0" w:color="auto"/>
            </w:tcBorders>
            <w:vAlign w:val="center"/>
          </w:tcPr>
          <w:p w:rsidR="00625A43" w:rsidRDefault="005659D6">
            <w:pPr>
              <w:pStyle w:val="ListParagraph"/>
              <w:numPr>
                <w:ilvl w:val="0"/>
                <w:numId w:val="2"/>
              </w:numPr>
              <w:rPr>
                <w:noProof/>
                <w:sz w:val="20"/>
              </w:rPr>
            </w:pPr>
            <w:r>
              <w:rPr>
                <w:noProof/>
                <w:sz w:val="20"/>
              </w:rPr>
              <w:t>Mažinti anglių naudojimą šil</w:t>
            </w:r>
            <w:r>
              <w:rPr>
                <w:noProof/>
                <w:sz w:val="20"/>
              </w:rPr>
              <w:t xml:space="preserve">dant namus siekiant sumažinti išmetamą oro teršalų kiekį, pvz., remiantis iniciatyva </w:t>
            </w:r>
            <w:r>
              <w:rPr>
                <w:i/>
                <w:noProof/>
                <w:sz w:val="20"/>
              </w:rPr>
              <w:t>Anglių pramonės regionų pertvarka</w:t>
            </w:r>
            <w:r>
              <w:rPr>
                <w:noProof/>
                <w:sz w:val="20"/>
              </w:rPr>
              <w:t>.</w:t>
            </w:r>
          </w:p>
        </w:tc>
        <w:tc>
          <w:tcPr>
            <w:tcW w:w="2357" w:type="dxa"/>
            <w:tcBorders>
              <w:left w:val="single" w:sz="4" w:space="0" w:color="auto"/>
            </w:tcBorders>
            <w:shd w:val="clear" w:color="auto" w:fill="auto"/>
            <w:vAlign w:val="center"/>
          </w:tcPr>
          <w:p w:rsidR="00625A43" w:rsidRDefault="005659D6">
            <w:pPr>
              <w:spacing w:after="120"/>
              <w:jc w:val="both"/>
              <w:rPr>
                <w:noProof/>
              </w:rPr>
            </w:pPr>
            <w:r>
              <w:rPr>
                <w:noProof/>
              </w:rPr>
              <w:t>BG, CZ, EL, HU, PL, RO, SK</w:t>
            </w:r>
          </w:p>
        </w:tc>
      </w:tr>
      <w:tr w:rsidR="00625A43">
        <w:tc>
          <w:tcPr>
            <w:tcW w:w="7111" w:type="dxa"/>
            <w:vAlign w:val="center"/>
          </w:tcPr>
          <w:p w:rsidR="00625A43" w:rsidRDefault="005659D6">
            <w:pPr>
              <w:pStyle w:val="ListParagraph"/>
              <w:numPr>
                <w:ilvl w:val="0"/>
                <w:numId w:val="2"/>
              </w:numPr>
              <w:rPr>
                <w:noProof/>
                <w:sz w:val="20"/>
              </w:rPr>
            </w:pPr>
            <w:r>
              <w:rPr>
                <w:noProof/>
                <w:sz w:val="20"/>
              </w:rPr>
              <w:t>Sparčiau mažinti išmetamą azoto oksido (NO</w:t>
            </w:r>
            <w:r>
              <w:rPr>
                <w:noProof/>
                <w:sz w:val="20"/>
                <w:vertAlign w:val="subscript"/>
              </w:rPr>
              <w:t>x</w:t>
            </w:r>
            <w:r>
              <w:rPr>
                <w:noProof/>
                <w:sz w:val="20"/>
              </w:rPr>
              <w:t>) kiekį ir azoto dioksido (NO</w:t>
            </w:r>
            <w:r>
              <w:rPr>
                <w:noProof/>
                <w:sz w:val="20"/>
                <w:vertAlign w:val="subscript"/>
              </w:rPr>
              <w:t>2</w:t>
            </w:r>
            <w:r>
              <w:rPr>
                <w:noProof/>
                <w:sz w:val="20"/>
              </w:rPr>
              <w:t>) koncentraciją, toliau mažinant tr</w:t>
            </w:r>
            <w:r>
              <w:rPr>
                <w:noProof/>
                <w:sz w:val="20"/>
              </w:rPr>
              <w:t>ansporto priemonių išmetamą teršalų kiekį, pirmiausia – miestų teritorijose. Šiuo atžvilgiu taip pat gali prireikti taikyti proporcingus ir tikslingus transporto priemonių įvažiavimo į miestų teritorijas apribojimus ir (arba) finansines paskatas.</w:t>
            </w:r>
          </w:p>
        </w:tc>
        <w:tc>
          <w:tcPr>
            <w:tcW w:w="2357" w:type="dxa"/>
            <w:shd w:val="clear" w:color="auto" w:fill="auto"/>
            <w:vAlign w:val="center"/>
          </w:tcPr>
          <w:p w:rsidR="00625A43" w:rsidRDefault="005659D6">
            <w:pPr>
              <w:spacing w:after="120"/>
              <w:jc w:val="both"/>
              <w:rPr>
                <w:noProof/>
              </w:rPr>
            </w:pPr>
            <w:r>
              <w:rPr>
                <w:noProof/>
              </w:rPr>
              <w:t>AT, BE, B</w:t>
            </w:r>
            <w:r>
              <w:rPr>
                <w:noProof/>
              </w:rPr>
              <w:t xml:space="preserve">G, CZ, DE, EL, ES, FR, HR, HU, IE, IT, LU, NL, PL, PT, RO, UK </w:t>
            </w:r>
          </w:p>
        </w:tc>
      </w:tr>
      <w:tr w:rsidR="00625A43">
        <w:tc>
          <w:tcPr>
            <w:tcW w:w="7111" w:type="dxa"/>
            <w:vAlign w:val="center"/>
          </w:tcPr>
          <w:p w:rsidR="00625A43" w:rsidRDefault="005659D6">
            <w:pPr>
              <w:pStyle w:val="ListParagraph"/>
              <w:numPr>
                <w:ilvl w:val="0"/>
                <w:numId w:val="2"/>
              </w:numPr>
              <w:rPr>
                <w:noProof/>
                <w:sz w:val="20"/>
              </w:rPr>
            </w:pPr>
            <w:r>
              <w:rPr>
                <w:noProof/>
                <w:sz w:val="20"/>
              </w:rPr>
              <w:t>Mažinti išmetamą amoniako (NH</w:t>
            </w:r>
            <w:r>
              <w:rPr>
                <w:noProof/>
                <w:sz w:val="20"/>
                <w:vertAlign w:val="subscript"/>
              </w:rPr>
              <w:t>3</w:t>
            </w:r>
            <w:r>
              <w:rPr>
                <w:noProof/>
                <w:sz w:val="20"/>
              </w:rPr>
              <w:t>) kiekį, pvz., diegiant mažataršes žemės ūkio technologijas arba plečiant jų naudojimą.</w:t>
            </w:r>
          </w:p>
        </w:tc>
        <w:tc>
          <w:tcPr>
            <w:tcW w:w="2357" w:type="dxa"/>
            <w:shd w:val="clear" w:color="auto" w:fill="auto"/>
            <w:vAlign w:val="center"/>
          </w:tcPr>
          <w:p w:rsidR="00625A43" w:rsidRDefault="005659D6">
            <w:pPr>
              <w:spacing w:after="120"/>
              <w:jc w:val="both"/>
              <w:rPr>
                <w:noProof/>
              </w:rPr>
            </w:pPr>
            <w:r>
              <w:rPr>
                <w:noProof/>
              </w:rPr>
              <w:t xml:space="preserve">AT, DE, DK, ES, HR, IE </w:t>
            </w:r>
          </w:p>
        </w:tc>
      </w:tr>
      <w:tr w:rsidR="00625A43">
        <w:tc>
          <w:tcPr>
            <w:tcW w:w="7111" w:type="dxa"/>
            <w:vAlign w:val="center"/>
          </w:tcPr>
          <w:p w:rsidR="00625A43" w:rsidRDefault="005659D6">
            <w:pPr>
              <w:pStyle w:val="ListParagraph"/>
              <w:numPr>
                <w:ilvl w:val="0"/>
                <w:numId w:val="2"/>
              </w:numPr>
              <w:tabs>
                <w:tab w:val="left" w:pos="1392"/>
              </w:tabs>
              <w:rPr>
                <w:noProof/>
                <w:sz w:val="20"/>
              </w:rPr>
            </w:pPr>
            <w:r>
              <w:rPr>
                <w:noProof/>
                <w:sz w:val="20"/>
              </w:rPr>
              <w:t xml:space="preserve">Mažinti išmetamą nemetaninių lakiųjų organinių </w:t>
            </w:r>
            <w:r>
              <w:rPr>
                <w:noProof/>
                <w:sz w:val="20"/>
              </w:rPr>
              <w:t>junginių kiekį (jei taikoma, siekiant laikytis šiuo metu galiojančių teršalų išmetimo nacionalinių ribų).</w:t>
            </w:r>
          </w:p>
        </w:tc>
        <w:tc>
          <w:tcPr>
            <w:tcW w:w="2357" w:type="dxa"/>
            <w:shd w:val="clear" w:color="auto" w:fill="auto"/>
            <w:vAlign w:val="center"/>
          </w:tcPr>
          <w:p w:rsidR="00625A43" w:rsidRDefault="005659D6">
            <w:pPr>
              <w:spacing w:after="120"/>
              <w:jc w:val="both"/>
              <w:rPr>
                <w:noProof/>
              </w:rPr>
            </w:pPr>
            <w:r>
              <w:rPr>
                <w:noProof/>
              </w:rPr>
              <w:t>DE, HU, IE, LU</w:t>
            </w:r>
          </w:p>
        </w:tc>
      </w:tr>
      <w:tr w:rsidR="00625A43">
        <w:tc>
          <w:tcPr>
            <w:tcW w:w="7111" w:type="dxa"/>
            <w:vAlign w:val="center"/>
          </w:tcPr>
          <w:p w:rsidR="00625A43" w:rsidRDefault="005659D6">
            <w:pPr>
              <w:pStyle w:val="ListParagraph"/>
              <w:keepNext/>
              <w:keepLines/>
              <w:numPr>
                <w:ilvl w:val="0"/>
                <w:numId w:val="2"/>
              </w:numPr>
              <w:tabs>
                <w:tab w:val="left" w:pos="4744"/>
              </w:tabs>
              <w:rPr>
                <w:noProof/>
                <w:sz w:val="20"/>
              </w:rPr>
            </w:pPr>
            <w:r>
              <w:rPr>
                <w:noProof/>
                <w:sz w:val="20"/>
              </w:rPr>
              <w:t>Atnaujinti ir patobulinti oro kokybės stebėsenos tinklą ir užtikrinti, kad būtų laiku teikiami oro kokybės duomenys.</w:t>
            </w:r>
          </w:p>
        </w:tc>
        <w:tc>
          <w:tcPr>
            <w:tcW w:w="2357" w:type="dxa"/>
            <w:shd w:val="clear" w:color="auto" w:fill="auto"/>
            <w:vAlign w:val="center"/>
          </w:tcPr>
          <w:p w:rsidR="00625A43" w:rsidRDefault="005659D6">
            <w:pPr>
              <w:keepNext/>
              <w:keepLines/>
              <w:spacing w:after="120"/>
              <w:jc w:val="both"/>
              <w:rPr>
                <w:noProof/>
              </w:rPr>
            </w:pPr>
            <w:r>
              <w:rPr>
                <w:noProof/>
              </w:rPr>
              <w:t>BE, BG, EL, IT, L</w:t>
            </w:r>
            <w:r>
              <w:rPr>
                <w:noProof/>
              </w:rPr>
              <w:t>U, RO, SI, SK</w:t>
            </w:r>
          </w:p>
        </w:tc>
      </w:tr>
      <w:tr w:rsidR="00625A43">
        <w:tc>
          <w:tcPr>
            <w:tcW w:w="9468" w:type="dxa"/>
            <w:gridSpan w:val="2"/>
            <w:shd w:val="clear" w:color="auto" w:fill="C6D9F1" w:themeFill="text2" w:themeFillTint="33"/>
            <w:vAlign w:val="center"/>
          </w:tcPr>
          <w:p w:rsidR="00625A43" w:rsidRDefault="005659D6">
            <w:pPr>
              <w:pStyle w:val="Text1"/>
              <w:keepLines/>
              <w:spacing w:after="0"/>
              <w:ind w:left="0"/>
              <w:rPr>
                <w:noProof/>
              </w:rPr>
            </w:pPr>
            <w:r>
              <w:rPr>
                <w:b/>
                <w:noProof/>
                <w:sz w:val="20"/>
              </w:rPr>
              <w:t>Pramoniniai išmetamieji teršalai</w:t>
            </w:r>
          </w:p>
        </w:tc>
      </w:tr>
      <w:tr w:rsidR="00625A43">
        <w:tc>
          <w:tcPr>
            <w:tcW w:w="7111" w:type="dxa"/>
            <w:shd w:val="clear" w:color="auto" w:fill="auto"/>
            <w:vAlign w:val="center"/>
          </w:tcPr>
          <w:p w:rsidR="00625A43" w:rsidRDefault="005659D6">
            <w:pPr>
              <w:pStyle w:val="ListParagraph"/>
              <w:keepLines/>
              <w:numPr>
                <w:ilvl w:val="0"/>
                <w:numId w:val="2"/>
              </w:numPr>
              <w:tabs>
                <w:tab w:val="left" w:pos="4744"/>
              </w:tabs>
              <w:rPr>
                <w:noProof/>
                <w:sz w:val="20"/>
              </w:rPr>
            </w:pPr>
            <w:r>
              <w:rPr>
                <w:noProof/>
                <w:sz w:val="20"/>
              </w:rPr>
              <w:t xml:space="preserve">Patikrinti leidimus, sugriežtinti kontrolę ir (arba) pagerinti reikalavimų vykdymo užtikrinimą, siekiant atsižvelgti į naujai patvirtintas išvadas dėl geriausių prieinamų gamybos būdų. </w:t>
            </w:r>
          </w:p>
        </w:tc>
        <w:tc>
          <w:tcPr>
            <w:tcW w:w="2357" w:type="dxa"/>
            <w:shd w:val="clear" w:color="auto" w:fill="auto"/>
            <w:vAlign w:val="center"/>
          </w:tcPr>
          <w:p w:rsidR="00625A43" w:rsidRDefault="005659D6">
            <w:pPr>
              <w:keepLines/>
              <w:spacing w:after="120"/>
              <w:jc w:val="both"/>
              <w:rPr>
                <w:noProof/>
              </w:rPr>
            </w:pPr>
            <w:r>
              <w:rPr>
                <w:noProof/>
              </w:rPr>
              <w:t>Visos valstybės narės</w:t>
            </w:r>
          </w:p>
        </w:tc>
      </w:tr>
      <w:tr w:rsidR="00625A43">
        <w:trPr>
          <w:trHeight w:val="902"/>
        </w:trPr>
        <w:tc>
          <w:tcPr>
            <w:tcW w:w="7111" w:type="dxa"/>
            <w:shd w:val="clear" w:color="auto" w:fill="auto"/>
            <w:vAlign w:val="center"/>
          </w:tcPr>
          <w:p w:rsidR="00625A43" w:rsidRDefault="005659D6">
            <w:pPr>
              <w:pStyle w:val="ListParagraph"/>
              <w:keepLines/>
              <w:numPr>
                <w:ilvl w:val="0"/>
                <w:numId w:val="2"/>
              </w:numPr>
              <w:tabs>
                <w:tab w:val="left" w:pos="4744"/>
              </w:tabs>
              <w:rPr>
                <w:noProof/>
                <w:sz w:val="20"/>
              </w:rPr>
            </w:pPr>
            <w:r>
              <w:rPr>
                <w:noProof/>
                <w:sz w:val="20"/>
              </w:rPr>
              <w:t>Mažinti oro ir (arba) vandens taršą, susijusią su iš įrenginių išmetamais teršalais viename arba keliuose iš šių sektorių: elektros energijos, intensyvaus naminių paukščių ir kiaulių auginimo, atliekų apdorojimo veiklos, geležies ir plieno gamyklų.</w:t>
            </w:r>
          </w:p>
        </w:tc>
        <w:tc>
          <w:tcPr>
            <w:tcW w:w="2357" w:type="dxa"/>
            <w:shd w:val="clear" w:color="auto" w:fill="auto"/>
            <w:vAlign w:val="center"/>
          </w:tcPr>
          <w:p w:rsidR="00625A43" w:rsidRDefault="005659D6">
            <w:pPr>
              <w:keepLines/>
              <w:spacing w:after="120"/>
              <w:jc w:val="both"/>
              <w:rPr>
                <w:noProof/>
              </w:rPr>
            </w:pPr>
            <w:r>
              <w:rPr>
                <w:noProof/>
              </w:rPr>
              <w:t>BG, C</w:t>
            </w:r>
            <w:r>
              <w:rPr>
                <w:noProof/>
              </w:rPr>
              <w:t>Y, CZ, DE, EE, EL, ES, FI, HR, HU, IE, IT, LU, LV, NL, PT, RO, SK, UK</w:t>
            </w:r>
          </w:p>
        </w:tc>
      </w:tr>
      <w:tr w:rsidR="00625A43">
        <w:trPr>
          <w:cantSplit/>
        </w:trPr>
        <w:tc>
          <w:tcPr>
            <w:tcW w:w="9468" w:type="dxa"/>
            <w:gridSpan w:val="2"/>
            <w:shd w:val="clear" w:color="auto" w:fill="C6D9F1" w:themeFill="text2" w:themeFillTint="33"/>
            <w:vAlign w:val="center"/>
          </w:tcPr>
          <w:p w:rsidR="00625A43" w:rsidRDefault="005659D6">
            <w:pPr>
              <w:pStyle w:val="Text1"/>
              <w:spacing w:after="0"/>
              <w:ind w:left="0"/>
              <w:rPr>
                <w:noProof/>
                <w:sz w:val="20"/>
              </w:rPr>
            </w:pPr>
            <w:r>
              <w:rPr>
                <w:b/>
                <w:noProof/>
                <w:sz w:val="20"/>
              </w:rPr>
              <w:t>Triukšmas</w:t>
            </w:r>
          </w:p>
        </w:tc>
      </w:tr>
      <w:tr w:rsidR="00625A43">
        <w:trPr>
          <w:cantSplit/>
          <w:trHeight w:val="402"/>
        </w:trPr>
        <w:tc>
          <w:tcPr>
            <w:tcW w:w="7111" w:type="dxa"/>
            <w:vAlign w:val="center"/>
          </w:tcPr>
          <w:p w:rsidR="00625A43" w:rsidRDefault="005659D6">
            <w:pPr>
              <w:pStyle w:val="Text1"/>
              <w:numPr>
                <w:ilvl w:val="0"/>
                <w:numId w:val="2"/>
              </w:numPr>
              <w:rPr>
                <w:noProof/>
                <w:sz w:val="20"/>
              </w:rPr>
            </w:pPr>
            <w:r>
              <w:rPr>
                <w:noProof/>
                <w:sz w:val="20"/>
              </w:rPr>
              <w:t>Parengti trūkstamus su triukšmu susijusius veiksmų planus.</w:t>
            </w:r>
          </w:p>
        </w:tc>
        <w:tc>
          <w:tcPr>
            <w:tcW w:w="2357" w:type="dxa"/>
            <w:shd w:val="clear" w:color="auto" w:fill="auto"/>
            <w:vAlign w:val="center"/>
          </w:tcPr>
          <w:p w:rsidR="00625A43" w:rsidRDefault="005659D6">
            <w:pPr>
              <w:pStyle w:val="Text1"/>
              <w:ind w:left="0"/>
              <w:rPr>
                <w:noProof/>
                <w:sz w:val="20"/>
              </w:rPr>
            </w:pPr>
            <w:r>
              <w:rPr>
                <w:noProof/>
                <w:sz w:val="20"/>
              </w:rPr>
              <w:t>BE, CY, CZ, DE, EL, ES, FR, IT, PL, PT, RO, SE, SK</w:t>
            </w:r>
          </w:p>
        </w:tc>
      </w:tr>
      <w:tr w:rsidR="00625A43">
        <w:trPr>
          <w:cantSplit/>
          <w:trHeight w:val="287"/>
        </w:trPr>
        <w:tc>
          <w:tcPr>
            <w:tcW w:w="7111" w:type="dxa"/>
            <w:vAlign w:val="center"/>
          </w:tcPr>
          <w:p w:rsidR="00625A43" w:rsidRDefault="005659D6">
            <w:pPr>
              <w:pStyle w:val="Text1"/>
              <w:numPr>
                <w:ilvl w:val="0"/>
                <w:numId w:val="2"/>
              </w:numPr>
              <w:rPr>
                <w:noProof/>
                <w:sz w:val="20"/>
              </w:rPr>
            </w:pPr>
            <w:r>
              <w:rPr>
                <w:noProof/>
                <w:sz w:val="20"/>
              </w:rPr>
              <w:t>Parengti trūkstamus triukšmo žemėlapius.</w:t>
            </w:r>
          </w:p>
        </w:tc>
        <w:tc>
          <w:tcPr>
            <w:tcW w:w="2357" w:type="dxa"/>
            <w:shd w:val="clear" w:color="auto" w:fill="auto"/>
            <w:vAlign w:val="center"/>
          </w:tcPr>
          <w:p w:rsidR="00625A43" w:rsidRDefault="005659D6">
            <w:pPr>
              <w:pStyle w:val="Text1"/>
              <w:ind w:left="0"/>
              <w:rPr>
                <w:noProof/>
                <w:sz w:val="20"/>
              </w:rPr>
            </w:pPr>
            <w:r>
              <w:rPr>
                <w:noProof/>
                <w:sz w:val="20"/>
              </w:rPr>
              <w:t xml:space="preserve">BE, EL, ES, IT, PT, </w:t>
            </w:r>
            <w:r>
              <w:rPr>
                <w:noProof/>
                <w:sz w:val="20"/>
              </w:rPr>
              <w:t>RO, SK</w:t>
            </w:r>
          </w:p>
        </w:tc>
      </w:tr>
      <w:tr w:rsidR="00625A43">
        <w:tc>
          <w:tcPr>
            <w:tcW w:w="9468" w:type="dxa"/>
            <w:gridSpan w:val="2"/>
            <w:shd w:val="clear" w:color="auto" w:fill="C6D9F1" w:themeFill="text2" w:themeFillTint="33"/>
            <w:vAlign w:val="center"/>
          </w:tcPr>
          <w:p w:rsidR="00625A43" w:rsidRDefault="005659D6">
            <w:pPr>
              <w:pStyle w:val="Text1"/>
              <w:spacing w:after="0"/>
              <w:ind w:left="0"/>
              <w:rPr>
                <w:b/>
                <w:noProof/>
                <w:sz w:val="20"/>
              </w:rPr>
            </w:pPr>
            <w:r>
              <w:rPr>
                <w:b/>
                <w:noProof/>
                <w:sz w:val="20"/>
              </w:rPr>
              <w:t xml:space="preserve">Vandens kokybė ir vandentvarka </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 xml:space="preserve">Gerinti visų svarbių kokybės aspektų stebėseną ir vertinimą visose vandens kategorijose pagal Vandens pagrindų direktyvą. </w:t>
            </w:r>
          </w:p>
        </w:tc>
        <w:tc>
          <w:tcPr>
            <w:tcW w:w="2357" w:type="dxa"/>
            <w:shd w:val="clear" w:color="auto" w:fill="auto"/>
            <w:vAlign w:val="center"/>
          </w:tcPr>
          <w:p w:rsidR="00625A43" w:rsidRDefault="005659D6">
            <w:pPr>
              <w:pStyle w:val="Text1"/>
              <w:ind w:left="0"/>
              <w:rPr>
                <w:noProof/>
                <w:sz w:val="20"/>
              </w:rPr>
            </w:pPr>
            <w:r>
              <w:rPr>
                <w:noProof/>
                <w:sz w:val="20"/>
              </w:rPr>
              <w:t>BG, CY, CZ, DE,DK, EE, FI, HR, HU, LV, MT, PL, PT, RO, SE, SI, UK</w:t>
            </w:r>
          </w:p>
        </w:tc>
      </w:tr>
      <w:tr w:rsidR="00625A43">
        <w:tc>
          <w:tcPr>
            <w:tcW w:w="7111" w:type="dxa"/>
            <w:vAlign w:val="center"/>
          </w:tcPr>
          <w:p w:rsidR="00625A43" w:rsidRDefault="005659D6">
            <w:pPr>
              <w:pStyle w:val="Text1"/>
              <w:numPr>
                <w:ilvl w:val="0"/>
                <w:numId w:val="2"/>
              </w:numPr>
              <w:rPr>
                <w:noProof/>
                <w:sz w:val="20"/>
              </w:rPr>
            </w:pPr>
            <w:r>
              <w:rPr>
                <w:noProof/>
                <w:sz w:val="20"/>
              </w:rPr>
              <w:t xml:space="preserve">Užtikrinti, kad būtų </w:t>
            </w:r>
            <w:r>
              <w:rPr>
                <w:noProof/>
                <w:sz w:val="20"/>
              </w:rPr>
              <w:t>laiku patvirtinti upių baseinų valdymo planai pagal Vandens pagrindų direktyvą ir (arba) būtų pateiktos atitinkamos ataskaitos.</w:t>
            </w:r>
          </w:p>
        </w:tc>
        <w:tc>
          <w:tcPr>
            <w:tcW w:w="2357" w:type="dxa"/>
            <w:shd w:val="clear" w:color="auto" w:fill="auto"/>
            <w:vAlign w:val="center"/>
          </w:tcPr>
          <w:p w:rsidR="00625A43" w:rsidRDefault="005659D6">
            <w:pPr>
              <w:pStyle w:val="Text1"/>
              <w:ind w:left="0"/>
              <w:rPr>
                <w:noProof/>
                <w:sz w:val="20"/>
              </w:rPr>
            </w:pPr>
            <w:r>
              <w:rPr>
                <w:noProof/>
                <w:sz w:val="20"/>
              </w:rPr>
              <w:t>AT, ES, EL, IE, LT</w:t>
            </w:r>
          </w:p>
        </w:tc>
      </w:tr>
      <w:tr w:rsidR="00625A43">
        <w:tc>
          <w:tcPr>
            <w:tcW w:w="7111" w:type="dxa"/>
            <w:vAlign w:val="center"/>
          </w:tcPr>
          <w:p w:rsidR="00625A43" w:rsidRDefault="005659D6">
            <w:pPr>
              <w:pStyle w:val="Text1"/>
              <w:numPr>
                <w:ilvl w:val="0"/>
                <w:numId w:val="2"/>
              </w:numPr>
              <w:rPr>
                <w:noProof/>
                <w:sz w:val="20"/>
              </w:rPr>
            </w:pPr>
            <w:r>
              <w:rPr>
                <w:noProof/>
                <w:sz w:val="20"/>
              </w:rPr>
              <w:t>Užtikrinti, kad būtų laiku patvirtinti potvynių rizikos valdymo planai pagal Potvynių direktyvą.</w:t>
            </w:r>
          </w:p>
        </w:tc>
        <w:tc>
          <w:tcPr>
            <w:tcW w:w="2357" w:type="dxa"/>
            <w:shd w:val="clear" w:color="auto" w:fill="auto"/>
            <w:vAlign w:val="center"/>
          </w:tcPr>
          <w:p w:rsidR="00625A43" w:rsidRDefault="005659D6">
            <w:pPr>
              <w:pStyle w:val="Text1"/>
              <w:ind w:left="0"/>
              <w:rPr>
                <w:noProof/>
                <w:sz w:val="20"/>
              </w:rPr>
            </w:pPr>
            <w:r>
              <w:rPr>
                <w:noProof/>
                <w:sz w:val="20"/>
              </w:rPr>
              <w:t>ES, EL, IE</w:t>
            </w:r>
          </w:p>
        </w:tc>
      </w:tr>
      <w:tr w:rsidR="00625A43">
        <w:tc>
          <w:tcPr>
            <w:tcW w:w="7111" w:type="dxa"/>
            <w:vAlign w:val="center"/>
          </w:tcPr>
          <w:p w:rsidR="00625A43" w:rsidRDefault="005659D6">
            <w:pPr>
              <w:pStyle w:val="Text1"/>
              <w:numPr>
                <w:ilvl w:val="0"/>
                <w:numId w:val="2"/>
              </w:numPr>
              <w:rPr>
                <w:noProof/>
                <w:sz w:val="20"/>
              </w:rPr>
            </w:pPr>
            <w:r>
              <w:rPr>
                <w:noProof/>
                <w:sz w:val="20"/>
              </w:rPr>
              <w:t xml:space="preserve">Užtikrinti, kad vandens tarša, be kita ko, žemės ūkio sektoriuje, būtų veiksmingai mažinama pagal Nitratų ir (arba) Vandens pagrindų direktyvas. </w:t>
            </w:r>
          </w:p>
        </w:tc>
        <w:tc>
          <w:tcPr>
            <w:tcW w:w="2357" w:type="dxa"/>
            <w:shd w:val="clear" w:color="auto" w:fill="auto"/>
            <w:vAlign w:val="center"/>
          </w:tcPr>
          <w:p w:rsidR="00625A43" w:rsidRDefault="005659D6">
            <w:pPr>
              <w:pStyle w:val="Text1"/>
              <w:ind w:left="0"/>
              <w:rPr>
                <w:noProof/>
                <w:sz w:val="20"/>
              </w:rPr>
            </w:pPr>
            <w:r>
              <w:rPr>
                <w:noProof/>
                <w:sz w:val="20"/>
              </w:rPr>
              <w:t xml:space="preserve">AT, BE, CY, CZ, DE, DK, EE, EL, ES, FI, FR, IT, LT, MT, NL, PL, PT, SE, SI, SK, UK </w:t>
            </w:r>
          </w:p>
        </w:tc>
      </w:tr>
      <w:tr w:rsidR="00625A43">
        <w:tc>
          <w:tcPr>
            <w:tcW w:w="7111" w:type="dxa"/>
            <w:vAlign w:val="center"/>
          </w:tcPr>
          <w:p w:rsidR="00625A43" w:rsidRDefault="005659D6">
            <w:pPr>
              <w:pStyle w:val="Text1"/>
              <w:numPr>
                <w:ilvl w:val="0"/>
                <w:numId w:val="2"/>
              </w:numPr>
              <w:rPr>
                <w:noProof/>
                <w:sz w:val="20"/>
              </w:rPr>
            </w:pPr>
            <w:r>
              <w:rPr>
                <w:noProof/>
                <w:sz w:val="20"/>
              </w:rPr>
              <w:t xml:space="preserve">Imtis tolesnių cheminės </w:t>
            </w:r>
            <w:r>
              <w:rPr>
                <w:noProof/>
                <w:sz w:val="20"/>
              </w:rPr>
              <w:t>taršos mažinimo priemonių (parengiant labiau į medžiagas orientuotą metodą ir (arba) užtikrinant, kad priemonių programos būtų grindžiamos patikimu neigiamų veiksnių vertinimu).</w:t>
            </w:r>
          </w:p>
        </w:tc>
        <w:tc>
          <w:tcPr>
            <w:tcW w:w="2357" w:type="dxa"/>
            <w:shd w:val="clear" w:color="auto" w:fill="auto"/>
            <w:vAlign w:val="center"/>
          </w:tcPr>
          <w:p w:rsidR="00625A43" w:rsidRDefault="005659D6">
            <w:pPr>
              <w:pStyle w:val="Text1"/>
              <w:ind w:left="0"/>
              <w:rPr>
                <w:noProof/>
                <w:sz w:val="20"/>
              </w:rPr>
            </w:pPr>
            <w:r>
              <w:rPr>
                <w:noProof/>
                <w:sz w:val="20"/>
              </w:rPr>
              <w:t>BE, NL</w:t>
            </w:r>
          </w:p>
        </w:tc>
      </w:tr>
      <w:tr w:rsidR="00625A43">
        <w:trPr>
          <w:trHeight w:val="761"/>
        </w:trPr>
        <w:tc>
          <w:tcPr>
            <w:tcW w:w="7111" w:type="dxa"/>
            <w:shd w:val="clear" w:color="auto" w:fill="auto"/>
            <w:vAlign w:val="center"/>
          </w:tcPr>
          <w:p w:rsidR="00625A43" w:rsidRDefault="005659D6">
            <w:pPr>
              <w:pStyle w:val="Text1"/>
              <w:numPr>
                <w:ilvl w:val="0"/>
                <w:numId w:val="2"/>
              </w:numPr>
              <w:rPr>
                <w:noProof/>
                <w:sz w:val="20"/>
              </w:rPr>
            </w:pPr>
            <w:r>
              <w:rPr>
                <w:noProof/>
                <w:sz w:val="20"/>
              </w:rPr>
              <w:t>Imtis tolesnių priemonių siekiant užtikrinti gerą kiekybinę būklę ir (</w:t>
            </w:r>
            <w:r>
              <w:rPr>
                <w:noProof/>
                <w:sz w:val="20"/>
              </w:rPr>
              <w:t>arba) gamtosauginį debitą pagal Vandens pagrindų direktyvą (taip pat užtikrinant, kad vandens ėmimui būtų taikomi efektyvūs leidimai, matavimo ir kontrolės priemonės).</w:t>
            </w:r>
          </w:p>
        </w:tc>
        <w:tc>
          <w:tcPr>
            <w:tcW w:w="2357" w:type="dxa"/>
            <w:shd w:val="clear" w:color="auto" w:fill="auto"/>
            <w:vAlign w:val="center"/>
          </w:tcPr>
          <w:p w:rsidR="00625A43" w:rsidRDefault="005659D6">
            <w:pPr>
              <w:pStyle w:val="Text1"/>
              <w:ind w:left="0"/>
              <w:rPr>
                <w:noProof/>
                <w:sz w:val="20"/>
              </w:rPr>
            </w:pPr>
            <w:r>
              <w:rPr>
                <w:noProof/>
                <w:sz w:val="20"/>
              </w:rPr>
              <w:t xml:space="preserve">CY, ES, HU, IT, MT, PL, PT </w:t>
            </w:r>
          </w:p>
        </w:tc>
      </w:tr>
      <w:tr w:rsidR="00625A43">
        <w:trPr>
          <w:trHeight w:val="360"/>
        </w:trPr>
        <w:tc>
          <w:tcPr>
            <w:tcW w:w="7111" w:type="dxa"/>
            <w:shd w:val="clear" w:color="auto" w:fill="auto"/>
            <w:vAlign w:val="center"/>
          </w:tcPr>
          <w:p w:rsidR="00625A43" w:rsidRDefault="005659D6">
            <w:pPr>
              <w:pStyle w:val="Text1"/>
              <w:numPr>
                <w:ilvl w:val="0"/>
                <w:numId w:val="2"/>
              </w:numPr>
              <w:rPr>
                <w:noProof/>
                <w:sz w:val="20"/>
              </w:rPr>
            </w:pPr>
            <w:r>
              <w:rPr>
                <w:noProof/>
                <w:sz w:val="20"/>
              </w:rPr>
              <w:t xml:space="preserve">Imtis veiksmų siekiant užtikrinti, kad būtų įgyvendinamos </w:t>
            </w:r>
            <w:r>
              <w:rPr>
                <w:noProof/>
                <w:sz w:val="20"/>
              </w:rPr>
              <w:t>hidromorfologinių veiksnių mažinimo priemonės.</w:t>
            </w:r>
          </w:p>
        </w:tc>
        <w:tc>
          <w:tcPr>
            <w:tcW w:w="2357" w:type="dxa"/>
            <w:shd w:val="clear" w:color="auto" w:fill="auto"/>
            <w:vAlign w:val="center"/>
          </w:tcPr>
          <w:p w:rsidR="00625A43" w:rsidRDefault="005659D6">
            <w:pPr>
              <w:pStyle w:val="Text1"/>
              <w:ind w:left="0"/>
              <w:rPr>
                <w:noProof/>
                <w:sz w:val="20"/>
              </w:rPr>
            </w:pPr>
            <w:r>
              <w:rPr>
                <w:noProof/>
                <w:sz w:val="20"/>
              </w:rPr>
              <w:t>SI</w:t>
            </w:r>
          </w:p>
        </w:tc>
      </w:tr>
      <w:tr w:rsidR="00625A43">
        <w:trPr>
          <w:trHeight w:val="180"/>
        </w:trPr>
        <w:tc>
          <w:tcPr>
            <w:tcW w:w="7111" w:type="dxa"/>
            <w:shd w:val="clear" w:color="auto" w:fill="auto"/>
            <w:vAlign w:val="center"/>
          </w:tcPr>
          <w:p w:rsidR="00625A43" w:rsidRDefault="005659D6">
            <w:pPr>
              <w:pStyle w:val="Text1"/>
              <w:numPr>
                <w:ilvl w:val="0"/>
                <w:numId w:val="2"/>
              </w:numPr>
              <w:rPr>
                <w:noProof/>
                <w:sz w:val="20"/>
              </w:rPr>
            </w:pPr>
            <w:r>
              <w:rPr>
                <w:noProof/>
                <w:sz w:val="20"/>
              </w:rPr>
              <w:t xml:space="preserve">Imtis veiksmų siekiant suderinti skirtingus regionų taikomus modelius, ypač nustatant su Vandens pagrindų direktyva susijusių neigiamų veiksnių reikšmę. </w:t>
            </w:r>
          </w:p>
        </w:tc>
        <w:tc>
          <w:tcPr>
            <w:tcW w:w="2357" w:type="dxa"/>
            <w:shd w:val="clear" w:color="auto" w:fill="auto"/>
            <w:vAlign w:val="center"/>
          </w:tcPr>
          <w:p w:rsidR="00625A43" w:rsidRDefault="005659D6">
            <w:pPr>
              <w:pStyle w:val="Text1"/>
              <w:ind w:left="0"/>
              <w:rPr>
                <w:noProof/>
                <w:sz w:val="20"/>
              </w:rPr>
            </w:pPr>
            <w:r>
              <w:rPr>
                <w:noProof/>
                <w:sz w:val="20"/>
              </w:rPr>
              <w:t>IT</w:t>
            </w:r>
          </w:p>
        </w:tc>
      </w:tr>
      <w:tr w:rsidR="00625A43">
        <w:trPr>
          <w:trHeight w:val="662"/>
        </w:trPr>
        <w:tc>
          <w:tcPr>
            <w:tcW w:w="7111" w:type="dxa"/>
            <w:shd w:val="clear" w:color="auto" w:fill="auto"/>
            <w:vAlign w:val="center"/>
          </w:tcPr>
          <w:p w:rsidR="00625A43" w:rsidRDefault="005659D6">
            <w:pPr>
              <w:pStyle w:val="Text1"/>
              <w:numPr>
                <w:ilvl w:val="0"/>
                <w:numId w:val="2"/>
              </w:numPr>
              <w:rPr>
                <w:noProof/>
                <w:sz w:val="20"/>
              </w:rPr>
            </w:pPr>
            <w:r>
              <w:rPr>
                <w:noProof/>
                <w:sz w:val="20"/>
              </w:rPr>
              <w:t>Užtikrinti, kad projektai, kurie gali turėti įt</w:t>
            </w:r>
            <w:r>
              <w:rPr>
                <w:noProof/>
                <w:sz w:val="20"/>
              </w:rPr>
              <w:t xml:space="preserve">akos vandens telkinių būklei, būtų išsamiai vertinami ir pagrindžiami, atsižvelgiant į Vandens pagrindų direktyvos reikalavimus (4 straipsnio 7 dalis). </w:t>
            </w:r>
          </w:p>
        </w:tc>
        <w:tc>
          <w:tcPr>
            <w:tcW w:w="2357" w:type="dxa"/>
            <w:shd w:val="clear" w:color="auto" w:fill="auto"/>
            <w:vAlign w:val="center"/>
          </w:tcPr>
          <w:p w:rsidR="00625A43" w:rsidRDefault="005659D6">
            <w:pPr>
              <w:pStyle w:val="Text1"/>
              <w:ind w:left="0"/>
              <w:rPr>
                <w:noProof/>
                <w:sz w:val="20"/>
              </w:rPr>
            </w:pPr>
            <w:r>
              <w:rPr>
                <w:noProof/>
                <w:sz w:val="20"/>
              </w:rPr>
              <w:t>BG, LU, PL, PT, RO, SE, SK</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 xml:space="preserve">Imtis veiksmų siekiant sustiprinti visuomenės dalyvavimo ir aktyvaus </w:t>
            </w:r>
            <w:r>
              <w:rPr>
                <w:noProof/>
                <w:sz w:val="20"/>
              </w:rPr>
              <w:t>suinteresuotųjų subjektų įtraukimo aspektus (upių baseinų valdymo planai ir (arba) potvynių rizikos valdymo planai).</w:t>
            </w:r>
          </w:p>
        </w:tc>
        <w:tc>
          <w:tcPr>
            <w:tcW w:w="2357" w:type="dxa"/>
            <w:shd w:val="clear" w:color="auto" w:fill="auto"/>
            <w:vAlign w:val="center"/>
          </w:tcPr>
          <w:p w:rsidR="00625A43" w:rsidRDefault="005659D6">
            <w:pPr>
              <w:pStyle w:val="Text1"/>
              <w:ind w:left="0"/>
              <w:rPr>
                <w:noProof/>
                <w:sz w:val="20"/>
              </w:rPr>
            </w:pPr>
            <w:r>
              <w:rPr>
                <w:noProof/>
                <w:sz w:val="20"/>
              </w:rPr>
              <w:t>NL, SI, SK, UK</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Imtis veiksmų siekiant paaiškinti priemonių prioriteto nustatymo metodą, įskaitant su potvynių rizikos valdymo planais susi</w:t>
            </w:r>
            <w:r>
              <w:rPr>
                <w:noProof/>
                <w:sz w:val="20"/>
              </w:rPr>
              <w:t xml:space="preserve">jusią kaštų ir naudos analizę. </w:t>
            </w:r>
          </w:p>
        </w:tc>
        <w:tc>
          <w:tcPr>
            <w:tcW w:w="2357" w:type="dxa"/>
            <w:shd w:val="clear" w:color="auto" w:fill="auto"/>
            <w:vAlign w:val="center"/>
          </w:tcPr>
          <w:p w:rsidR="00625A43" w:rsidRDefault="005659D6">
            <w:pPr>
              <w:pStyle w:val="Text1"/>
              <w:ind w:left="0"/>
              <w:rPr>
                <w:noProof/>
                <w:sz w:val="20"/>
              </w:rPr>
            </w:pPr>
            <w:r>
              <w:rPr>
                <w:noProof/>
                <w:sz w:val="20"/>
              </w:rPr>
              <w:t>AT, BE, BG, CZ, DE, EE, ES, HR, HU, LU, LV, MT</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 xml:space="preserve">Imtis veiksmų siekiant sistemingai apsvarstyti galimybę įgyvendinti gamtinius sprendimus, kurie padėtų mažinti potvynių riziką. </w:t>
            </w:r>
          </w:p>
        </w:tc>
        <w:tc>
          <w:tcPr>
            <w:tcW w:w="2357" w:type="dxa"/>
            <w:shd w:val="clear" w:color="auto" w:fill="auto"/>
            <w:vAlign w:val="center"/>
          </w:tcPr>
          <w:p w:rsidR="00625A43" w:rsidRDefault="005659D6">
            <w:pPr>
              <w:pStyle w:val="Text1"/>
              <w:ind w:left="0"/>
              <w:rPr>
                <w:noProof/>
                <w:sz w:val="20"/>
              </w:rPr>
            </w:pPr>
            <w:r>
              <w:rPr>
                <w:noProof/>
                <w:sz w:val="20"/>
              </w:rPr>
              <w:t>CY</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Imtis veiksmų siekiant labiau atsižvelgti į</w:t>
            </w:r>
            <w:r>
              <w:rPr>
                <w:noProof/>
                <w:sz w:val="20"/>
              </w:rPr>
              <w:t xml:space="preserve"> klimato kaitos aspektus potvynių rizikos valdymo planuose, įskaitant derinimą su nacionaline prisitaikymo prie klimato kaitos strategija. </w:t>
            </w:r>
            <w:r>
              <w:rPr>
                <w:noProof/>
              </w:rPr>
              <w:t xml:space="preserve"> </w:t>
            </w:r>
          </w:p>
        </w:tc>
        <w:tc>
          <w:tcPr>
            <w:tcW w:w="2357" w:type="dxa"/>
            <w:shd w:val="clear" w:color="auto" w:fill="auto"/>
            <w:vAlign w:val="center"/>
          </w:tcPr>
          <w:p w:rsidR="00625A43" w:rsidRDefault="005659D6">
            <w:pPr>
              <w:pStyle w:val="Text1"/>
              <w:ind w:left="0"/>
              <w:rPr>
                <w:noProof/>
                <w:sz w:val="20"/>
              </w:rPr>
            </w:pPr>
            <w:r>
              <w:rPr>
                <w:noProof/>
                <w:sz w:val="20"/>
              </w:rPr>
              <w:t xml:space="preserve">FI, IT, LV </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Imtis veiksmų siekiant geriau įtraukti tolesnius potvynių rizikos valdymo ciklo veiksmus į potvynių ri</w:t>
            </w:r>
            <w:r>
              <w:rPr>
                <w:noProof/>
                <w:sz w:val="20"/>
              </w:rPr>
              <w:t>zikos valdymo planą.</w:t>
            </w:r>
          </w:p>
        </w:tc>
        <w:tc>
          <w:tcPr>
            <w:tcW w:w="2357" w:type="dxa"/>
            <w:shd w:val="clear" w:color="auto" w:fill="auto"/>
            <w:vAlign w:val="center"/>
          </w:tcPr>
          <w:p w:rsidR="00625A43" w:rsidRDefault="005659D6">
            <w:pPr>
              <w:pStyle w:val="Text1"/>
              <w:ind w:left="0"/>
              <w:rPr>
                <w:noProof/>
                <w:sz w:val="20"/>
              </w:rPr>
            </w:pPr>
            <w:r>
              <w:rPr>
                <w:noProof/>
                <w:sz w:val="20"/>
              </w:rPr>
              <w:t>DK, FR, PL, PT, RO</w:t>
            </w:r>
          </w:p>
        </w:tc>
      </w:tr>
      <w:tr w:rsidR="00625A43">
        <w:tc>
          <w:tcPr>
            <w:tcW w:w="7111" w:type="dxa"/>
            <w:shd w:val="clear" w:color="auto" w:fill="auto"/>
            <w:vAlign w:val="center"/>
          </w:tcPr>
          <w:p w:rsidR="00625A43" w:rsidRDefault="005659D6">
            <w:pPr>
              <w:pStyle w:val="Text1"/>
              <w:numPr>
                <w:ilvl w:val="0"/>
                <w:numId w:val="2"/>
              </w:numPr>
              <w:rPr>
                <w:noProof/>
                <w:sz w:val="20"/>
              </w:rPr>
            </w:pPr>
            <w:r>
              <w:rPr>
                <w:noProof/>
                <w:sz w:val="20"/>
              </w:rPr>
              <w:t xml:space="preserve">Imtis veiksmų siekiant pagerinti potvynių rizikos valdymo planų ir upių baseinų valdymo planų tarpusavio derinimą. </w:t>
            </w:r>
          </w:p>
        </w:tc>
        <w:tc>
          <w:tcPr>
            <w:tcW w:w="2357" w:type="dxa"/>
            <w:shd w:val="clear" w:color="auto" w:fill="auto"/>
            <w:vAlign w:val="center"/>
          </w:tcPr>
          <w:p w:rsidR="00625A43" w:rsidRDefault="005659D6">
            <w:pPr>
              <w:pStyle w:val="Text1"/>
              <w:ind w:left="0"/>
              <w:rPr>
                <w:noProof/>
                <w:sz w:val="20"/>
              </w:rPr>
            </w:pPr>
            <w:r>
              <w:rPr>
                <w:noProof/>
                <w:sz w:val="20"/>
              </w:rPr>
              <w:t>SE</w:t>
            </w:r>
          </w:p>
        </w:tc>
      </w:tr>
      <w:tr w:rsidR="00625A43">
        <w:trPr>
          <w:trHeight w:val="180"/>
        </w:trPr>
        <w:tc>
          <w:tcPr>
            <w:tcW w:w="7111" w:type="dxa"/>
            <w:shd w:val="clear" w:color="auto" w:fill="auto"/>
            <w:vAlign w:val="center"/>
          </w:tcPr>
          <w:p w:rsidR="00625A43" w:rsidRDefault="005659D6">
            <w:pPr>
              <w:pStyle w:val="Text1"/>
              <w:numPr>
                <w:ilvl w:val="0"/>
                <w:numId w:val="2"/>
              </w:numPr>
              <w:rPr>
                <w:noProof/>
                <w:sz w:val="20"/>
              </w:rPr>
            </w:pPr>
            <w:r>
              <w:rPr>
                <w:noProof/>
                <w:sz w:val="20"/>
              </w:rPr>
              <w:t>Imtis veiksmų siekiant paaiškinti teisinį potvynių rizikos valdymo planų statusą.</w:t>
            </w:r>
          </w:p>
        </w:tc>
        <w:tc>
          <w:tcPr>
            <w:tcW w:w="2357" w:type="dxa"/>
            <w:shd w:val="clear" w:color="auto" w:fill="auto"/>
            <w:vAlign w:val="center"/>
          </w:tcPr>
          <w:p w:rsidR="00625A43" w:rsidRDefault="005659D6">
            <w:pPr>
              <w:pStyle w:val="Text1"/>
              <w:ind w:left="0"/>
              <w:rPr>
                <w:noProof/>
                <w:sz w:val="20"/>
              </w:rPr>
            </w:pPr>
            <w:r>
              <w:rPr>
                <w:noProof/>
                <w:sz w:val="20"/>
              </w:rPr>
              <w:t>LT</w:t>
            </w:r>
          </w:p>
        </w:tc>
      </w:tr>
      <w:tr w:rsidR="00625A43">
        <w:trPr>
          <w:trHeight w:val="180"/>
        </w:trPr>
        <w:tc>
          <w:tcPr>
            <w:tcW w:w="7111" w:type="dxa"/>
            <w:shd w:val="clear" w:color="auto" w:fill="auto"/>
            <w:vAlign w:val="center"/>
          </w:tcPr>
          <w:p w:rsidR="00625A43" w:rsidRDefault="005659D6">
            <w:pPr>
              <w:pStyle w:val="Text1"/>
              <w:numPr>
                <w:ilvl w:val="0"/>
                <w:numId w:val="2"/>
              </w:numPr>
              <w:rPr>
                <w:noProof/>
                <w:sz w:val="20"/>
              </w:rPr>
            </w:pPr>
            <w:r>
              <w:rPr>
                <w:noProof/>
                <w:sz w:val="20"/>
              </w:rPr>
              <w:t xml:space="preserve">Visose </w:t>
            </w:r>
            <w:r>
              <w:rPr>
                <w:noProof/>
                <w:sz w:val="20"/>
              </w:rPr>
              <w:t>aglomeracijose skubiai baigti įgyvendinti Miesto nuotekų valymo direktyvą. Toliau teikti pirmenybę investicijoms į Miesto nuotekų valymo  direktyvos įrenginius, be kita ko, jei tinkama, efektyviai naudojantis ES lėšomis.</w:t>
            </w:r>
          </w:p>
        </w:tc>
        <w:tc>
          <w:tcPr>
            <w:tcW w:w="2357" w:type="dxa"/>
            <w:shd w:val="clear" w:color="auto" w:fill="auto"/>
            <w:vAlign w:val="center"/>
          </w:tcPr>
          <w:p w:rsidR="00625A43" w:rsidRDefault="005659D6">
            <w:pPr>
              <w:pStyle w:val="Text1"/>
              <w:ind w:left="0"/>
              <w:rPr>
                <w:noProof/>
                <w:sz w:val="20"/>
              </w:rPr>
            </w:pPr>
            <w:r>
              <w:rPr>
                <w:noProof/>
                <w:sz w:val="20"/>
              </w:rPr>
              <w:t>BG, CY, EL, ES, FR, HR, HU, IE, IT,</w:t>
            </w:r>
            <w:r>
              <w:rPr>
                <w:noProof/>
                <w:sz w:val="20"/>
              </w:rPr>
              <w:t xml:space="preserve"> LT, LU, LV, MT, PL, PT, RO, SI, SK</w:t>
            </w:r>
          </w:p>
        </w:tc>
      </w:tr>
      <w:tr w:rsidR="00625A43">
        <w:trPr>
          <w:cantSplit/>
        </w:trPr>
        <w:tc>
          <w:tcPr>
            <w:tcW w:w="9468" w:type="dxa"/>
            <w:gridSpan w:val="2"/>
            <w:shd w:val="clear" w:color="auto" w:fill="C6D9F1" w:themeFill="text2" w:themeFillTint="33"/>
            <w:vAlign w:val="center"/>
          </w:tcPr>
          <w:p w:rsidR="00625A43" w:rsidRDefault="005659D6">
            <w:pPr>
              <w:pStyle w:val="Text1"/>
              <w:keepLines/>
              <w:spacing w:after="0"/>
              <w:ind w:left="0"/>
              <w:rPr>
                <w:b/>
                <w:noProof/>
                <w:sz w:val="20"/>
              </w:rPr>
            </w:pPr>
            <w:r>
              <w:rPr>
                <w:b/>
                <w:noProof/>
                <w:sz w:val="20"/>
              </w:rPr>
              <w:t>Aplinkosaugos finansavimas ir investicijos</w:t>
            </w:r>
          </w:p>
        </w:tc>
      </w:tr>
      <w:tr w:rsidR="00625A43">
        <w:trPr>
          <w:cantSplit/>
        </w:trPr>
        <w:tc>
          <w:tcPr>
            <w:tcW w:w="7111" w:type="dxa"/>
            <w:vAlign w:val="center"/>
          </w:tcPr>
          <w:p w:rsidR="00625A43" w:rsidRDefault="005659D6">
            <w:pPr>
              <w:pStyle w:val="Text1"/>
              <w:keepLines/>
              <w:numPr>
                <w:ilvl w:val="0"/>
                <w:numId w:val="2"/>
              </w:numPr>
              <w:rPr>
                <w:noProof/>
                <w:sz w:val="20"/>
              </w:rPr>
            </w:pPr>
            <w:r>
              <w:rPr>
                <w:noProof/>
                <w:sz w:val="20"/>
              </w:rPr>
              <w:t xml:space="preserve">Siekiant išspręsti pagrindines su aplinka susijusias šalies patiriamas problemas, užtikrinti pakankamą finansavimą, be kita ko, pritraukiant investicijų ir naudojantis ES lėšomis. </w:t>
            </w:r>
          </w:p>
        </w:tc>
        <w:tc>
          <w:tcPr>
            <w:tcW w:w="2357" w:type="dxa"/>
            <w:vAlign w:val="center"/>
          </w:tcPr>
          <w:p w:rsidR="00625A43" w:rsidRDefault="005659D6">
            <w:pPr>
              <w:pStyle w:val="Text1"/>
              <w:ind w:left="0"/>
              <w:rPr>
                <w:noProof/>
                <w:sz w:val="20"/>
              </w:rPr>
            </w:pPr>
            <w:r>
              <w:rPr>
                <w:noProof/>
                <w:sz w:val="20"/>
              </w:rPr>
              <w:t>AT, BG, DE, EL, ES, FI, FR, HU, IT, LU, NL, PT, RO, SE, SI, UK</w:t>
            </w:r>
          </w:p>
        </w:tc>
      </w:tr>
      <w:tr w:rsidR="00625A43">
        <w:trPr>
          <w:cantSplit/>
        </w:trPr>
        <w:tc>
          <w:tcPr>
            <w:tcW w:w="7111" w:type="dxa"/>
            <w:vAlign w:val="center"/>
          </w:tcPr>
          <w:p w:rsidR="00625A43" w:rsidRDefault="005659D6">
            <w:pPr>
              <w:pStyle w:val="Text1"/>
              <w:keepLines/>
              <w:numPr>
                <w:ilvl w:val="0"/>
                <w:numId w:val="2"/>
              </w:numPr>
              <w:rPr>
                <w:noProof/>
                <w:sz w:val="20"/>
              </w:rPr>
            </w:pPr>
            <w:r>
              <w:rPr>
                <w:noProof/>
                <w:sz w:val="20"/>
              </w:rPr>
              <w:t>Gerinti geb</w:t>
            </w:r>
            <w:r>
              <w:rPr>
                <w:noProof/>
                <w:sz w:val="20"/>
              </w:rPr>
              <w:t>ėjimus veiksmingai naudoti ES lėšas aplinkos reikmėms, be kita ko, rengiantis kitam 2021–2027 m. finansavimo laikotarpiui.</w:t>
            </w:r>
          </w:p>
        </w:tc>
        <w:tc>
          <w:tcPr>
            <w:tcW w:w="2357" w:type="dxa"/>
            <w:vAlign w:val="center"/>
          </w:tcPr>
          <w:p w:rsidR="00625A43" w:rsidRDefault="005659D6">
            <w:pPr>
              <w:pStyle w:val="Text1"/>
              <w:ind w:left="0"/>
              <w:rPr>
                <w:noProof/>
                <w:sz w:val="20"/>
              </w:rPr>
            </w:pPr>
            <w:r>
              <w:rPr>
                <w:noProof/>
                <w:sz w:val="20"/>
              </w:rPr>
              <w:t>CZ, EE, EL, HR, LT, LV, PL, RO, SK</w:t>
            </w:r>
          </w:p>
        </w:tc>
      </w:tr>
      <w:tr w:rsidR="00625A43">
        <w:tc>
          <w:tcPr>
            <w:tcW w:w="9468" w:type="dxa"/>
            <w:gridSpan w:val="2"/>
            <w:shd w:val="clear" w:color="auto" w:fill="C6D9F1" w:themeFill="text2" w:themeFillTint="33"/>
            <w:vAlign w:val="center"/>
          </w:tcPr>
          <w:p w:rsidR="00625A43" w:rsidRDefault="005659D6">
            <w:pPr>
              <w:pStyle w:val="Text1"/>
              <w:spacing w:after="0"/>
              <w:ind w:left="0"/>
              <w:rPr>
                <w:noProof/>
                <w:sz w:val="20"/>
              </w:rPr>
            </w:pPr>
            <w:r>
              <w:rPr>
                <w:b/>
                <w:noProof/>
                <w:sz w:val="20"/>
              </w:rPr>
              <w:t>Informavimas, visuomenės dalyvavimas ir teisė kreiptis į teismą</w:t>
            </w:r>
          </w:p>
        </w:tc>
      </w:tr>
      <w:tr w:rsidR="00625A43">
        <w:tc>
          <w:tcPr>
            <w:tcW w:w="7111" w:type="dxa"/>
            <w:vAlign w:val="center"/>
          </w:tcPr>
          <w:p w:rsidR="00625A43" w:rsidRDefault="005659D6">
            <w:pPr>
              <w:pStyle w:val="ListParagraph"/>
              <w:widowControl w:val="0"/>
              <w:numPr>
                <w:ilvl w:val="0"/>
                <w:numId w:val="2"/>
              </w:numPr>
              <w:rPr>
                <w:noProof/>
                <w:sz w:val="20"/>
              </w:rPr>
            </w:pPr>
            <w:r>
              <w:rPr>
                <w:noProof/>
                <w:sz w:val="20"/>
              </w:rPr>
              <w:t>Gerinti galimybę naudotis erdviniais duomenimis ir paslaugomis, sukuriant stipresnes šalių INSPIRE portalų sąsajas; nustatyti ir dokumentuoti visus erdvinių duomenų rinkinius, kurių reikia aplinkos teisės aktams įgyvendinti, ir, teikiant INSPIRE direktyvoj</w:t>
            </w:r>
            <w:r>
              <w:rPr>
                <w:noProof/>
                <w:sz w:val="20"/>
              </w:rPr>
              <w:t xml:space="preserve">e numatytas skaitmenines paslaugas, kitoms valdžios institucijoms ir visuomenei sudaryti sąlygas susipažinti su duomenimis ir dokumentais bent </w:t>
            </w:r>
            <w:r>
              <w:rPr>
                <w:i/>
                <w:noProof/>
                <w:sz w:val="20"/>
              </w:rPr>
              <w:t>tokios formos, kokios jie yra</w:t>
            </w:r>
            <w:r>
              <w:rPr>
                <w:noProof/>
                <w:sz w:val="20"/>
              </w:rPr>
              <w:t>.</w:t>
            </w:r>
          </w:p>
        </w:tc>
        <w:tc>
          <w:tcPr>
            <w:tcW w:w="2357" w:type="dxa"/>
            <w:shd w:val="clear" w:color="auto" w:fill="auto"/>
            <w:vAlign w:val="center"/>
          </w:tcPr>
          <w:p w:rsidR="00625A43" w:rsidRDefault="005659D6">
            <w:pPr>
              <w:spacing w:after="120"/>
              <w:jc w:val="both"/>
              <w:rPr>
                <w:noProof/>
              </w:rPr>
            </w:pPr>
            <w:r>
              <w:rPr>
                <w:noProof/>
              </w:rPr>
              <w:t>Visos valstybės narės</w:t>
            </w:r>
          </w:p>
        </w:tc>
      </w:tr>
      <w:tr w:rsidR="00625A43">
        <w:tc>
          <w:tcPr>
            <w:tcW w:w="7111" w:type="dxa"/>
            <w:vAlign w:val="center"/>
          </w:tcPr>
          <w:p w:rsidR="00625A43" w:rsidRDefault="005659D6">
            <w:pPr>
              <w:pStyle w:val="ListParagraph"/>
              <w:widowControl w:val="0"/>
              <w:numPr>
                <w:ilvl w:val="0"/>
                <w:numId w:val="2"/>
              </w:numPr>
              <w:rPr>
                <w:noProof/>
                <w:sz w:val="20"/>
              </w:rPr>
            </w:pPr>
            <w:r>
              <w:rPr>
                <w:noProof/>
                <w:sz w:val="20"/>
              </w:rPr>
              <w:t>Lengvinti visuomenės dalyvavimą įgyvendinant ES aplinkos te</w:t>
            </w:r>
            <w:r>
              <w:rPr>
                <w:noProof/>
                <w:sz w:val="20"/>
              </w:rPr>
              <w:t>isės aktus.</w:t>
            </w:r>
          </w:p>
        </w:tc>
        <w:tc>
          <w:tcPr>
            <w:tcW w:w="2357" w:type="dxa"/>
            <w:shd w:val="clear" w:color="auto" w:fill="auto"/>
            <w:vAlign w:val="center"/>
          </w:tcPr>
          <w:p w:rsidR="00625A43" w:rsidRDefault="005659D6">
            <w:pPr>
              <w:spacing w:after="120"/>
              <w:jc w:val="both"/>
              <w:rPr>
                <w:noProof/>
              </w:rPr>
            </w:pPr>
            <w:r>
              <w:rPr>
                <w:noProof/>
              </w:rPr>
              <w:t>BE, CZ, HU, LT, PL, RO, SI</w:t>
            </w:r>
          </w:p>
        </w:tc>
      </w:tr>
      <w:tr w:rsidR="00625A43">
        <w:tc>
          <w:tcPr>
            <w:tcW w:w="7111" w:type="dxa"/>
            <w:vAlign w:val="center"/>
          </w:tcPr>
          <w:p w:rsidR="00625A43" w:rsidRDefault="005659D6">
            <w:pPr>
              <w:pStyle w:val="ListParagraph"/>
              <w:widowControl w:val="0"/>
              <w:numPr>
                <w:ilvl w:val="0"/>
                <w:numId w:val="2"/>
              </w:numPr>
              <w:rPr>
                <w:noProof/>
                <w:sz w:val="20"/>
              </w:rPr>
            </w:pPr>
            <w:r>
              <w:rPr>
                <w:noProof/>
                <w:sz w:val="20"/>
              </w:rPr>
              <w:t xml:space="preserve">Užtikrinti tokią aplinkos srityje veikiančių NVO teisinę padėtį, kad jos dėl teisinių ginčų aplinkosaugos klausimais galėtų kreiptis į teismus, kai tinka, nepatirdamos pernelyg didelių išlaidų. </w:t>
            </w:r>
          </w:p>
        </w:tc>
        <w:tc>
          <w:tcPr>
            <w:tcW w:w="2357" w:type="dxa"/>
            <w:shd w:val="clear" w:color="auto" w:fill="auto"/>
            <w:vAlign w:val="center"/>
          </w:tcPr>
          <w:p w:rsidR="00625A43" w:rsidRDefault="005659D6">
            <w:pPr>
              <w:spacing w:after="120"/>
              <w:jc w:val="both"/>
              <w:rPr>
                <w:noProof/>
              </w:rPr>
            </w:pPr>
            <w:r>
              <w:rPr>
                <w:noProof/>
              </w:rPr>
              <w:t>BG, CY, FI, HR, HU, I</w:t>
            </w:r>
            <w:r>
              <w:rPr>
                <w:noProof/>
              </w:rPr>
              <w:t>E, LT, LU, MT, PL, RO</w:t>
            </w:r>
          </w:p>
        </w:tc>
      </w:tr>
      <w:tr w:rsidR="00625A43">
        <w:tc>
          <w:tcPr>
            <w:tcW w:w="7111" w:type="dxa"/>
            <w:vAlign w:val="center"/>
          </w:tcPr>
          <w:p w:rsidR="00625A43" w:rsidRDefault="005659D6">
            <w:pPr>
              <w:pStyle w:val="ListParagraph"/>
              <w:widowControl w:val="0"/>
              <w:numPr>
                <w:ilvl w:val="0"/>
                <w:numId w:val="2"/>
              </w:numPr>
              <w:rPr>
                <w:noProof/>
                <w:sz w:val="20"/>
              </w:rPr>
            </w:pPr>
            <w:r>
              <w:rPr>
                <w:noProof/>
                <w:sz w:val="20"/>
              </w:rPr>
              <w:t>Geriau informuoti visuomenę apie jos teisę kreiptis į teismą.</w:t>
            </w:r>
          </w:p>
        </w:tc>
        <w:tc>
          <w:tcPr>
            <w:tcW w:w="2357" w:type="dxa"/>
            <w:shd w:val="clear" w:color="auto" w:fill="auto"/>
            <w:vAlign w:val="center"/>
          </w:tcPr>
          <w:p w:rsidR="00625A43" w:rsidRDefault="005659D6">
            <w:pPr>
              <w:spacing w:after="120"/>
              <w:jc w:val="both"/>
              <w:rPr>
                <w:noProof/>
              </w:rPr>
            </w:pPr>
            <w:r>
              <w:rPr>
                <w:noProof/>
              </w:rPr>
              <w:t>AT, BE, CY, EE, EL, ES, FI, FR, HR, IE, IT, LU, LV, MT, NL, PT, RO, SE, SK, UK</w:t>
            </w:r>
          </w:p>
        </w:tc>
      </w:tr>
      <w:tr w:rsidR="00625A43">
        <w:tc>
          <w:tcPr>
            <w:tcW w:w="9468" w:type="dxa"/>
            <w:gridSpan w:val="2"/>
            <w:shd w:val="clear" w:color="auto" w:fill="C6D9F1" w:themeFill="text2" w:themeFillTint="33"/>
            <w:vAlign w:val="center"/>
          </w:tcPr>
          <w:p w:rsidR="00625A43" w:rsidRDefault="005659D6">
            <w:pPr>
              <w:pStyle w:val="Text1"/>
              <w:spacing w:after="0"/>
              <w:ind w:left="0"/>
              <w:rPr>
                <w:noProof/>
                <w:sz w:val="20"/>
              </w:rPr>
            </w:pPr>
            <w:r>
              <w:rPr>
                <w:b/>
                <w:noProof/>
                <w:sz w:val="20"/>
              </w:rPr>
              <w:t>Atitikties užtikrinimas</w:t>
            </w:r>
          </w:p>
        </w:tc>
      </w:tr>
      <w:tr w:rsidR="00625A43">
        <w:tc>
          <w:tcPr>
            <w:tcW w:w="7111" w:type="dxa"/>
            <w:vAlign w:val="center"/>
          </w:tcPr>
          <w:p w:rsidR="00625A43" w:rsidRDefault="005659D6">
            <w:pPr>
              <w:pStyle w:val="ListParagraph"/>
              <w:widowControl w:val="0"/>
              <w:numPr>
                <w:ilvl w:val="0"/>
                <w:numId w:val="2"/>
              </w:numPr>
              <w:rPr>
                <w:noProof/>
                <w:sz w:val="20"/>
              </w:rPr>
            </w:pPr>
            <w:r>
              <w:rPr>
                <w:noProof/>
                <w:sz w:val="20"/>
              </w:rPr>
              <w:t xml:space="preserve">Geriau informuoti visuomenę apie atitikties skatinimą, stebėseną </w:t>
            </w:r>
            <w:r>
              <w:rPr>
                <w:noProof/>
                <w:sz w:val="20"/>
              </w:rPr>
              <w:t>ir užtikrinimą.</w:t>
            </w:r>
          </w:p>
        </w:tc>
        <w:tc>
          <w:tcPr>
            <w:tcW w:w="2357" w:type="dxa"/>
            <w:shd w:val="clear" w:color="auto" w:fill="auto"/>
            <w:vAlign w:val="center"/>
          </w:tcPr>
          <w:p w:rsidR="00625A43" w:rsidRDefault="005659D6">
            <w:pPr>
              <w:spacing w:after="120"/>
              <w:jc w:val="both"/>
              <w:rPr>
                <w:noProof/>
              </w:rPr>
            </w:pPr>
            <w:r>
              <w:rPr>
                <w:noProof/>
              </w:rPr>
              <w:t>Visos valstybės narės</w:t>
            </w:r>
          </w:p>
        </w:tc>
      </w:tr>
      <w:tr w:rsidR="00625A43">
        <w:tc>
          <w:tcPr>
            <w:tcW w:w="7111" w:type="dxa"/>
            <w:vAlign w:val="center"/>
          </w:tcPr>
          <w:p w:rsidR="00625A43" w:rsidRDefault="005659D6">
            <w:pPr>
              <w:pStyle w:val="ListParagraph"/>
              <w:widowControl w:val="0"/>
              <w:numPr>
                <w:ilvl w:val="0"/>
                <w:numId w:val="2"/>
              </w:numPr>
              <w:rPr>
                <w:noProof/>
                <w:sz w:val="20"/>
              </w:rPr>
            </w:pPr>
            <w:r>
              <w:rPr>
                <w:noProof/>
                <w:sz w:val="20"/>
              </w:rPr>
              <w:t>Užtikrinti daugiau informacijos apie tai, kaip specialistai bendradarbiauja nusikaltimų aplinkai srityje.</w:t>
            </w:r>
          </w:p>
        </w:tc>
        <w:tc>
          <w:tcPr>
            <w:tcW w:w="2357" w:type="dxa"/>
            <w:vAlign w:val="center"/>
          </w:tcPr>
          <w:p w:rsidR="00625A43" w:rsidRDefault="005659D6">
            <w:pPr>
              <w:spacing w:after="120"/>
              <w:jc w:val="both"/>
              <w:rPr>
                <w:noProof/>
              </w:rPr>
            </w:pPr>
            <w:r>
              <w:rPr>
                <w:noProof/>
              </w:rPr>
              <w:t>AT, BE, BG, DK, EL, HR, HU, IE, LT, LU, LV, MT, NL, PL, SE, SI, SK, UK</w:t>
            </w:r>
          </w:p>
        </w:tc>
      </w:tr>
      <w:tr w:rsidR="00625A43">
        <w:tc>
          <w:tcPr>
            <w:tcW w:w="7111" w:type="dxa"/>
            <w:vAlign w:val="center"/>
          </w:tcPr>
          <w:p w:rsidR="00625A43" w:rsidRDefault="005659D6">
            <w:pPr>
              <w:pStyle w:val="ListParagraph"/>
              <w:numPr>
                <w:ilvl w:val="0"/>
                <w:numId w:val="2"/>
              </w:numPr>
              <w:rPr>
                <w:noProof/>
                <w:sz w:val="20"/>
              </w:rPr>
            </w:pPr>
            <w:r>
              <w:rPr>
                <w:noProof/>
                <w:sz w:val="20"/>
              </w:rPr>
              <w:t xml:space="preserve">Gerinti su Direktyvoje dėl atsakomybės už aplinkos apsaugą numatyta atsakomybe susijusias finansines garantijas, tobulinti su šia direktyva susijusias gaires ir (arba) rinkti ir skelbti informaciją apie žalą aplinkai. </w:t>
            </w:r>
          </w:p>
        </w:tc>
        <w:tc>
          <w:tcPr>
            <w:tcW w:w="2357" w:type="dxa"/>
            <w:shd w:val="clear" w:color="auto" w:fill="auto"/>
            <w:vAlign w:val="center"/>
          </w:tcPr>
          <w:p w:rsidR="00625A43" w:rsidRDefault="005659D6">
            <w:pPr>
              <w:spacing w:after="120"/>
              <w:jc w:val="both"/>
              <w:rPr>
                <w:noProof/>
              </w:rPr>
            </w:pPr>
            <w:r>
              <w:rPr>
                <w:noProof/>
              </w:rPr>
              <w:t>AT, BE, BG, CY, CZ, DE, DK, EE, EL, F</w:t>
            </w:r>
            <w:r>
              <w:rPr>
                <w:noProof/>
              </w:rPr>
              <w:t>I, FR, HR, HU, IE, IT, LT, LU, LV, MT, NL, PL, RO, SE, SI, SK, UK</w:t>
            </w:r>
          </w:p>
        </w:tc>
      </w:tr>
      <w:tr w:rsidR="00625A43">
        <w:trPr>
          <w:trHeight w:val="1115"/>
        </w:trPr>
        <w:tc>
          <w:tcPr>
            <w:tcW w:w="7111" w:type="dxa"/>
            <w:shd w:val="clear" w:color="auto" w:fill="auto"/>
            <w:vAlign w:val="center"/>
          </w:tcPr>
          <w:p w:rsidR="00625A43" w:rsidRDefault="005659D6">
            <w:pPr>
              <w:pStyle w:val="ListParagraph"/>
              <w:numPr>
                <w:ilvl w:val="0"/>
                <w:numId w:val="2"/>
              </w:numPr>
              <w:rPr>
                <w:noProof/>
                <w:sz w:val="20"/>
              </w:rPr>
            </w:pPr>
            <w:r>
              <w:rPr>
                <w:noProof/>
                <w:sz w:val="20"/>
              </w:rPr>
              <w:t>Skelbti informaciją apie reikalavimų vykdymo užtikrinimo veiksmų rezultatus ir apie tolesnius veiksmus dėl nustatytų su kompleksine parama susijusių nitratams ir gamtai taikomų taisyklių pa</w:t>
            </w:r>
            <w:r>
              <w:rPr>
                <w:noProof/>
                <w:sz w:val="20"/>
              </w:rPr>
              <w:t>žeidimų.</w:t>
            </w:r>
          </w:p>
        </w:tc>
        <w:tc>
          <w:tcPr>
            <w:tcW w:w="2357" w:type="dxa"/>
            <w:shd w:val="clear" w:color="auto" w:fill="auto"/>
            <w:vAlign w:val="center"/>
          </w:tcPr>
          <w:p w:rsidR="00625A43" w:rsidRDefault="005659D6">
            <w:pPr>
              <w:pStyle w:val="Text1"/>
              <w:ind w:left="0"/>
              <w:rPr>
                <w:noProof/>
                <w:sz w:val="20"/>
              </w:rPr>
            </w:pPr>
            <w:r>
              <w:rPr>
                <w:noProof/>
                <w:sz w:val="20"/>
              </w:rPr>
              <w:t>AT, BE, BG, CY, DE, DK, EE, EL, ES, FI, FR, HR, IE, IT, LT, LU, LV, MT, NL, PL, PT, RO, SE, SK, SI, UK</w:t>
            </w:r>
          </w:p>
        </w:tc>
      </w:tr>
      <w:tr w:rsidR="00625A43">
        <w:tc>
          <w:tcPr>
            <w:tcW w:w="9468" w:type="dxa"/>
            <w:gridSpan w:val="2"/>
            <w:shd w:val="clear" w:color="auto" w:fill="C6D9F1" w:themeFill="text2" w:themeFillTint="33"/>
            <w:vAlign w:val="center"/>
          </w:tcPr>
          <w:p w:rsidR="00625A43" w:rsidRDefault="005659D6">
            <w:pPr>
              <w:pStyle w:val="Text1"/>
              <w:spacing w:after="0"/>
              <w:ind w:left="0"/>
              <w:rPr>
                <w:b/>
                <w:noProof/>
                <w:sz w:val="20"/>
              </w:rPr>
            </w:pPr>
            <w:r>
              <w:rPr>
                <w:b/>
                <w:noProof/>
                <w:sz w:val="20"/>
              </w:rPr>
              <w:t>Aplinkos administravimo institucijų veiksmingumas</w:t>
            </w:r>
          </w:p>
        </w:tc>
      </w:tr>
      <w:tr w:rsidR="00625A43">
        <w:tc>
          <w:tcPr>
            <w:tcW w:w="7111" w:type="dxa"/>
            <w:vAlign w:val="center"/>
          </w:tcPr>
          <w:p w:rsidR="00625A43" w:rsidRDefault="005659D6">
            <w:pPr>
              <w:pStyle w:val="ListParagraph"/>
              <w:numPr>
                <w:ilvl w:val="0"/>
                <w:numId w:val="2"/>
              </w:numPr>
              <w:rPr>
                <w:noProof/>
                <w:sz w:val="20"/>
              </w:rPr>
            </w:pPr>
            <w:r>
              <w:rPr>
                <w:noProof/>
                <w:sz w:val="20"/>
              </w:rPr>
              <w:t xml:space="preserve">Toliau gerinti bendrąjį aplinkos valdymą (kaip antai, skaidrumą, piliečių dalyvavimą, </w:t>
            </w:r>
            <w:r>
              <w:rPr>
                <w:noProof/>
                <w:sz w:val="20"/>
              </w:rPr>
              <w:t>reikalavimų laikymąsi ir vykdymo užtikrinimą, taip pat administracinius gebėjimus ir koordinavimą).</w:t>
            </w:r>
          </w:p>
        </w:tc>
        <w:tc>
          <w:tcPr>
            <w:tcW w:w="2357" w:type="dxa"/>
            <w:shd w:val="clear" w:color="auto" w:fill="auto"/>
            <w:vAlign w:val="center"/>
          </w:tcPr>
          <w:p w:rsidR="00625A43" w:rsidRDefault="005659D6">
            <w:pPr>
              <w:pStyle w:val="Text1"/>
              <w:ind w:left="0"/>
              <w:rPr>
                <w:noProof/>
                <w:sz w:val="20"/>
              </w:rPr>
            </w:pPr>
            <w:r>
              <w:rPr>
                <w:noProof/>
                <w:sz w:val="20"/>
              </w:rPr>
              <w:t>Visos valstybės narės</w:t>
            </w:r>
          </w:p>
        </w:tc>
      </w:tr>
      <w:tr w:rsidR="00625A43">
        <w:tc>
          <w:tcPr>
            <w:tcW w:w="7111" w:type="dxa"/>
            <w:vAlign w:val="center"/>
          </w:tcPr>
          <w:p w:rsidR="00625A43" w:rsidRDefault="005659D6">
            <w:pPr>
              <w:pStyle w:val="ListParagraph"/>
              <w:numPr>
                <w:ilvl w:val="0"/>
                <w:numId w:val="2"/>
              </w:numPr>
              <w:rPr>
                <w:noProof/>
                <w:sz w:val="20"/>
              </w:rPr>
            </w:pPr>
            <w:r>
              <w:rPr>
                <w:noProof/>
                <w:sz w:val="20"/>
              </w:rPr>
              <w:t>Užbaigti perkelti persvarstytą Poveikio aplinkai vertinimo (PAV) direktyvą į nacionalinę teisę.</w:t>
            </w:r>
          </w:p>
        </w:tc>
        <w:tc>
          <w:tcPr>
            <w:tcW w:w="2357" w:type="dxa"/>
            <w:shd w:val="clear" w:color="auto" w:fill="auto"/>
            <w:vAlign w:val="center"/>
          </w:tcPr>
          <w:p w:rsidR="00625A43" w:rsidRDefault="005659D6">
            <w:pPr>
              <w:pStyle w:val="Text1"/>
              <w:ind w:left="0"/>
              <w:rPr>
                <w:noProof/>
                <w:sz w:val="20"/>
              </w:rPr>
            </w:pPr>
            <w:r>
              <w:rPr>
                <w:noProof/>
                <w:sz w:val="20"/>
              </w:rPr>
              <w:t>DE, LT</w:t>
            </w:r>
          </w:p>
        </w:tc>
      </w:tr>
      <w:tr w:rsidR="00625A43">
        <w:tc>
          <w:tcPr>
            <w:tcW w:w="7111" w:type="dxa"/>
            <w:vAlign w:val="center"/>
          </w:tcPr>
          <w:p w:rsidR="00625A43" w:rsidRDefault="005659D6">
            <w:pPr>
              <w:pStyle w:val="ListParagraph"/>
              <w:numPr>
                <w:ilvl w:val="0"/>
                <w:numId w:val="2"/>
              </w:numPr>
              <w:rPr>
                <w:noProof/>
                <w:sz w:val="20"/>
              </w:rPr>
            </w:pPr>
            <w:r>
              <w:rPr>
                <w:noProof/>
                <w:sz w:val="20"/>
              </w:rPr>
              <w:t>Spręsti išsiskaidymo problemą</w:t>
            </w:r>
            <w:r>
              <w:rPr>
                <w:noProof/>
                <w:sz w:val="20"/>
              </w:rPr>
              <w:t xml:space="preserve"> regionų ir vietos lygmenimis, tobulinant aplinkos srities koordinavimo mechanizmus. </w:t>
            </w:r>
          </w:p>
        </w:tc>
        <w:tc>
          <w:tcPr>
            <w:tcW w:w="2357" w:type="dxa"/>
            <w:shd w:val="clear" w:color="auto" w:fill="auto"/>
            <w:vAlign w:val="center"/>
          </w:tcPr>
          <w:p w:rsidR="00625A43" w:rsidRDefault="005659D6">
            <w:pPr>
              <w:pStyle w:val="Text1"/>
              <w:ind w:left="0"/>
              <w:rPr>
                <w:noProof/>
                <w:sz w:val="20"/>
              </w:rPr>
            </w:pPr>
            <w:r>
              <w:rPr>
                <w:noProof/>
                <w:sz w:val="20"/>
              </w:rPr>
              <w:t>EL, ES, IT</w:t>
            </w:r>
          </w:p>
        </w:tc>
      </w:tr>
      <w:tr w:rsidR="00625A43">
        <w:tc>
          <w:tcPr>
            <w:tcW w:w="7111" w:type="dxa"/>
            <w:vAlign w:val="center"/>
          </w:tcPr>
          <w:p w:rsidR="00625A43" w:rsidRDefault="005659D6">
            <w:pPr>
              <w:pStyle w:val="ListParagraph"/>
              <w:numPr>
                <w:ilvl w:val="0"/>
                <w:numId w:val="2"/>
              </w:numPr>
              <w:rPr>
                <w:noProof/>
                <w:sz w:val="20"/>
              </w:rPr>
            </w:pPr>
            <w:r>
              <w:rPr>
                <w:noProof/>
                <w:sz w:val="20"/>
              </w:rPr>
              <w:t xml:space="preserve">Toliau dėti pastangas siekiant supaprastinti aplinkos vertinimo procedūras. </w:t>
            </w:r>
          </w:p>
        </w:tc>
        <w:tc>
          <w:tcPr>
            <w:tcW w:w="2357" w:type="dxa"/>
            <w:shd w:val="clear" w:color="auto" w:fill="auto"/>
            <w:vAlign w:val="center"/>
          </w:tcPr>
          <w:p w:rsidR="00625A43" w:rsidRDefault="005659D6">
            <w:pPr>
              <w:pStyle w:val="Text1"/>
              <w:ind w:left="0"/>
              <w:rPr>
                <w:noProof/>
                <w:sz w:val="20"/>
              </w:rPr>
            </w:pPr>
            <w:r>
              <w:rPr>
                <w:noProof/>
                <w:sz w:val="20"/>
              </w:rPr>
              <w:t>BE, CZ, HR</w:t>
            </w:r>
          </w:p>
        </w:tc>
      </w:tr>
      <w:tr w:rsidR="00625A43">
        <w:tc>
          <w:tcPr>
            <w:tcW w:w="9468" w:type="dxa"/>
            <w:gridSpan w:val="2"/>
            <w:shd w:val="clear" w:color="auto" w:fill="C6D9F1" w:themeFill="text2" w:themeFillTint="33"/>
            <w:vAlign w:val="center"/>
          </w:tcPr>
          <w:p w:rsidR="00625A43" w:rsidRDefault="005659D6">
            <w:pPr>
              <w:pStyle w:val="Text1"/>
              <w:spacing w:after="0"/>
              <w:ind w:left="0"/>
              <w:rPr>
                <w:b/>
                <w:noProof/>
                <w:sz w:val="20"/>
              </w:rPr>
            </w:pPr>
            <w:r>
              <w:rPr>
                <w:b/>
                <w:noProof/>
                <w:sz w:val="20"/>
              </w:rPr>
              <w:t>Tarptautiniai susitarimai</w:t>
            </w:r>
          </w:p>
        </w:tc>
      </w:tr>
      <w:tr w:rsidR="00625A43">
        <w:tc>
          <w:tcPr>
            <w:tcW w:w="7111" w:type="dxa"/>
            <w:vAlign w:val="center"/>
          </w:tcPr>
          <w:p w:rsidR="00625A43" w:rsidRDefault="005659D6">
            <w:pPr>
              <w:pStyle w:val="Text1"/>
              <w:numPr>
                <w:ilvl w:val="0"/>
                <w:numId w:val="2"/>
              </w:numPr>
              <w:rPr>
                <w:noProof/>
                <w:sz w:val="20"/>
              </w:rPr>
            </w:pPr>
            <w:r>
              <w:rPr>
                <w:noProof/>
                <w:sz w:val="20"/>
              </w:rPr>
              <w:t>Prisijungti prie daugiašalių aplinkosaugos</w:t>
            </w:r>
            <w:r>
              <w:rPr>
                <w:noProof/>
                <w:sz w:val="20"/>
              </w:rPr>
              <w:t xml:space="preserve"> susitarimų pasirašant ir ratifikuojant dar nepasirašytus ir neratifikuotus susitarimus.</w:t>
            </w:r>
          </w:p>
        </w:tc>
        <w:tc>
          <w:tcPr>
            <w:tcW w:w="2357" w:type="dxa"/>
            <w:vAlign w:val="center"/>
          </w:tcPr>
          <w:p w:rsidR="00625A43" w:rsidRDefault="005659D6">
            <w:pPr>
              <w:pStyle w:val="Text1"/>
              <w:ind w:left="0"/>
              <w:rPr>
                <w:noProof/>
                <w:sz w:val="20"/>
              </w:rPr>
            </w:pPr>
            <w:r>
              <w:rPr>
                <w:noProof/>
                <w:sz w:val="20"/>
              </w:rPr>
              <w:t>AT, BE, CY, CZ, EL, ES, FR, IE, IT, LT, LV, MT, PL, PT, RO, SI, SK</w:t>
            </w:r>
          </w:p>
        </w:tc>
      </w:tr>
    </w:tbl>
    <w:p w:rsidR="00625A43" w:rsidRDefault="00625A43">
      <w:pPr>
        <w:jc w:val="both"/>
        <w:rPr>
          <w:noProof/>
        </w:rPr>
      </w:pPr>
    </w:p>
    <w:sectPr w:rsidR="00625A43">
      <w:headerReference w:type="even" r:id="rId24"/>
      <w:headerReference w:type="default" r:id="rId25"/>
      <w:footerReference w:type="even" r:id="rId26"/>
      <w:footerReference w:type="default" r:id="rId27"/>
      <w:headerReference w:type="first" r:id="rId28"/>
      <w:footerReference w:type="first" r:id="rId29"/>
      <w:pgSz w:w="11906" w:h="16838"/>
      <w:pgMar w:top="1134" w:right="1417" w:bottom="851" w:left="141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43" w:rsidRDefault="005659D6">
      <w:pPr>
        <w:spacing w:after="0" w:line="240" w:lineRule="auto"/>
      </w:pPr>
      <w:r>
        <w:separator/>
      </w:r>
    </w:p>
  </w:endnote>
  <w:endnote w:type="continuationSeparator" w:id="0">
    <w:p w:rsidR="00625A43" w:rsidRDefault="005659D6">
      <w:pPr>
        <w:spacing w:after="0" w:line="240" w:lineRule="auto"/>
      </w:pPr>
      <w:r>
        <w:continuationSeparator/>
      </w:r>
    </w:p>
  </w:endnote>
  <w:endnote w:type="continuationNotice" w:id="1">
    <w:p w:rsidR="00625A43" w:rsidRDefault="00625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D6" w:rsidRPr="005659D6" w:rsidRDefault="005659D6" w:rsidP="00565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D6" w:rsidRPr="005659D6" w:rsidRDefault="005659D6" w:rsidP="005659D6">
    <w:pPr>
      <w:pStyle w:val="FooterCoverPage"/>
      <w:rPr>
        <w:rFonts w:ascii="Arial" w:hAnsi="Arial" w:cs="Arial"/>
        <w:b/>
        <w:sz w:val="48"/>
      </w:rPr>
    </w:pPr>
    <w:r w:rsidRPr="005659D6">
      <w:rPr>
        <w:rFonts w:ascii="Arial" w:hAnsi="Arial" w:cs="Arial"/>
        <w:b/>
        <w:sz w:val="48"/>
      </w:rPr>
      <w:t>LT</w:t>
    </w:r>
    <w:r w:rsidRPr="005659D6">
      <w:rPr>
        <w:rFonts w:ascii="Arial" w:hAnsi="Arial" w:cs="Arial"/>
        <w:b/>
        <w:sz w:val="48"/>
      </w:rPr>
      <w:tab/>
    </w:r>
    <w:r w:rsidRPr="005659D6">
      <w:rPr>
        <w:rFonts w:ascii="Arial" w:hAnsi="Arial" w:cs="Arial"/>
        <w:b/>
        <w:sz w:val="48"/>
      </w:rPr>
      <w:tab/>
    </w:r>
    <w:r w:rsidRPr="005659D6">
      <w:tab/>
    </w:r>
    <w:r w:rsidRPr="005659D6">
      <w:rPr>
        <w:rFonts w:ascii="Arial" w:hAnsi="Arial" w:cs="Arial"/>
        <w:b/>
        <w:sz w:val="48"/>
      </w:rPr>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D6" w:rsidRPr="005659D6" w:rsidRDefault="005659D6" w:rsidP="005659D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43" w:rsidRDefault="00625A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874408"/>
      <w:docPartObj>
        <w:docPartGallery w:val="Page Numbers (Bottom of Page)"/>
        <w:docPartUnique/>
      </w:docPartObj>
    </w:sdtPr>
    <w:sdtEndPr>
      <w:rPr>
        <w:noProof/>
      </w:rPr>
    </w:sdtEndPr>
    <w:sdtContent>
      <w:p w:rsidR="00625A43" w:rsidRDefault="005659D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12966"/>
      <w:docPartObj>
        <w:docPartGallery w:val="Page Numbers (Bottom of Page)"/>
        <w:docPartUnique/>
      </w:docPartObj>
    </w:sdtPr>
    <w:sdtEndPr>
      <w:rPr>
        <w:noProof/>
      </w:rPr>
    </w:sdtEndPr>
    <w:sdtContent>
      <w:p w:rsidR="00625A43" w:rsidRDefault="005659D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43" w:rsidRDefault="00625A4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49879"/>
      <w:docPartObj>
        <w:docPartGallery w:val="Page Numbers (Bottom of Page)"/>
        <w:docPartUnique/>
      </w:docPartObj>
    </w:sdtPr>
    <w:sdtEndPr>
      <w:rPr>
        <w:noProof/>
      </w:rPr>
    </w:sdtEndPr>
    <w:sdtContent>
      <w:p w:rsidR="00625A43" w:rsidRDefault="005659D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8988"/>
      <w:docPartObj>
        <w:docPartGallery w:val="Page Numbers (Bottom of Page)"/>
        <w:docPartUnique/>
      </w:docPartObj>
    </w:sdtPr>
    <w:sdtEndPr>
      <w:rPr>
        <w:noProof/>
      </w:rPr>
    </w:sdtEndPr>
    <w:sdtContent>
      <w:p w:rsidR="00625A43" w:rsidRDefault="005659D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43" w:rsidRDefault="005659D6">
      <w:pPr>
        <w:spacing w:after="0" w:line="240" w:lineRule="auto"/>
      </w:pPr>
      <w:r>
        <w:separator/>
      </w:r>
    </w:p>
  </w:footnote>
  <w:footnote w:type="continuationSeparator" w:id="0">
    <w:p w:rsidR="00625A43" w:rsidRDefault="005659D6">
      <w:pPr>
        <w:spacing w:after="0" w:line="240" w:lineRule="auto"/>
      </w:pPr>
      <w:r>
        <w:continuationSeparator/>
      </w:r>
    </w:p>
  </w:footnote>
  <w:footnote w:type="continuationNotice" w:id="1">
    <w:p w:rsidR="00625A43" w:rsidRDefault="00625A43">
      <w:pPr>
        <w:spacing w:after="0" w:line="240" w:lineRule="auto"/>
      </w:pPr>
    </w:p>
  </w:footnote>
  <w:footnote w:id="2">
    <w:p w:rsidR="00625A43" w:rsidRDefault="005659D6">
      <w:pPr>
        <w:pStyle w:val="FootnoteText"/>
        <w:tabs>
          <w:tab w:val="left" w:pos="2552"/>
        </w:tabs>
        <w:jc w:val="left"/>
        <w:rPr>
          <w:sz w:val="16"/>
          <w:szCs w:val="16"/>
          <w:lang w:eastAsia="en-GB"/>
        </w:rPr>
      </w:pPr>
      <w:r>
        <w:footnoteRef/>
      </w:r>
      <w:r>
        <w:t xml:space="preserve"> </w:t>
      </w:r>
      <w:r>
        <w:tab/>
      </w:r>
      <w:r>
        <w:rPr>
          <w:sz w:val="16"/>
        </w:rPr>
        <w:t>Siekiant užtikrinti vienodą požiūrį į visas valstybes nares, prioritetiniai veiksmai į kiekvienos šalies ataskaitą buvo įtraukti atsižvelgiant į Europos Komisijos turimą informaciją. Kad prioritetinius veiksmus būtų galima palyginti, jie šiame priede sugru</w:t>
      </w:r>
      <w:r>
        <w:rPr>
          <w:sz w:val="16"/>
        </w:rPr>
        <w:t xml:space="preserve">puoti pagal panašias rekomendacijas gavusių valstybių narių grupes. Todėl šiame priede jų formuluotės gali būti ne tokios konkrečios kaip šalių ataskaitose. </w:t>
      </w:r>
    </w:p>
  </w:footnote>
  <w:footnote w:id="3">
    <w:p w:rsidR="00625A43" w:rsidRDefault="005659D6">
      <w:pPr>
        <w:pStyle w:val="FootnoteText"/>
        <w:jc w:val="left"/>
      </w:pPr>
      <w:r>
        <w:rPr>
          <w:sz w:val="16"/>
        </w:rPr>
        <w:footnoteRef/>
      </w:r>
      <w:r>
        <w:rPr>
          <w:sz w:val="16"/>
        </w:rPr>
        <w:t xml:space="preserve"> </w:t>
      </w:r>
      <w:r>
        <w:tab/>
      </w:r>
      <w:r>
        <w:rPr>
          <w:sz w:val="16"/>
        </w:rPr>
        <w:t>Kelios valstybės narės vėlavo nurodyti priemones, kuriomis jos užtikrina atitiktį Jūrų strategi</w:t>
      </w:r>
      <w:r>
        <w:rPr>
          <w:sz w:val="16"/>
        </w:rPr>
        <w:t xml:space="preserve">jos pagrindų direktyvai. Šioms šalims taikomas tik pirmasis prioritetinis veiksmas, nes nepakanka duomenų, kuriais remiantis būtų galima įvertinti nuo 2017 m. padarytą pažangą ir nustatyti naujus uždavinius.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D6" w:rsidRPr="005659D6" w:rsidRDefault="005659D6" w:rsidP="00565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D6" w:rsidRPr="005659D6" w:rsidRDefault="005659D6" w:rsidP="005659D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D6" w:rsidRPr="005659D6" w:rsidRDefault="005659D6" w:rsidP="005659D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43" w:rsidRDefault="00625A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43" w:rsidRDefault="00625A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43" w:rsidRDefault="00625A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43" w:rsidRDefault="00625A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43" w:rsidRDefault="00625A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43" w:rsidRDefault="00625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0in;height:810pt;visibility:visible;mso-wrap-style:square" o:bullet="t">
        <v:imagedata r:id="rId1" o:title="" croptop="42983f" cropbottom="21645f" cropleft="54648f" cropright="10334f"/>
      </v:shape>
    </w:pict>
  </w:numPicBullet>
  <w:abstractNum w:abstractNumId="0" w15:restartNumberingAfterBreak="0">
    <w:nsid w:val="02E6737D"/>
    <w:multiLevelType w:val="hybridMultilevel"/>
    <w:tmpl w:val="349E1EDA"/>
    <w:lvl w:ilvl="0" w:tplc="E8BADA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32A5D"/>
    <w:multiLevelType w:val="hybridMultilevel"/>
    <w:tmpl w:val="EA9AB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893E2D"/>
    <w:multiLevelType w:val="hybridMultilevel"/>
    <w:tmpl w:val="2D72C25A"/>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3" w15:restartNumberingAfterBreak="0">
    <w:nsid w:val="04E20BC9"/>
    <w:multiLevelType w:val="hybridMultilevel"/>
    <w:tmpl w:val="19345C86"/>
    <w:lvl w:ilvl="0" w:tplc="0EBCA6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909C5"/>
    <w:multiLevelType w:val="hybridMultilevel"/>
    <w:tmpl w:val="956A9F1E"/>
    <w:lvl w:ilvl="0" w:tplc="D8BE8D1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0C77D0"/>
    <w:multiLevelType w:val="hybridMultilevel"/>
    <w:tmpl w:val="F4A8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261607"/>
    <w:multiLevelType w:val="hybridMultilevel"/>
    <w:tmpl w:val="34EA3B38"/>
    <w:lvl w:ilvl="0" w:tplc="52A4E736">
      <w:start w:val="1"/>
      <w:numFmt w:val="bullet"/>
      <w:pStyle w:val="SuggAc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A0660"/>
    <w:multiLevelType w:val="hybridMultilevel"/>
    <w:tmpl w:val="5E462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F92763"/>
    <w:multiLevelType w:val="hybridMultilevel"/>
    <w:tmpl w:val="8752D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84FFD"/>
    <w:multiLevelType w:val="hybridMultilevel"/>
    <w:tmpl w:val="D29A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734306"/>
    <w:multiLevelType w:val="multilevel"/>
    <w:tmpl w:val="C53E7C98"/>
    <w:lvl w:ilvl="0">
      <w:start w:val="1"/>
      <w:numFmt w:val="decimal"/>
      <w:pStyle w:val="Heading1"/>
      <w:lvlText w:val="%1."/>
      <w:lvlJc w:val="left"/>
      <w:pPr>
        <w:tabs>
          <w:tab w:val="num" w:pos="480"/>
        </w:tabs>
        <w:ind w:left="480" w:hanging="480"/>
      </w:pPr>
      <w:rPr>
        <w:b/>
      </w:r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4A3347"/>
    <w:multiLevelType w:val="hybridMultilevel"/>
    <w:tmpl w:val="AAEEFE7E"/>
    <w:lvl w:ilvl="0" w:tplc="AEBE3B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3047D"/>
    <w:multiLevelType w:val="hybridMultilevel"/>
    <w:tmpl w:val="86D03B10"/>
    <w:lvl w:ilvl="0" w:tplc="2ABA73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B0E92"/>
    <w:multiLevelType w:val="hybridMultilevel"/>
    <w:tmpl w:val="6E18F87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88E4C1A"/>
    <w:multiLevelType w:val="hybridMultilevel"/>
    <w:tmpl w:val="7898E29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5" w15:restartNumberingAfterBreak="0">
    <w:nsid w:val="43461292"/>
    <w:multiLevelType w:val="hybridMultilevel"/>
    <w:tmpl w:val="AFE0C6AA"/>
    <w:lvl w:ilvl="0" w:tplc="EAD0B41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AE14F91"/>
    <w:multiLevelType w:val="hybridMultilevel"/>
    <w:tmpl w:val="5EAEC9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AF43FC2"/>
    <w:multiLevelType w:val="hybridMultilevel"/>
    <w:tmpl w:val="5F8C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4C31F5"/>
    <w:multiLevelType w:val="hybridMultilevel"/>
    <w:tmpl w:val="2A046A92"/>
    <w:lvl w:ilvl="0" w:tplc="DFA6A5D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B7D40"/>
    <w:multiLevelType w:val="hybridMultilevel"/>
    <w:tmpl w:val="E35E4F5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3A486770">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A1692A"/>
    <w:multiLevelType w:val="hybridMultilevel"/>
    <w:tmpl w:val="E522F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5D7940"/>
    <w:multiLevelType w:val="hybridMultilevel"/>
    <w:tmpl w:val="A28C8044"/>
    <w:lvl w:ilvl="0" w:tplc="CF3A71A8">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C2864"/>
    <w:multiLevelType w:val="hybridMultilevel"/>
    <w:tmpl w:val="7D5CA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342455"/>
    <w:multiLevelType w:val="hybridMultilevel"/>
    <w:tmpl w:val="289E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318C0"/>
    <w:multiLevelType w:val="hybridMultilevel"/>
    <w:tmpl w:val="526C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246BB3"/>
    <w:multiLevelType w:val="hybridMultilevel"/>
    <w:tmpl w:val="F6523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5"/>
  </w:num>
  <w:num w:numId="4">
    <w:abstractNumId w:val="10"/>
  </w:num>
  <w:num w:numId="5">
    <w:abstractNumId w:val="1"/>
  </w:num>
  <w:num w:numId="6">
    <w:abstractNumId w:val="21"/>
  </w:num>
  <w:num w:numId="7">
    <w:abstractNumId w:val="6"/>
  </w:num>
  <w:num w:numId="8">
    <w:abstractNumId w:val="6"/>
  </w:num>
  <w:num w:numId="9">
    <w:abstractNumId w:val="16"/>
  </w:num>
  <w:num w:numId="10">
    <w:abstractNumId w:val="6"/>
  </w:num>
  <w:num w:numId="11">
    <w:abstractNumId w:val="22"/>
  </w:num>
  <w:num w:numId="12">
    <w:abstractNumId w:val="3"/>
  </w:num>
  <w:num w:numId="13">
    <w:abstractNumId w:val="6"/>
  </w:num>
  <w:num w:numId="14">
    <w:abstractNumId w:val="13"/>
  </w:num>
  <w:num w:numId="15">
    <w:abstractNumId w:val="17"/>
  </w:num>
  <w:num w:numId="16">
    <w:abstractNumId w:val="9"/>
  </w:num>
  <w:num w:numId="17">
    <w:abstractNumId w:val="18"/>
  </w:num>
  <w:num w:numId="18">
    <w:abstractNumId w:val="7"/>
  </w:num>
  <w:num w:numId="19">
    <w:abstractNumId w:val="19"/>
  </w:num>
  <w:num w:numId="20">
    <w:abstractNumId w:val="4"/>
  </w:num>
  <w:num w:numId="21">
    <w:abstractNumId w:val="0"/>
  </w:num>
  <w:num w:numId="22">
    <w:abstractNumId w:val="8"/>
  </w:num>
  <w:num w:numId="23">
    <w:abstractNumId w:val="11"/>
  </w:num>
  <w:num w:numId="24">
    <w:abstractNumId w:val="15"/>
  </w:num>
  <w:num w:numId="25">
    <w:abstractNumId w:val="14"/>
  </w:num>
  <w:num w:numId="26">
    <w:abstractNumId w:val="12"/>
  </w:num>
  <w:num w:numId="27">
    <w:abstractNumId w:val="24"/>
  </w:num>
  <w:num w:numId="28">
    <w:abstractNumId w:val="2"/>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de-DE" w:vendorID="64" w:dllVersion="131078" w:nlCheck="1" w:checkStyle="0"/>
  <w:activeWritingStyle w:appName="MSWord" w:lang="nb-NO" w:vendorID="64" w:dllVersion="131078" w:nlCheck="1" w:checkStyle="0"/>
  <w:activeWritingStyle w:appName="MSWord" w:lang="it-IT" w:vendorID="64" w:dllVersion="131078" w:nlCheck="1" w:checkStyle="0"/>
  <w:activeWritingStyle w:appName="MSWord" w:lang="en-IE" w:vendorID="64" w:dllVersion="131078" w:nlCheck="1" w:checkStyle="1"/>
  <w:activeWritingStyle w:appName="MSWord" w:lang="da-DK" w:vendorID="64" w:dllVersion="131078" w:nlCheck="1" w:checkStyle="0"/>
  <w:activeWritingStyle w:appName="MSWord" w:lang="en-US" w:vendorID="64" w:dllVersion="131078" w:nlCheck="1" w:checkStyle="1"/>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e"/>
    <w:docVar w:name="LW_ANNEX_NBR_FIRST" w:val="1"/>
    <w:docVar w:name="LW_ANNEX_NBR_LAST" w:val="1"/>
    <w:docVar w:name="LW_ANNEX_UNIQUE" w:val="1"/>
    <w:docVar w:name="LW_CORRIGENDUM" w:val="&lt;UNUSED&gt;"/>
    <w:docVar w:name="LW_COVERPAGE_EXISTS" w:val="True"/>
    <w:docVar w:name="LW_COVERPAGE_GUID" w:val="332C6A1B-41FF-4175-91AE-9E026A6B25D0"/>
    <w:docVar w:name="LW_COVERPAGE_TYPE" w:val="1"/>
    <w:docVar w:name="LW_CROSSREFERENCE" w:val="{SWD(2019) 111 final} - {SWD(2019) 112 final} - {SWD(2019) 113 final} - {SWD(2019) 114 final} - {SWD(2019) 115 final} - {SWD(2019) 116 final} - {SWD(2019) 117 final} - {SWD(2019) 118 final} - {SWD(2019) 119 final} - {SWD(2019) 120 final} - {SWD(2019) 121 final} - {SWD(2019) 122 final} - {SWD(2019) 123 final} - {SWD(2019) 124 final} - {SWD(2019) 125 final} - {SWD(2019) 126 final} - {SWD(2019) 127 final} - {SWD(2019) 128 final} - {SWD(2019) 129 final} - {SWD(2019) 130 final} - {SWD(2019) 131 final} - {SWD(2019) 132 final} - {SWD(2019) 133 final} - {SWD(2019) 134 final} - {SWD(2019) 135 final} - {SWD(2019) 136 final} - {SWD(2019) 137 final} - {SWD(2019) 138 final} - {SWD(2019) 139 final}"/>
    <w:docVar w:name="LW_DocType" w:val="NORMAL"/>
    <w:docVar w:name="LW_EMISSION" w:val="2019 04 04"/>
    <w:docVar w:name="LW_EMISSION_ISODATE" w:val="2019-04-04"/>
    <w:docVar w:name="LW_EMISSION_LOCATION" w:val="BRX"/>
    <w:docVar w:name="LW_EMISSION_PREFIX" w:val="Briuselis, "/>
    <w:docVar w:name="LW_EMISSION_SUFFIX" w:val=" "/>
    <w:docVar w:name="LW_ID_DOCTYPE_NONLW" w:val="CP-039"/>
    <w:docVar w:name="LW_LANGUE" w:val="LT"/>
    <w:docVar w:name="LW_LEVEL_OF_SENSITIVITY" w:val="Standard treatment"/>
    <w:docVar w:name="LW_NOM.INST" w:val="EUROPOS KOMISIJA"/>
    <w:docVar w:name="LW_NOM.INST_JOINTDOC" w:val="&lt;EMPTY&gt;"/>
    <w:docVar w:name="LW_OBJETACTEPRINCIPAL.CP" w:val="2019 m. aplinkos nuostat\u371? \u303?gyvendinimo per\u382?i\u363?ra. _x000b_Europa saugo savo pilie\u269?ius ir gerina j\u371? gyvenimo kokyb\u281?_x000b_"/>
    <w:docVar w:name="LW_PART_NBR" w:val="1"/>
    <w:docVar w:name="LW_PART_NBR_TOTAL" w:val="1"/>
    <w:docVar w:name="LW_REF.INST.NEW" w:val="COM"/>
    <w:docVar w:name="LW_REF.INST.NEW_ADOPTED" w:val="final"/>
    <w:docVar w:name="LW_REF.INST.NEW_TEXT" w:val="(2019) 1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IEDAS_x000b_"/>
    <w:docVar w:name="LW_TYPEACTEPRINCIPAL.CP" w:val="KOMISIJOS KOMUNIKATO EUROPOS PARLAMENTUI, TARYBAI, EUROPOS EKONOMIKOS IR SOCIALINI\u370? REIKAL\u370? KOMITETUI IR REGION\u370? KOMITETUI"/>
  </w:docVars>
  <w:rsids>
    <w:rsidRoot w:val="00625A43"/>
    <w:rsid w:val="005659D6"/>
    <w:rsid w:val="00625A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84DDB-4136-4DB3-B65B-E20F96B4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1"/>
      </w:numPr>
      <w:suppressAutoHyphens/>
      <w:autoSpaceDN w:val="0"/>
      <w:spacing w:before="240" w:line="240" w:lineRule="auto"/>
      <w:jc w:val="both"/>
      <w:textAlignment w:val="baseline"/>
      <w:outlineLvl w:val="0"/>
    </w:pPr>
    <w:rPr>
      <w:rFonts w:ascii="Times New Roman" w:eastAsia="Calibri" w:hAnsi="Times New Roman" w:cs="Times New Roman"/>
      <w:b/>
      <w:bCs/>
      <w:smallCaps/>
      <w:sz w:val="24"/>
      <w:szCs w:val="24"/>
    </w:rPr>
  </w:style>
  <w:style w:type="paragraph" w:styleId="Heading2">
    <w:name w:val="heading 2"/>
    <w:basedOn w:val="Normal"/>
    <w:next w:val="Normal"/>
    <w:link w:val="Heading2Char"/>
    <w:qFormat/>
    <w:pPr>
      <w:keepNext/>
      <w:numPr>
        <w:ilvl w:val="1"/>
        <w:numId w:val="1"/>
      </w:numPr>
      <w:suppressAutoHyphens/>
      <w:autoSpaceDN w:val="0"/>
      <w:spacing w:after="120" w:line="240" w:lineRule="auto"/>
      <w:jc w:val="both"/>
      <w:textAlignment w:val="baseline"/>
      <w:outlineLvl w:val="1"/>
    </w:pPr>
    <w:rPr>
      <w:rFonts w:ascii="Times New Roman" w:eastAsia="Calibri" w:hAnsi="Times New Roman" w:cs="Times New Roman"/>
      <w:b/>
      <w:sz w:val="24"/>
    </w:rPr>
  </w:style>
  <w:style w:type="paragraph" w:styleId="Heading3">
    <w:name w:val="heading 3"/>
    <w:basedOn w:val="Normal"/>
    <w:next w:val="Normal"/>
    <w:link w:val="Heading3Char"/>
    <w:qFormat/>
    <w:pPr>
      <w:keepNext/>
      <w:numPr>
        <w:ilvl w:val="2"/>
        <w:numId w:val="1"/>
      </w:numPr>
      <w:suppressAutoHyphens/>
      <w:autoSpaceDN w:val="0"/>
      <w:spacing w:after="120" w:line="240" w:lineRule="auto"/>
      <w:jc w:val="both"/>
      <w:textAlignment w:val="baseline"/>
      <w:outlineLvl w:val="2"/>
    </w:pPr>
    <w:rPr>
      <w:rFonts w:ascii="Times New Roman" w:eastAsia="Calibri" w:hAnsi="Times New Roman" w:cs="Times New Roman"/>
      <w:b/>
      <w:sz w:val="24"/>
    </w:rPr>
  </w:style>
  <w:style w:type="paragraph" w:styleId="Heading4">
    <w:name w:val="heading 4"/>
    <w:basedOn w:val="Normal"/>
    <w:next w:val="Normal"/>
    <w:link w:val="Heading4Char"/>
    <w:qFormat/>
    <w:pPr>
      <w:keepNext/>
      <w:numPr>
        <w:ilvl w:val="3"/>
        <w:numId w:val="1"/>
      </w:numPr>
      <w:suppressAutoHyphens/>
      <w:autoSpaceDN w:val="0"/>
      <w:spacing w:after="120" w:line="240" w:lineRule="auto"/>
      <w:jc w:val="both"/>
      <w:textAlignment w:val="baseline"/>
      <w:outlineLvl w:val="3"/>
    </w:pPr>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Calibri" w:hAnsi="Times New Roman" w:cs="Times New Roman"/>
      <w:b/>
      <w:bCs/>
      <w:smallCaps/>
      <w:sz w:val="24"/>
      <w:szCs w:val="24"/>
    </w:rPr>
  </w:style>
  <w:style w:type="character" w:customStyle="1" w:styleId="Heading2Char">
    <w:name w:val="Heading 2 Char"/>
    <w:basedOn w:val="DefaultParagraphFont"/>
    <w:link w:val="Heading2"/>
    <w:rPr>
      <w:rFonts w:ascii="Times New Roman" w:eastAsia="Calibri" w:hAnsi="Times New Roman" w:cs="Times New Roman"/>
      <w:b/>
      <w:sz w:val="24"/>
    </w:rPr>
  </w:style>
  <w:style w:type="character" w:customStyle="1" w:styleId="Heading3Char">
    <w:name w:val="Heading 3 Char"/>
    <w:basedOn w:val="DefaultParagraphFont"/>
    <w:link w:val="Heading3"/>
    <w:rPr>
      <w:rFonts w:ascii="Times New Roman" w:eastAsia="Calibri" w:hAnsi="Times New Roman" w:cs="Times New Roman"/>
      <w:b/>
      <w:sz w:val="24"/>
    </w:rPr>
  </w:style>
  <w:style w:type="character" w:customStyle="1" w:styleId="Heading4Char">
    <w:name w:val="Heading 4 Char"/>
    <w:basedOn w:val="DefaultParagraphFont"/>
    <w:link w:val="Heading4"/>
    <w:rPr>
      <w:rFonts w:ascii="Times New Roman" w:eastAsia="Calibri" w:hAnsi="Times New Roman" w:cs="Times New Roman"/>
      <w:sz w:val="24"/>
    </w:rPr>
  </w:style>
  <w:style w:type="paragraph" w:customStyle="1" w:styleId="Text1">
    <w:name w:val="Text 1"/>
    <w:basedOn w:val="Normal"/>
    <w:pPr>
      <w:suppressAutoHyphens/>
      <w:autoSpaceDN w:val="0"/>
      <w:spacing w:after="120" w:line="240" w:lineRule="auto"/>
      <w:ind w:left="482"/>
      <w:jc w:val="both"/>
      <w:textAlignment w:val="baseline"/>
    </w:pPr>
    <w:rPr>
      <w:rFonts w:ascii="Times New Roman" w:eastAsia="Calibri" w:hAnsi="Times New Roman" w:cs="Times New Roman"/>
      <w:sz w:val="24"/>
    </w:rPr>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qFormat/>
    <w:pPr>
      <w:suppressAutoHyphens/>
      <w:autoSpaceDN w:val="0"/>
      <w:spacing w:after="60" w:line="240" w:lineRule="auto"/>
      <w:ind w:left="357" w:hanging="357"/>
      <w:jc w:val="both"/>
      <w:textAlignment w:val="baseline"/>
    </w:pPr>
    <w:rPr>
      <w:rFonts w:ascii="Times New Roman" w:eastAsia="Calibri" w:hAnsi="Times New Roman" w:cs="Times New Roman"/>
      <w:sz w:val="18"/>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rPr>
      <w:rFonts w:ascii="Times New Roman" w:eastAsia="Calibri" w:hAnsi="Times New Roman" w:cs="Times New Roman"/>
      <w:sz w:val="18"/>
    </w:rPr>
  </w:style>
  <w:style w:type="paragraph" w:styleId="ListParagraph">
    <w:name w:val="List Paragraph"/>
    <w:aliases w:val="Heading 2_sj,List Paragraph1,Bullet List Paragraph"/>
    <w:basedOn w:val="Normal"/>
    <w:link w:val="ListParagraphChar"/>
    <w:uiPriority w:val="34"/>
    <w:qFormat/>
    <w:pPr>
      <w:suppressAutoHyphens/>
      <w:autoSpaceDN w:val="0"/>
      <w:spacing w:after="120" w:line="240" w:lineRule="auto"/>
      <w:ind w:left="720"/>
      <w:jc w:val="both"/>
      <w:textAlignment w:val="baseline"/>
    </w:pPr>
    <w:rPr>
      <w:rFonts w:ascii="Times New Roman" w:eastAsia="Calibri" w:hAnsi="Times New Roman" w:cs="Times New Roman"/>
      <w:sz w:val="24"/>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SA"/>
    <w:uiPriority w:val="1"/>
    <w:qFormat/>
    <w:pPr>
      <w:numPr>
        <w:numId w:val="6"/>
      </w:numPr>
      <w:spacing w:after="0" w:line="240" w:lineRule="auto"/>
      <w:ind w:left="170" w:hanging="170"/>
      <w:jc w:val="both"/>
    </w:pPr>
    <w:rPr>
      <w:rFonts w:ascii="Calibri" w:eastAsia="Calibri" w:hAnsi="Calibri" w:cs="Times New Roman"/>
      <w:sz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ggActions">
    <w:name w:val="SuggActions"/>
    <w:basedOn w:val="ListParagraph"/>
    <w:link w:val="SuggActionsChar"/>
    <w:autoRedefine/>
    <w:qFormat/>
    <w:pPr>
      <w:widowControl w:val="0"/>
      <w:numPr>
        <w:numId w:val="7"/>
      </w:numPr>
      <w:suppressAutoHyphens w:val="0"/>
      <w:autoSpaceDN/>
      <w:spacing w:after="0"/>
      <w:textAlignment w:val="auto"/>
    </w:pPr>
    <w:rPr>
      <w:rFonts w:asciiTheme="minorHAnsi" w:hAnsiTheme="minorHAnsi" w:cstheme="minorBidi"/>
      <w:noProof/>
      <w:sz w:val="20"/>
      <w:szCs w:val="20"/>
    </w:rPr>
  </w:style>
  <w:style w:type="character" w:customStyle="1" w:styleId="SuggActionsChar">
    <w:name w:val="SuggActions Char"/>
    <w:basedOn w:val="DefaultParagraphFont"/>
    <w:link w:val="SuggActions"/>
    <w:rPr>
      <w:rFonts w:eastAsia="Calibri"/>
      <w:noProof/>
      <w:sz w:val="20"/>
      <w:szCs w:val="20"/>
      <w:lang w:eastAsia="lt-LT"/>
    </w:rPr>
  </w:style>
  <w:style w:type="character" w:customStyle="1" w:styleId="ListParagraphChar">
    <w:name w:val="List Paragraph Char"/>
    <w:aliases w:val="Heading 2_sj Char,List Paragraph1 Char,Bullet List Paragraph Char"/>
    <w:link w:val="ListParagraph"/>
    <w:uiPriority w:val="34"/>
    <w:locked/>
    <w:rPr>
      <w:rFonts w:ascii="Times New Roman" w:eastAsia="Calibri"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6784">
      <w:bodyDiv w:val="1"/>
      <w:marLeft w:val="0"/>
      <w:marRight w:val="0"/>
      <w:marTop w:val="0"/>
      <w:marBottom w:val="0"/>
      <w:divBdr>
        <w:top w:val="none" w:sz="0" w:space="0" w:color="auto"/>
        <w:left w:val="none" w:sz="0" w:space="0" w:color="auto"/>
        <w:bottom w:val="none" w:sz="0" w:space="0" w:color="auto"/>
        <w:right w:val="none" w:sz="0" w:space="0" w:color="auto"/>
      </w:divBdr>
    </w:div>
    <w:div w:id="940458629">
      <w:bodyDiv w:val="1"/>
      <w:marLeft w:val="0"/>
      <w:marRight w:val="0"/>
      <w:marTop w:val="0"/>
      <w:marBottom w:val="0"/>
      <w:divBdr>
        <w:top w:val="none" w:sz="0" w:space="0" w:color="auto"/>
        <w:left w:val="none" w:sz="0" w:space="0" w:color="auto"/>
        <w:bottom w:val="none" w:sz="0" w:space="0" w:color="auto"/>
        <w:right w:val="none" w:sz="0" w:space="0" w:color="auto"/>
      </w:divBdr>
    </w:div>
    <w:div w:id="1553341951">
      <w:bodyDiv w:val="1"/>
      <w:marLeft w:val="0"/>
      <w:marRight w:val="0"/>
      <w:marTop w:val="0"/>
      <w:marBottom w:val="0"/>
      <w:divBdr>
        <w:top w:val="none" w:sz="0" w:space="0" w:color="auto"/>
        <w:left w:val="none" w:sz="0" w:space="0" w:color="auto"/>
        <w:bottom w:val="none" w:sz="0" w:space="0" w:color="auto"/>
        <w:right w:val="none" w:sz="0" w:space="0" w:color="auto"/>
      </w:divBdr>
    </w:div>
    <w:div w:id="1795060304">
      <w:bodyDiv w:val="1"/>
      <w:marLeft w:val="0"/>
      <w:marRight w:val="0"/>
      <w:marTop w:val="0"/>
      <w:marBottom w:val="0"/>
      <w:divBdr>
        <w:top w:val="none" w:sz="0" w:space="0" w:color="auto"/>
        <w:left w:val="none" w:sz="0" w:space="0" w:color="auto"/>
        <w:bottom w:val="none" w:sz="0" w:space="0" w:color="auto"/>
        <w:right w:val="none" w:sz="0" w:space="0" w:color="auto"/>
      </w:divBdr>
    </w:div>
    <w:div w:id="1984307438">
      <w:bodyDiv w:val="1"/>
      <w:marLeft w:val="0"/>
      <w:marRight w:val="0"/>
      <w:marTop w:val="0"/>
      <w:marBottom w:val="0"/>
      <w:divBdr>
        <w:top w:val="none" w:sz="0" w:space="0" w:color="auto"/>
        <w:left w:val="none" w:sz="0" w:space="0" w:color="auto"/>
        <w:bottom w:val="none" w:sz="0" w:space="0" w:color="auto"/>
        <w:right w:val="none" w:sz="0" w:space="0" w:color="auto"/>
      </w:divBdr>
    </w:div>
    <w:div w:id="2103793265">
      <w:bodyDiv w:val="1"/>
      <w:marLeft w:val="0"/>
      <w:marRight w:val="0"/>
      <w:marTop w:val="0"/>
      <w:marBottom w:val="0"/>
      <w:divBdr>
        <w:top w:val="none" w:sz="0" w:space="0" w:color="auto"/>
        <w:left w:val="none" w:sz="0" w:space="0" w:color="auto"/>
        <w:bottom w:val="none" w:sz="0" w:space="0" w:color="auto"/>
        <w:right w:val="none" w:sz="0" w:space="0" w:color="auto"/>
      </w:divBdr>
      <w:divsChild>
        <w:div w:id="1170949558">
          <w:marLeft w:val="0"/>
          <w:marRight w:val="0"/>
          <w:marTop w:val="0"/>
          <w:marBottom w:val="0"/>
          <w:divBdr>
            <w:top w:val="none" w:sz="0" w:space="0" w:color="auto"/>
            <w:left w:val="none" w:sz="0" w:space="0" w:color="auto"/>
            <w:bottom w:val="none" w:sz="0" w:space="0" w:color="auto"/>
            <w:right w:val="none" w:sz="0" w:space="0" w:color="auto"/>
          </w:divBdr>
        </w:div>
        <w:div w:id="25837807">
          <w:marLeft w:val="0"/>
          <w:marRight w:val="0"/>
          <w:marTop w:val="0"/>
          <w:marBottom w:val="0"/>
          <w:divBdr>
            <w:top w:val="none" w:sz="0" w:space="0" w:color="auto"/>
            <w:left w:val="none" w:sz="0" w:space="0" w:color="auto"/>
            <w:bottom w:val="none" w:sz="0" w:space="0" w:color="auto"/>
            <w:right w:val="none" w:sz="0" w:space="0" w:color="auto"/>
          </w:divBdr>
        </w:div>
        <w:div w:id="65077605">
          <w:marLeft w:val="0"/>
          <w:marRight w:val="0"/>
          <w:marTop w:val="0"/>
          <w:marBottom w:val="0"/>
          <w:divBdr>
            <w:top w:val="none" w:sz="0" w:space="0" w:color="auto"/>
            <w:left w:val="none" w:sz="0" w:space="0" w:color="auto"/>
            <w:bottom w:val="none" w:sz="0" w:space="0" w:color="auto"/>
            <w:right w:val="none" w:sz="0" w:space="0" w:color="auto"/>
          </w:divBdr>
          <w:divsChild>
            <w:div w:id="650988474">
              <w:marLeft w:val="0"/>
              <w:marRight w:val="0"/>
              <w:marTop w:val="0"/>
              <w:marBottom w:val="0"/>
              <w:divBdr>
                <w:top w:val="none" w:sz="0" w:space="0" w:color="auto"/>
                <w:left w:val="none" w:sz="0" w:space="0" w:color="auto"/>
                <w:bottom w:val="none" w:sz="0" w:space="0" w:color="auto"/>
                <w:right w:val="none" w:sz="0" w:space="0" w:color="auto"/>
              </w:divBdr>
            </w:div>
            <w:div w:id="855267574">
              <w:marLeft w:val="0"/>
              <w:marRight w:val="0"/>
              <w:marTop w:val="0"/>
              <w:marBottom w:val="0"/>
              <w:divBdr>
                <w:top w:val="none" w:sz="0" w:space="0" w:color="auto"/>
                <w:left w:val="none" w:sz="0" w:space="0" w:color="auto"/>
                <w:bottom w:val="none" w:sz="0" w:space="0" w:color="auto"/>
                <w:right w:val="none" w:sz="0" w:space="0" w:color="auto"/>
              </w:divBdr>
            </w:div>
            <w:div w:id="2109351880">
              <w:marLeft w:val="0"/>
              <w:marRight w:val="0"/>
              <w:marTop w:val="0"/>
              <w:marBottom w:val="0"/>
              <w:divBdr>
                <w:top w:val="none" w:sz="0" w:space="0" w:color="auto"/>
                <w:left w:val="none" w:sz="0" w:space="0" w:color="auto"/>
                <w:bottom w:val="none" w:sz="0" w:space="0" w:color="auto"/>
                <w:right w:val="none" w:sz="0" w:space="0" w:color="auto"/>
              </w:divBdr>
            </w:div>
            <w:div w:id="1023242132">
              <w:marLeft w:val="0"/>
              <w:marRight w:val="0"/>
              <w:marTop w:val="0"/>
              <w:marBottom w:val="0"/>
              <w:divBdr>
                <w:top w:val="none" w:sz="0" w:space="0" w:color="auto"/>
                <w:left w:val="none" w:sz="0" w:space="0" w:color="auto"/>
                <w:bottom w:val="none" w:sz="0" w:space="0" w:color="auto"/>
                <w:right w:val="none" w:sz="0" w:space="0" w:color="auto"/>
              </w:divBdr>
            </w:div>
            <w:div w:id="5781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97EA221F96E4B9233A8505060E8B9" ma:contentTypeVersion="0" ma:contentTypeDescription="Create a new document." ma:contentTypeScope="" ma:versionID="dbda434071fed551bc7965c9517226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8ED5-D2FD-4BE5-9E09-6AC5D854D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8B671F-52B5-4A57-8188-E23ED74EA8B4}">
  <ds:schemaRefs>
    <ds:schemaRef ds:uri="http://schemas.microsoft.com/sharepoint/v3/contenttype/forms"/>
  </ds:schemaRefs>
</ds:datastoreItem>
</file>

<file path=customXml/itemProps3.xml><?xml version="1.0" encoding="utf-8"?>
<ds:datastoreItem xmlns:ds="http://schemas.openxmlformats.org/officeDocument/2006/customXml" ds:itemID="{53659AAF-45E9-48C6-AAFF-51F5B367CD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3AAA08B-694E-408F-AAFE-91F233DE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2190</Words>
  <Characters>13234</Characters>
  <Application>Microsoft Office Word</Application>
  <DocSecurity>0</DocSecurity>
  <Lines>357</Lines>
  <Paragraphs>181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CODESCU Ion (ENV)</dc:creator>
  <cp:lastModifiedBy>LAGES CARVALHO Patrick (SG)</cp:lastModifiedBy>
  <cp:revision>12</cp:revision>
  <cp:lastPrinted>2019-01-23T10:05:00Z</cp:lastPrinted>
  <dcterms:created xsi:type="dcterms:W3CDTF">2019-02-13T09:53:00Z</dcterms:created>
  <dcterms:modified xsi:type="dcterms:W3CDTF">2019-03-25T11:01:00Z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ontentTypeId">
    <vt:lpwstr>0x01010078E97EA221F96E4B9233A8505060E8B9</vt:lpwstr>
  </property>
  <property fmtid="{D5CDD505-2E9C-101B-9397-08002B2CF9AE}" pid="8" name="Offisync_UpdateToken">
    <vt:lpwstr>13</vt:lpwstr>
  </property>
  <property fmtid="{D5CDD505-2E9C-101B-9397-08002B2CF9AE}" pid="9" name="Offisync_UniqueId">
    <vt:lpwstr>181497</vt:lpwstr>
  </property>
  <property fmtid="{D5CDD505-2E9C-101B-9397-08002B2CF9AE}" pid="10" name="Jive_VersionGuid">
    <vt:lpwstr>f1562e83-4210-4c4a-b4c2-f5df04ff6de0</vt:lpwstr>
  </property>
  <property fmtid="{D5CDD505-2E9C-101B-9397-08002B2CF9AE}" pid="11" name="Offisync_ProviderInitializationData">
    <vt:lpwstr>https://connected.cnect.cec.eu.int</vt:lpwstr>
  </property>
  <property fmtid="{D5CDD505-2E9C-101B-9397-08002B2CF9AE}" pid="12" name="Jive_LatestUserAccountName">
    <vt:lpwstr>dalgaka</vt:lpwstr>
  </property>
  <property fmtid="{D5CDD505-2E9C-101B-9397-08002B2CF9AE}" pid="13" name="Offisync_ServerID">
    <vt:lpwstr>0d3b22a6-6203-4efc-8e8e-b5279256493b</vt:lpwstr>
  </property>
  <property fmtid="{D5CDD505-2E9C-101B-9397-08002B2CF9AE}" pid="14" name="Level of sensitivity">
    <vt:lpwstr>Standard treatment</vt:lpwstr>
  </property>
  <property fmtid="{D5CDD505-2E9C-101B-9397-08002B2CF9AE}" pid="15" name="Last edited using">
    <vt:lpwstr>LW 6.0.1, Build 20180503</vt:lpwstr>
  </property>
  <property fmtid="{D5CDD505-2E9C-101B-9397-08002B2CF9AE}" pid="16" name="Unique annex">
    <vt:lpwstr>1</vt:lpwstr>
  </property>
  <property fmtid="{D5CDD505-2E9C-101B-9397-08002B2CF9AE}" pid="17" name="Created using">
    <vt:lpwstr>LW 6.0.1, Build 20180503</vt:lpwstr>
  </property>
</Properties>
</file>