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A3" w:rsidRDefault="00502587" w:rsidP="00502587">
      <w:pPr>
        <w:pStyle w:val="Pagedecouverture"/>
        <w:rPr>
          <w:noProof/>
        </w:rPr>
      </w:pPr>
      <w:bookmarkStart w:id="0" w:name="LW_BM_COVERPAGE"/>
      <w:r>
        <w:rPr>
          <w:noProof/>
        </w:rPr>
        <w:pict>
          <v:shape id="_x0000_i1033" type="#_x0000_t75" alt="5414B6A4-DB15-46E1-BE2B-2D9050793060" style="width:450.75pt;height:557.25pt">
            <v:imagedata r:id="rId11" o:title=""/>
          </v:shape>
        </w:pict>
      </w:r>
    </w:p>
    <w:bookmarkEnd w:id="0"/>
    <w:p w:rsidR="005706A3" w:rsidRDefault="005706A3">
      <w:pPr>
        <w:rPr>
          <w:noProof/>
        </w:rPr>
        <w:sectPr w:rsidR="005706A3" w:rsidSect="00502587">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5706A3" w:rsidRDefault="00502587">
      <w:pPr>
        <w:pStyle w:val="Heading1"/>
        <w:numPr>
          <w:ilvl w:val="0"/>
          <w:numId w:val="0"/>
        </w:numPr>
        <w:spacing w:before="120" w:after="360"/>
        <w:jc w:val="center"/>
        <w:rPr>
          <w:noProof/>
        </w:rPr>
      </w:pPr>
      <w:bookmarkStart w:id="1" w:name="_GoBack"/>
      <w:bookmarkEnd w:id="1"/>
      <w:r>
        <w:rPr>
          <w:noProof/>
        </w:rPr>
        <w:lastRenderedPageBreak/>
        <w:t>AÇÕES PRIORITÁRIAS PARA UMA MELHOR APLICAÇÃO DA POLÍTICA AMBIENTAL</w:t>
      </w:r>
    </w:p>
    <w:p w:rsidR="005706A3" w:rsidRDefault="00502587">
      <w:pPr>
        <w:jc w:val="center"/>
        <w:rPr>
          <w:rFonts w:ascii="Times New Roman" w:hAnsi="Times New Roman" w:cs="Times New Roman"/>
          <w:noProof/>
        </w:rPr>
      </w:pPr>
      <w:r>
        <w:rPr>
          <w:rFonts w:ascii="Times New Roman" w:hAnsi="Times New Roman"/>
          <w:noProof/>
        </w:rPr>
        <w:t xml:space="preserve">O presente anexo resume as ações prioritárias constantes nos 28 relatórios por </w:t>
      </w:r>
      <w:r>
        <w:rPr>
          <w:rFonts w:ascii="Times New Roman" w:hAnsi="Times New Roman"/>
          <w:noProof/>
        </w:rPr>
        <w:t>país sobre o reexame da aplicação da política ambiental</w:t>
      </w:r>
      <w:r>
        <w:rPr>
          <w:rFonts w:ascii="Times New Roman" w:hAnsi="Times New Roman" w:cs="Times New Roman"/>
          <w:noProof/>
          <w:vertAlign w:val="superscript"/>
        </w:rPr>
        <w:footnoteReference w:id="2"/>
      </w:r>
    </w:p>
    <w:tbl>
      <w:tblPr>
        <w:tblStyle w:val="TableGrid"/>
        <w:tblW w:w="9468" w:type="dxa"/>
        <w:tblLayout w:type="fixed"/>
        <w:tblLook w:val="04A0" w:firstRow="1" w:lastRow="0" w:firstColumn="1" w:lastColumn="0" w:noHBand="0" w:noVBand="1"/>
      </w:tblPr>
      <w:tblGrid>
        <w:gridCol w:w="7111"/>
        <w:gridCol w:w="2357"/>
      </w:tblGrid>
      <w:tr w:rsidR="005706A3">
        <w:tc>
          <w:tcPr>
            <w:tcW w:w="7111" w:type="dxa"/>
            <w:shd w:val="clear" w:color="auto" w:fill="auto"/>
            <w:vAlign w:val="center"/>
          </w:tcPr>
          <w:p w:rsidR="005706A3" w:rsidRDefault="00502587">
            <w:pPr>
              <w:pStyle w:val="Text1"/>
              <w:ind w:left="0"/>
              <w:jc w:val="left"/>
              <w:rPr>
                <w:i/>
                <w:noProof/>
                <w:sz w:val="20"/>
              </w:rPr>
            </w:pPr>
            <w:r>
              <w:rPr>
                <w:i/>
                <w:noProof/>
                <w:sz w:val="20"/>
              </w:rPr>
              <w:t>Ações prioritárias</w:t>
            </w:r>
          </w:p>
        </w:tc>
        <w:tc>
          <w:tcPr>
            <w:tcW w:w="2357" w:type="dxa"/>
            <w:shd w:val="clear" w:color="auto" w:fill="auto"/>
            <w:vAlign w:val="center"/>
          </w:tcPr>
          <w:p w:rsidR="005706A3" w:rsidRDefault="00502587">
            <w:pPr>
              <w:pStyle w:val="Text1"/>
              <w:ind w:left="0"/>
              <w:jc w:val="left"/>
              <w:rPr>
                <w:i/>
                <w:noProof/>
                <w:sz w:val="20"/>
              </w:rPr>
            </w:pPr>
            <w:r>
              <w:rPr>
                <w:i/>
                <w:noProof/>
                <w:sz w:val="20"/>
              </w:rPr>
              <w:t xml:space="preserve">Estados-Membros </w:t>
            </w:r>
          </w:p>
        </w:tc>
      </w:tr>
      <w:tr w:rsidR="005706A3">
        <w:tc>
          <w:tcPr>
            <w:tcW w:w="9468" w:type="dxa"/>
            <w:gridSpan w:val="2"/>
            <w:shd w:val="clear" w:color="auto" w:fill="C6D9F1" w:themeFill="text2" w:themeFillTint="33"/>
            <w:vAlign w:val="center"/>
          </w:tcPr>
          <w:p w:rsidR="005706A3" w:rsidRDefault="00502587">
            <w:pPr>
              <w:pStyle w:val="Text1"/>
              <w:spacing w:after="0"/>
              <w:ind w:left="0"/>
              <w:rPr>
                <w:noProof/>
                <w:sz w:val="20"/>
              </w:rPr>
            </w:pPr>
            <w:r>
              <w:rPr>
                <w:b/>
                <w:noProof/>
                <w:sz w:val="20"/>
              </w:rPr>
              <w:t>Medidas a favor da economia circular</w:t>
            </w:r>
          </w:p>
        </w:tc>
      </w:tr>
      <w:tr w:rsidR="005706A3" w:rsidRPr="00502587">
        <w:tc>
          <w:tcPr>
            <w:tcW w:w="7111" w:type="dxa"/>
            <w:shd w:val="clear" w:color="auto" w:fill="auto"/>
            <w:vAlign w:val="center"/>
          </w:tcPr>
          <w:p w:rsidR="005706A3" w:rsidRDefault="00502587">
            <w:pPr>
              <w:pStyle w:val="ListParagraph"/>
              <w:numPr>
                <w:ilvl w:val="0"/>
                <w:numId w:val="3"/>
              </w:numPr>
              <w:rPr>
                <w:noProof/>
                <w:sz w:val="20"/>
              </w:rPr>
            </w:pPr>
            <w:r>
              <w:rPr>
                <w:noProof/>
                <w:sz w:val="20"/>
              </w:rPr>
              <w:t>Reforçar o quadro político para acelerar a transição para a economia circular em todos os setores económicos, por exemplo no que diz respeito a poupanças de energia e água, redução de resíduos, reciclagem de materiais e/ou recurso ao mercado de matérias-pr</w:t>
            </w:r>
            <w:r>
              <w:rPr>
                <w:noProof/>
                <w:sz w:val="20"/>
              </w:rPr>
              <w:t xml:space="preserve">imas secundárias.  </w:t>
            </w:r>
          </w:p>
        </w:tc>
        <w:tc>
          <w:tcPr>
            <w:tcW w:w="2357" w:type="dxa"/>
            <w:shd w:val="clear" w:color="auto" w:fill="auto"/>
            <w:vAlign w:val="center"/>
          </w:tcPr>
          <w:p w:rsidR="005706A3" w:rsidRDefault="00502587">
            <w:pPr>
              <w:spacing w:after="120"/>
              <w:jc w:val="both"/>
              <w:rPr>
                <w:noProof/>
                <w:lang w:val="es-ES"/>
              </w:rPr>
            </w:pPr>
            <w:r>
              <w:rPr>
                <w:noProof/>
                <w:lang w:val="es-ES"/>
              </w:rPr>
              <w:t>AT, BG, CY, CZ, DE, EE, EL, ES, HR, HU, IE, LV, MT, PL, PT, RO e SK</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Adotar os princípios da economia circular que favorecem as medidas relativas à utilização eficiente dos recursos e o aumento da reciclagem,</w:t>
            </w:r>
            <w:r>
              <w:rPr>
                <w:bCs/>
                <w:noProof/>
                <w:sz w:val="20"/>
              </w:rPr>
              <w:t xml:space="preserve"> o desempenho em matéria de </w:t>
            </w:r>
            <w:r>
              <w:rPr>
                <w:bCs/>
                <w:noProof/>
                <w:sz w:val="20"/>
              </w:rPr>
              <w:t>ecoinovação</w:t>
            </w:r>
            <w:r>
              <w:rPr>
                <w:noProof/>
                <w:sz w:val="20"/>
              </w:rPr>
              <w:t xml:space="preserve"> e os investimentos em produtos e serviços ecológicos.</w:t>
            </w:r>
          </w:p>
        </w:tc>
        <w:tc>
          <w:tcPr>
            <w:tcW w:w="2357" w:type="dxa"/>
            <w:shd w:val="clear" w:color="auto" w:fill="auto"/>
            <w:vAlign w:val="center"/>
          </w:tcPr>
          <w:p w:rsidR="005706A3" w:rsidRDefault="00502587">
            <w:pPr>
              <w:pStyle w:val="Text1"/>
              <w:ind w:left="0"/>
              <w:rPr>
                <w:noProof/>
                <w:sz w:val="20"/>
                <w:lang w:val="en-GB"/>
              </w:rPr>
            </w:pPr>
            <w:r>
              <w:rPr>
                <w:noProof/>
                <w:sz w:val="20"/>
                <w:lang w:val="en-GB"/>
              </w:rPr>
              <w:t>AT, CY, EL, HU, IT, MT, NL, RO e SK</w:t>
            </w:r>
          </w:p>
        </w:tc>
      </w:tr>
      <w:tr w:rsidR="005706A3">
        <w:tc>
          <w:tcPr>
            <w:tcW w:w="9468" w:type="dxa"/>
            <w:gridSpan w:val="2"/>
            <w:shd w:val="clear" w:color="auto" w:fill="C6D9F1" w:themeFill="text2" w:themeFillTint="33"/>
            <w:vAlign w:val="center"/>
          </w:tcPr>
          <w:p w:rsidR="005706A3" w:rsidRDefault="00502587">
            <w:pPr>
              <w:pStyle w:val="Text1"/>
              <w:spacing w:after="0"/>
              <w:ind w:left="0"/>
              <w:rPr>
                <w:b/>
                <w:noProof/>
                <w:sz w:val="20"/>
              </w:rPr>
            </w:pPr>
            <w:r>
              <w:rPr>
                <w:b/>
                <w:noProof/>
                <w:sz w:val="20"/>
              </w:rPr>
              <w:t xml:space="preserve">Gestão de resíduos </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Adotar novas políticas, nomeadamente instrumentos económicos, para reforçar a aplicação da hierarquia da gestão dos resíduos, ou </w:t>
            </w:r>
            <w:r>
              <w:rPr>
                <w:noProof/>
                <w:sz w:val="20"/>
              </w:rPr>
              <w:t>seja, promover a prevenção e aumentar o interesse económico da reutilização e da reciclagem e/ou aplicar as políticas existentes.</w:t>
            </w:r>
          </w:p>
        </w:tc>
        <w:tc>
          <w:tcPr>
            <w:tcW w:w="2357" w:type="dxa"/>
            <w:shd w:val="clear" w:color="auto" w:fill="auto"/>
            <w:vAlign w:val="center"/>
          </w:tcPr>
          <w:p w:rsidR="005706A3" w:rsidRDefault="00502587">
            <w:pPr>
              <w:pStyle w:val="Text1"/>
              <w:ind w:left="0"/>
              <w:rPr>
                <w:noProof/>
                <w:sz w:val="20"/>
              </w:rPr>
            </w:pPr>
            <w:r>
              <w:rPr>
                <w:noProof/>
                <w:sz w:val="20"/>
              </w:rPr>
              <w:t>AT, BG, CY, DE, DK, EE, FI, IE, IT, LT, LU, LV, NL, PL, PT, RO, SE, SI e UK</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Melhorar o funcionamento dos sistemas de responsa</w:t>
            </w:r>
            <w:r>
              <w:rPr>
                <w:noProof/>
                <w:sz w:val="20"/>
              </w:rPr>
              <w:t>bilidade alargada do produtor, em conformidade com os requisitos gerais mínimos estabelecidos na Diretiva-Quadro Resíduos.</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AT, CY, CZ, EE, EL, ES, HR, HU, IT, LT, LV, MT, PL, RO, SI, SK e UK</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Desviar os resíduos reutilizáveis e recicláveis da incineração, </w:t>
            </w:r>
            <w:r>
              <w:rPr>
                <w:noProof/>
                <w:sz w:val="20"/>
              </w:rPr>
              <w:t>eliminando progressivamente os subsídios à incineração ou introduzindo uma tributação aplicável à mesma. Canalizar essas receitas para medidas destinadas a melhorar a gestão dos resíduos em conformidade com a hierarquia da gestão dos resíduos.</w:t>
            </w:r>
          </w:p>
        </w:tc>
        <w:tc>
          <w:tcPr>
            <w:tcW w:w="2357" w:type="dxa"/>
            <w:shd w:val="clear" w:color="auto" w:fill="auto"/>
            <w:vAlign w:val="center"/>
          </w:tcPr>
          <w:p w:rsidR="005706A3" w:rsidRDefault="00502587">
            <w:pPr>
              <w:pStyle w:val="Text1"/>
              <w:ind w:left="0"/>
              <w:rPr>
                <w:noProof/>
                <w:sz w:val="20"/>
              </w:rPr>
            </w:pPr>
            <w:r>
              <w:rPr>
                <w:noProof/>
                <w:sz w:val="20"/>
              </w:rPr>
              <w:t xml:space="preserve">AT, BE, CZ, </w:t>
            </w:r>
            <w:r>
              <w:rPr>
                <w:noProof/>
                <w:sz w:val="20"/>
              </w:rPr>
              <w:t>DE, DK, EE, FI, IE, LT, LU, NL, PL, PT e SE</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Introduzir tributação aplicável à deposição de resíduos em aterro e/ou aumentá-la progressivamente para eliminar a deposição em aterro de resíduos recicláveis e suscetíveis de valorização. Harmonizar a tributaçã</w:t>
            </w:r>
            <w:r>
              <w:rPr>
                <w:noProof/>
                <w:sz w:val="20"/>
              </w:rPr>
              <w:t>o regional aplicável à deposição em aterro. Canalizar essas receitas para medidas destinadas a melhorar a gestão de resíduos em conformidade com a hierarquia da gestão dos resíduos.</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CY, CZ, EL, ES, HR, HU, IT, LT, LV, MT, RO, SI, SK e UK</w:t>
            </w:r>
          </w:p>
        </w:tc>
      </w:tr>
      <w:tr w:rsidR="005706A3">
        <w:tc>
          <w:tcPr>
            <w:tcW w:w="7111" w:type="dxa"/>
            <w:shd w:val="clear" w:color="auto" w:fill="auto"/>
            <w:vAlign w:val="center"/>
          </w:tcPr>
          <w:p w:rsidR="005706A3" w:rsidRDefault="00502587">
            <w:pPr>
              <w:pStyle w:val="ListParagraph"/>
              <w:numPr>
                <w:ilvl w:val="0"/>
                <w:numId w:val="2"/>
              </w:numPr>
              <w:rPr>
                <w:noProof/>
                <w:sz w:val="20"/>
              </w:rPr>
            </w:pPr>
            <w:r>
              <w:rPr>
                <w:noProof/>
                <w:sz w:val="20"/>
              </w:rPr>
              <w:t xml:space="preserve">Privilegiar a </w:t>
            </w:r>
            <w:r>
              <w:rPr>
                <w:noProof/>
                <w:sz w:val="20"/>
              </w:rPr>
              <w:t>aplicação da obrigação de recolha seletiva para aumentar as taxas de reciclagem, nomeadamente a recolha de biorresíduos. Desenvolver e aplicar padrões mínimos de serviço e/ou programas de apoio aos municípios.</w:t>
            </w:r>
          </w:p>
        </w:tc>
        <w:tc>
          <w:tcPr>
            <w:tcW w:w="2357" w:type="dxa"/>
            <w:shd w:val="clear" w:color="auto" w:fill="auto"/>
            <w:vAlign w:val="center"/>
          </w:tcPr>
          <w:p w:rsidR="005706A3" w:rsidRDefault="00502587">
            <w:pPr>
              <w:spacing w:after="120"/>
              <w:jc w:val="both"/>
              <w:rPr>
                <w:noProof/>
              </w:rPr>
            </w:pPr>
            <w:r>
              <w:rPr>
                <w:noProof/>
              </w:rPr>
              <w:t>BG, CY, CZ, EE, EL, ES, FI, FR, HR, HU, IE, IT</w:t>
            </w:r>
            <w:r>
              <w:rPr>
                <w:noProof/>
              </w:rPr>
              <w:t>, LT, LV, MT, PL, PT, RO, SI, SK e UK</w:t>
            </w:r>
          </w:p>
        </w:tc>
      </w:tr>
      <w:tr w:rsidR="005706A3">
        <w:tc>
          <w:tcPr>
            <w:tcW w:w="7111" w:type="dxa"/>
            <w:shd w:val="clear" w:color="auto" w:fill="auto"/>
            <w:vAlign w:val="center"/>
          </w:tcPr>
          <w:p w:rsidR="005706A3" w:rsidRDefault="00502587">
            <w:pPr>
              <w:pStyle w:val="ListParagraph"/>
              <w:numPr>
                <w:ilvl w:val="0"/>
                <w:numId w:val="2"/>
              </w:numPr>
              <w:rPr>
                <w:noProof/>
                <w:sz w:val="20"/>
              </w:rPr>
            </w:pPr>
            <w:r>
              <w:rPr>
                <w:noProof/>
                <w:sz w:val="20"/>
              </w:rPr>
              <w:t>Concluir e/ou atualizar o ou os planos de gestão dos resíduos e/ou o ou os programas de prevenção de resíduos.</w:t>
            </w:r>
          </w:p>
        </w:tc>
        <w:tc>
          <w:tcPr>
            <w:tcW w:w="2357" w:type="dxa"/>
            <w:shd w:val="clear" w:color="auto" w:fill="auto"/>
            <w:vAlign w:val="center"/>
          </w:tcPr>
          <w:p w:rsidR="005706A3" w:rsidRDefault="00502587">
            <w:pPr>
              <w:pStyle w:val="Text1"/>
              <w:ind w:left="0"/>
              <w:rPr>
                <w:noProof/>
                <w:sz w:val="20"/>
              </w:rPr>
            </w:pPr>
            <w:r>
              <w:rPr>
                <w:noProof/>
                <w:sz w:val="20"/>
              </w:rPr>
              <w:t>ES e FR</w:t>
            </w:r>
          </w:p>
        </w:tc>
      </w:tr>
      <w:tr w:rsidR="005706A3" w:rsidRPr="00502587">
        <w:tc>
          <w:tcPr>
            <w:tcW w:w="7111" w:type="dxa"/>
            <w:shd w:val="clear" w:color="auto" w:fill="auto"/>
            <w:vAlign w:val="center"/>
          </w:tcPr>
          <w:p w:rsidR="005706A3" w:rsidRDefault="00502587">
            <w:pPr>
              <w:pStyle w:val="ListParagraph"/>
              <w:numPr>
                <w:ilvl w:val="0"/>
                <w:numId w:val="2"/>
              </w:numPr>
              <w:rPr>
                <w:noProof/>
                <w:sz w:val="20"/>
              </w:rPr>
            </w:pPr>
            <w:r>
              <w:rPr>
                <w:noProof/>
                <w:sz w:val="20"/>
              </w:rPr>
              <w:t xml:space="preserve">Dar prioridade ao encerramento e reabilitação dos aterros não-conformes. </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BG, CY, EL, ES, IT, PL,</w:t>
            </w:r>
            <w:r>
              <w:rPr>
                <w:noProof/>
                <w:sz w:val="20"/>
                <w:lang w:val="es-ES"/>
              </w:rPr>
              <w:t xml:space="preserve"> RO, SI e SK</w:t>
            </w:r>
          </w:p>
        </w:tc>
      </w:tr>
      <w:tr w:rsidR="005706A3" w:rsidRPr="00502587">
        <w:tc>
          <w:tcPr>
            <w:tcW w:w="7111" w:type="dxa"/>
            <w:shd w:val="clear" w:color="auto" w:fill="auto"/>
            <w:vAlign w:val="center"/>
          </w:tcPr>
          <w:p w:rsidR="005706A3" w:rsidRDefault="00502587">
            <w:pPr>
              <w:pStyle w:val="ListParagraph"/>
              <w:numPr>
                <w:ilvl w:val="0"/>
                <w:numId w:val="2"/>
              </w:numPr>
              <w:rPr>
                <w:noProof/>
                <w:sz w:val="20"/>
              </w:rPr>
            </w:pPr>
            <w:r>
              <w:rPr>
                <w:noProof/>
                <w:sz w:val="20"/>
              </w:rPr>
              <w:t>Evitar a criação de infraestruturas com capacidade excessiva de tratamento de resíduos finais, tais como estações de tratamento mecânico e biológico, incineradores e aterros.</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CZ, EL, LT, PL e SK</w:t>
            </w:r>
          </w:p>
        </w:tc>
      </w:tr>
      <w:tr w:rsidR="005706A3">
        <w:tc>
          <w:tcPr>
            <w:tcW w:w="7111" w:type="dxa"/>
            <w:shd w:val="clear" w:color="auto" w:fill="auto"/>
            <w:vAlign w:val="center"/>
          </w:tcPr>
          <w:p w:rsidR="005706A3" w:rsidRDefault="00502587">
            <w:pPr>
              <w:pStyle w:val="ListParagraph"/>
              <w:numPr>
                <w:ilvl w:val="0"/>
                <w:numId w:val="2"/>
              </w:numPr>
              <w:rPr>
                <w:noProof/>
                <w:sz w:val="20"/>
              </w:rPr>
            </w:pPr>
            <w:r>
              <w:rPr>
                <w:noProof/>
                <w:sz w:val="20"/>
              </w:rPr>
              <w:t>Assegurar que as estatísticas relativas aos re</w:t>
            </w:r>
            <w:r>
              <w:rPr>
                <w:noProof/>
                <w:sz w:val="20"/>
              </w:rPr>
              <w:t>síduos são compatíveis com as orientações do Eurostat. Fornecer, em tempo útil, dados relativos à gestão dos resíduos e melhorar a respetiva coerência.</w:t>
            </w:r>
          </w:p>
        </w:tc>
        <w:tc>
          <w:tcPr>
            <w:tcW w:w="2357" w:type="dxa"/>
            <w:shd w:val="clear" w:color="auto" w:fill="auto"/>
            <w:vAlign w:val="center"/>
          </w:tcPr>
          <w:p w:rsidR="005706A3" w:rsidRDefault="00502587">
            <w:pPr>
              <w:pStyle w:val="Text1"/>
              <w:ind w:left="0"/>
              <w:rPr>
                <w:noProof/>
                <w:sz w:val="20"/>
              </w:rPr>
            </w:pPr>
            <w:r>
              <w:rPr>
                <w:noProof/>
                <w:sz w:val="20"/>
              </w:rPr>
              <w:t>CZ, IE e SI</w:t>
            </w:r>
          </w:p>
        </w:tc>
      </w:tr>
      <w:tr w:rsidR="005706A3">
        <w:tc>
          <w:tcPr>
            <w:tcW w:w="9468" w:type="dxa"/>
            <w:gridSpan w:val="2"/>
            <w:shd w:val="clear" w:color="auto" w:fill="C6D9F1" w:themeFill="text2" w:themeFillTint="33"/>
            <w:vAlign w:val="center"/>
          </w:tcPr>
          <w:p w:rsidR="005706A3" w:rsidRDefault="00502587">
            <w:pPr>
              <w:pStyle w:val="Text1"/>
              <w:pageBreakBefore/>
              <w:spacing w:after="0"/>
              <w:ind w:left="0"/>
              <w:rPr>
                <w:b/>
                <w:noProof/>
                <w:sz w:val="20"/>
              </w:rPr>
            </w:pPr>
            <w:bookmarkStart w:id="2" w:name="_Toc433296160"/>
            <w:bookmarkStart w:id="3" w:name="_Toc439678149"/>
            <w:r>
              <w:rPr>
                <w:b/>
                <w:noProof/>
                <w:sz w:val="20"/>
              </w:rPr>
              <w:t>Natureza e biodiversidade</w:t>
            </w:r>
            <w:bookmarkEnd w:id="2"/>
            <w:bookmarkEnd w:id="3"/>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Concluir o processo de designação de sítios Natura 2000, </w:t>
            </w:r>
            <w:r>
              <w:rPr>
                <w:noProof/>
                <w:sz w:val="20"/>
              </w:rPr>
              <w:t>nomeadamente na componente marinha, e/ou estabelecer objetivos de conservação bem definidos e as medidas de conservação necessárias para todos os sítios Natura 2000, idealmente no âmbito dos planos de gestão dos sítios ou instrumentos equivalentes.</w:t>
            </w:r>
          </w:p>
        </w:tc>
        <w:tc>
          <w:tcPr>
            <w:tcW w:w="2357" w:type="dxa"/>
            <w:shd w:val="clear" w:color="auto" w:fill="auto"/>
            <w:vAlign w:val="center"/>
          </w:tcPr>
          <w:p w:rsidR="005706A3" w:rsidRDefault="00502587">
            <w:pPr>
              <w:pStyle w:val="Text1"/>
              <w:ind w:left="0"/>
              <w:rPr>
                <w:noProof/>
                <w:sz w:val="20"/>
              </w:rPr>
            </w:pPr>
            <w:r>
              <w:rPr>
                <w:noProof/>
                <w:sz w:val="20"/>
              </w:rPr>
              <w:t>AT, BE,</w:t>
            </w:r>
            <w:r>
              <w:rPr>
                <w:noProof/>
                <w:sz w:val="20"/>
              </w:rPr>
              <w:t xml:space="preserve"> BG, CY, CZ, DE, DK, EE, EL, ES, FI, HR, HU, IE, IT, LT, LV, MT, NL, PL, PT, RO, SE, SI, SK e UK</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Assegurar que os planos de gestão Natura 2000 estão a ser devidamente aplicados, com capacidade administrativa e financiamento suficientes. </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BG, EE, EL, ES, F</w:t>
            </w:r>
            <w:r>
              <w:rPr>
                <w:noProof/>
                <w:sz w:val="20"/>
                <w:lang w:val="es-ES"/>
              </w:rPr>
              <w:t xml:space="preserve">R, HR, HU, IE, IT, LT, LU, MT, RO, SI e SK </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Desenvolver e promover abordagens de aplicação inteligentes e racionalizadas, em especial no que diz respeito a procedimentos adequados de avaliação e de autorização de atividades com impactos sobre certas espéc</w:t>
            </w:r>
            <w:r>
              <w:rPr>
                <w:noProof/>
                <w:sz w:val="20"/>
              </w:rPr>
              <w:t xml:space="preserve">ies, assegurando a disponibilidade dos conhecimentos e dados necessários e reforçando a comunicação com as partes interessadas. </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BG, CY, EE, EL, HU, IT, LT, PT, RO e SI</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Fazer cumprir adequadamente as proibições de caça e/ou captura de espécies de aves </w:t>
            </w:r>
            <w:r>
              <w:rPr>
                <w:noProof/>
                <w:sz w:val="20"/>
              </w:rPr>
              <w:t>protegidas.</w:t>
            </w:r>
          </w:p>
        </w:tc>
        <w:tc>
          <w:tcPr>
            <w:tcW w:w="2357" w:type="dxa"/>
            <w:shd w:val="clear" w:color="auto" w:fill="auto"/>
            <w:vAlign w:val="center"/>
          </w:tcPr>
          <w:p w:rsidR="005706A3" w:rsidRDefault="00502587">
            <w:pPr>
              <w:pStyle w:val="Text1"/>
              <w:ind w:left="0"/>
              <w:rPr>
                <w:noProof/>
                <w:sz w:val="20"/>
              </w:rPr>
            </w:pPr>
            <w:r>
              <w:rPr>
                <w:noProof/>
                <w:sz w:val="20"/>
              </w:rPr>
              <w:t>CY, ES, IT, MT</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Melhorar a integração das questões relacionadas com a biodiversidade noutras políticas (em especial na agricultura, pescas, planeamento urbano e de infraestruturas e turismo sustentável) e promover uma melhor comunicação entre o</w:t>
            </w:r>
            <w:r>
              <w:rPr>
                <w:noProof/>
                <w:sz w:val="20"/>
              </w:rPr>
              <w:t>s intervenientes. Se for o caso, evitar uma maior fragmentação dos habitats e adotar medidas para restabelecer a conectividade.</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CZ, DE, DK, EL, ES, FI, FR, HR, LU, NL, PT e SK</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Melhorar os incentivos para que os silvicultores e os agricultores protejam </w:t>
            </w:r>
            <w:r>
              <w:rPr>
                <w:noProof/>
                <w:sz w:val="20"/>
              </w:rPr>
              <w:t>melhor os habitats em florestas e prados. Assegurar a gestão sustentável das florestas e promover a utilização eficiente da biomassa.</w:t>
            </w:r>
          </w:p>
        </w:tc>
        <w:tc>
          <w:tcPr>
            <w:tcW w:w="2357" w:type="dxa"/>
            <w:shd w:val="clear" w:color="auto" w:fill="auto"/>
            <w:vAlign w:val="center"/>
          </w:tcPr>
          <w:p w:rsidR="005706A3" w:rsidRDefault="00502587">
            <w:pPr>
              <w:pStyle w:val="Text1"/>
              <w:ind w:left="0"/>
              <w:rPr>
                <w:noProof/>
                <w:sz w:val="20"/>
                <w:lang w:val="it-IT"/>
              </w:rPr>
            </w:pPr>
            <w:r>
              <w:rPr>
                <w:noProof/>
                <w:sz w:val="20"/>
                <w:lang w:val="it-IT"/>
              </w:rPr>
              <w:t>FI, LT, LV, PL, SE e SK</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Continuar a apoiar os trabalhos em curso no âmbito de uma parceria sustentável para a proteção da</w:t>
            </w:r>
            <w:r>
              <w:rPr>
                <w:noProof/>
                <w:sz w:val="20"/>
              </w:rPr>
              <w:t xml:space="preserve"> biodiversidade, o desenvolvimento sustentável e as medidas de mitigação e adaptação às alterações climáticas em algumas das regiões ultraperiféricas e nos países e territórios ultramarinos.</w:t>
            </w:r>
          </w:p>
        </w:tc>
        <w:tc>
          <w:tcPr>
            <w:tcW w:w="2357" w:type="dxa"/>
            <w:shd w:val="clear" w:color="auto" w:fill="auto"/>
            <w:vAlign w:val="center"/>
          </w:tcPr>
          <w:p w:rsidR="005706A3" w:rsidRDefault="00502587">
            <w:pPr>
              <w:pStyle w:val="Text1"/>
              <w:ind w:left="0"/>
              <w:rPr>
                <w:noProof/>
                <w:sz w:val="20"/>
              </w:rPr>
            </w:pPr>
            <w:r>
              <w:rPr>
                <w:noProof/>
                <w:sz w:val="20"/>
              </w:rPr>
              <w:t>FR e UK</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Continuar a apoiar o mapeamento e a avaliação dos ecossi</w:t>
            </w:r>
            <w:r>
              <w:rPr>
                <w:noProof/>
                <w:sz w:val="20"/>
              </w:rPr>
              <w:t>stemas e dos seus serviços, bem como a análise e a criação de sistemas de contabilização do capital natural.</w:t>
            </w:r>
          </w:p>
        </w:tc>
        <w:tc>
          <w:tcPr>
            <w:tcW w:w="2357" w:type="dxa"/>
            <w:shd w:val="clear" w:color="auto" w:fill="auto"/>
            <w:vAlign w:val="center"/>
          </w:tcPr>
          <w:p w:rsidR="005706A3" w:rsidRDefault="00502587">
            <w:pPr>
              <w:pStyle w:val="Text1"/>
              <w:ind w:left="0"/>
              <w:rPr>
                <w:noProof/>
                <w:sz w:val="20"/>
              </w:rPr>
            </w:pPr>
            <w:r>
              <w:rPr>
                <w:noProof/>
                <w:sz w:val="20"/>
              </w:rPr>
              <w:t>AT, BE, CZ, DK, EE, HU, PT, SE e SK</w:t>
            </w:r>
          </w:p>
        </w:tc>
      </w:tr>
      <w:tr w:rsidR="005706A3">
        <w:tc>
          <w:tcPr>
            <w:tcW w:w="9468" w:type="dxa"/>
            <w:gridSpan w:val="2"/>
            <w:shd w:val="clear" w:color="auto" w:fill="B8CCE4" w:themeFill="accent1" w:themeFillTint="66"/>
            <w:vAlign w:val="center"/>
          </w:tcPr>
          <w:p w:rsidR="005706A3" w:rsidRDefault="00502587">
            <w:pPr>
              <w:pStyle w:val="Text1"/>
              <w:spacing w:after="0"/>
              <w:ind w:left="0"/>
              <w:rPr>
                <w:b/>
                <w:noProof/>
                <w:sz w:val="20"/>
              </w:rPr>
            </w:pPr>
            <w:r>
              <w:rPr>
                <w:b/>
                <w:noProof/>
                <w:sz w:val="20"/>
              </w:rPr>
              <w:t>Espécies exóticas invasoras</w:t>
            </w:r>
          </w:p>
        </w:tc>
      </w:tr>
      <w:tr w:rsidR="005706A3" w:rsidRPr="00502587">
        <w:tc>
          <w:tcPr>
            <w:tcW w:w="7111" w:type="dxa"/>
            <w:shd w:val="clear" w:color="auto" w:fill="auto"/>
            <w:vAlign w:val="center"/>
          </w:tcPr>
          <w:p w:rsidR="005706A3" w:rsidRDefault="00502587">
            <w:pPr>
              <w:pStyle w:val="Text1"/>
              <w:numPr>
                <w:ilvl w:val="0"/>
                <w:numId w:val="2"/>
              </w:numPr>
              <w:rPr>
                <w:noProof/>
                <w:sz w:val="20"/>
              </w:rPr>
            </w:pPr>
            <w:r>
              <w:rPr>
                <w:noProof/>
                <w:sz w:val="20"/>
              </w:rPr>
              <w:t>Adotar legislação nacional para dar cumprimento às obrigações impostas pelo regul</w:t>
            </w:r>
            <w:r>
              <w:rPr>
                <w:noProof/>
                <w:sz w:val="20"/>
              </w:rPr>
              <w:t xml:space="preserve">amento relativo às espécies exóticas invasoras e notificar a Comissão a este respeito. Fornecer os dados adequados. </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AT, BE, CZ, EL, IE, PT, RO, SE, SK e UK</w:t>
            </w:r>
          </w:p>
        </w:tc>
      </w:tr>
      <w:tr w:rsidR="005706A3" w:rsidRPr="00502587">
        <w:trPr>
          <w:trHeight w:val="978"/>
        </w:trPr>
        <w:tc>
          <w:tcPr>
            <w:tcW w:w="7111" w:type="dxa"/>
            <w:shd w:val="clear" w:color="auto" w:fill="auto"/>
            <w:vAlign w:val="center"/>
          </w:tcPr>
          <w:p w:rsidR="005706A3" w:rsidRDefault="00502587">
            <w:pPr>
              <w:pStyle w:val="Text1"/>
              <w:numPr>
                <w:ilvl w:val="0"/>
                <w:numId w:val="2"/>
              </w:numPr>
              <w:rPr>
                <w:noProof/>
                <w:sz w:val="20"/>
              </w:rPr>
            </w:pPr>
            <w:r>
              <w:rPr>
                <w:noProof/>
                <w:sz w:val="20"/>
              </w:rPr>
              <w:t>Notificar a lista de espécies exóticas invasoras e/ou as medidas de erradicação previstas no país.</w:t>
            </w:r>
            <w:r>
              <w:rPr>
                <w:noProof/>
                <w:sz w:val="20"/>
              </w:rPr>
              <w:t xml:space="preserve"> Introduzir medidas sempre que estas não existam. Se for o caso, investigar a aparente falta de dados e procurar formas de melhorar o sistema de vigilância.</w:t>
            </w:r>
          </w:p>
        </w:tc>
        <w:tc>
          <w:tcPr>
            <w:tcW w:w="2357" w:type="dxa"/>
            <w:shd w:val="clear" w:color="auto" w:fill="auto"/>
            <w:vAlign w:val="center"/>
          </w:tcPr>
          <w:p w:rsidR="005706A3" w:rsidRDefault="00502587">
            <w:pPr>
              <w:pStyle w:val="Text1"/>
              <w:spacing w:after="0"/>
              <w:ind w:left="0"/>
              <w:rPr>
                <w:noProof/>
                <w:sz w:val="20"/>
                <w:lang w:val="es-ES"/>
              </w:rPr>
            </w:pPr>
            <w:r>
              <w:rPr>
                <w:noProof/>
                <w:sz w:val="20"/>
                <w:lang w:val="es-ES"/>
              </w:rPr>
              <w:t>CZ, DE, DK, EL, ES, FR, HU e PT</w:t>
            </w:r>
          </w:p>
        </w:tc>
      </w:tr>
      <w:tr w:rsidR="005706A3">
        <w:trPr>
          <w:cantSplit/>
        </w:trPr>
        <w:tc>
          <w:tcPr>
            <w:tcW w:w="9468" w:type="dxa"/>
            <w:gridSpan w:val="2"/>
            <w:shd w:val="clear" w:color="auto" w:fill="C6D9F1" w:themeFill="text2" w:themeFillTint="33"/>
            <w:vAlign w:val="center"/>
          </w:tcPr>
          <w:p w:rsidR="005706A3" w:rsidRDefault="00502587">
            <w:pPr>
              <w:pStyle w:val="Text1"/>
              <w:keepLines/>
              <w:spacing w:after="0"/>
              <w:ind w:left="0"/>
              <w:rPr>
                <w:b/>
                <w:noProof/>
                <w:sz w:val="20"/>
              </w:rPr>
            </w:pPr>
            <w:r>
              <w:rPr>
                <w:b/>
                <w:noProof/>
                <w:sz w:val="20"/>
              </w:rPr>
              <w:t>Proteção marinha</w:t>
            </w:r>
            <w:r>
              <w:rPr>
                <w:b/>
                <w:noProof/>
                <w:sz w:val="20"/>
                <w:vertAlign w:val="superscript"/>
              </w:rPr>
              <w:footnoteReference w:id="3"/>
            </w:r>
          </w:p>
        </w:tc>
      </w:tr>
      <w:tr w:rsidR="005706A3" w:rsidRPr="00502587">
        <w:tc>
          <w:tcPr>
            <w:tcW w:w="7111" w:type="dxa"/>
            <w:vAlign w:val="center"/>
          </w:tcPr>
          <w:p w:rsidR="005706A3" w:rsidRDefault="00502587">
            <w:pPr>
              <w:pStyle w:val="ListParagraph"/>
              <w:keepLines/>
              <w:widowControl w:val="0"/>
              <w:numPr>
                <w:ilvl w:val="0"/>
                <w:numId w:val="2"/>
              </w:numPr>
              <w:rPr>
                <w:noProof/>
                <w:sz w:val="20"/>
              </w:rPr>
            </w:pPr>
            <w:r>
              <w:rPr>
                <w:noProof/>
                <w:sz w:val="20"/>
              </w:rPr>
              <w:t>Assegurar a comunicação atempada dos diferentes</w:t>
            </w:r>
            <w:r>
              <w:rPr>
                <w:noProof/>
                <w:sz w:val="20"/>
              </w:rPr>
              <w:t xml:space="preserve"> elementos da Diretiva-Quadro Estratégia Marinha que farão parte das futuras avaliações da Comissão.</w:t>
            </w:r>
          </w:p>
        </w:tc>
        <w:tc>
          <w:tcPr>
            <w:tcW w:w="2357" w:type="dxa"/>
            <w:shd w:val="clear" w:color="auto" w:fill="auto"/>
            <w:vAlign w:val="center"/>
          </w:tcPr>
          <w:p w:rsidR="005706A3" w:rsidRDefault="00502587">
            <w:pPr>
              <w:pStyle w:val="Text1"/>
              <w:keepLines/>
              <w:ind w:left="0"/>
              <w:rPr>
                <w:noProof/>
                <w:sz w:val="20"/>
                <w:lang w:val="es-ES"/>
              </w:rPr>
            </w:pPr>
            <w:r>
              <w:rPr>
                <w:noProof/>
                <w:sz w:val="20"/>
                <w:lang w:val="es-ES"/>
              </w:rPr>
              <w:t>DK, EE, EL, HR, LT, RO e SI</w:t>
            </w:r>
          </w:p>
        </w:tc>
      </w:tr>
      <w:tr w:rsidR="005706A3">
        <w:trPr>
          <w:cantSplit/>
        </w:trPr>
        <w:tc>
          <w:tcPr>
            <w:tcW w:w="7111" w:type="dxa"/>
            <w:vAlign w:val="center"/>
          </w:tcPr>
          <w:p w:rsidR="005706A3" w:rsidRDefault="00502587">
            <w:pPr>
              <w:pStyle w:val="ListParagraph"/>
              <w:keepLines/>
              <w:widowControl w:val="0"/>
              <w:numPr>
                <w:ilvl w:val="0"/>
                <w:numId w:val="2"/>
              </w:numPr>
              <w:rPr>
                <w:noProof/>
                <w:sz w:val="20"/>
              </w:rPr>
            </w:pPr>
            <w:r>
              <w:rPr>
                <w:noProof/>
                <w:sz w:val="20"/>
              </w:rPr>
              <w:t>Definir o «bom estado ambiental» e/ou determinar os prazos para a sua consecução. Definir objetivos sempre que estes não exist</w:t>
            </w:r>
            <w:r>
              <w:rPr>
                <w:noProof/>
                <w:sz w:val="20"/>
              </w:rPr>
              <w:t>am.</w:t>
            </w:r>
          </w:p>
        </w:tc>
        <w:tc>
          <w:tcPr>
            <w:tcW w:w="2357" w:type="dxa"/>
            <w:shd w:val="clear" w:color="auto" w:fill="auto"/>
            <w:vAlign w:val="center"/>
          </w:tcPr>
          <w:p w:rsidR="005706A3" w:rsidRDefault="00502587">
            <w:pPr>
              <w:pStyle w:val="Text1"/>
              <w:keepLines/>
              <w:ind w:left="0"/>
              <w:rPr>
                <w:noProof/>
                <w:sz w:val="20"/>
              </w:rPr>
            </w:pPr>
            <w:r>
              <w:rPr>
                <w:noProof/>
                <w:sz w:val="20"/>
              </w:rPr>
              <w:t>BG, DE, ES, FI, IE, IT, LV, MT, NL, PL, PT, SE e UK</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 xml:space="preserve">Fornecer mais informações sobre as medidas para alcançar o bom estado ambiental, estabelecer mais medidas com impacto direto sobre as pressões e quantificar o resultado em termos da redução prevista </w:t>
            </w:r>
            <w:r>
              <w:rPr>
                <w:noProof/>
                <w:sz w:val="20"/>
              </w:rPr>
              <w:t>da pressão.</w:t>
            </w:r>
          </w:p>
        </w:tc>
        <w:tc>
          <w:tcPr>
            <w:tcW w:w="2357" w:type="dxa"/>
            <w:shd w:val="clear" w:color="auto" w:fill="auto"/>
            <w:vAlign w:val="center"/>
          </w:tcPr>
          <w:p w:rsidR="005706A3" w:rsidRDefault="00502587">
            <w:pPr>
              <w:pStyle w:val="Text1"/>
              <w:ind w:left="0"/>
              <w:rPr>
                <w:noProof/>
                <w:sz w:val="20"/>
              </w:rPr>
            </w:pPr>
            <w:r>
              <w:rPr>
                <w:noProof/>
                <w:sz w:val="20"/>
              </w:rPr>
              <w:t>BE, BG, CY, DE, ES, FR, IE, IT, LV, MT, NL, PL, PT, SE e UK</w:t>
            </w:r>
          </w:p>
        </w:tc>
      </w:tr>
      <w:tr w:rsidR="005706A3" w:rsidRPr="00502587">
        <w:tc>
          <w:tcPr>
            <w:tcW w:w="7111" w:type="dxa"/>
            <w:vAlign w:val="center"/>
          </w:tcPr>
          <w:p w:rsidR="005706A3" w:rsidRDefault="00502587">
            <w:pPr>
              <w:pStyle w:val="ListParagraph"/>
              <w:numPr>
                <w:ilvl w:val="0"/>
                <w:numId w:val="2"/>
              </w:numPr>
              <w:rPr>
                <w:noProof/>
                <w:sz w:val="20"/>
              </w:rPr>
            </w:pPr>
            <w:r>
              <w:rPr>
                <w:noProof/>
                <w:sz w:val="20"/>
              </w:rPr>
              <w:t>Assegurar a cooperação regional com os Estados-Membros que partilham a mesma região ou sub-região marinha para corrigir as pressões predominantes.</w:t>
            </w:r>
          </w:p>
        </w:tc>
        <w:tc>
          <w:tcPr>
            <w:tcW w:w="2357" w:type="dxa"/>
            <w:shd w:val="clear" w:color="auto" w:fill="auto"/>
            <w:vAlign w:val="center"/>
          </w:tcPr>
          <w:p w:rsidR="005706A3" w:rsidRDefault="00502587">
            <w:pPr>
              <w:spacing w:after="120"/>
              <w:jc w:val="both"/>
              <w:rPr>
                <w:noProof/>
                <w:lang w:val="es-ES"/>
              </w:rPr>
            </w:pPr>
            <w:r>
              <w:rPr>
                <w:noProof/>
                <w:lang w:val="es-ES"/>
              </w:rPr>
              <w:t xml:space="preserve">BE, BG, CY, DE, ES, FI, IE, IT, LV, </w:t>
            </w:r>
            <w:r>
              <w:rPr>
                <w:noProof/>
                <w:lang w:val="es-ES"/>
              </w:rPr>
              <w:t>PT, SE e UK</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Assegurar que o programa de monitorização dos Estados-Membros é aplicado sem demora e comunicado no prazo estabelecido.</w:t>
            </w:r>
          </w:p>
        </w:tc>
        <w:tc>
          <w:tcPr>
            <w:tcW w:w="2357" w:type="dxa"/>
            <w:shd w:val="clear" w:color="auto" w:fill="auto"/>
            <w:vAlign w:val="center"/>
          </w:tcPr>
          <w:p w:rsidR="005706A3" w:rsidRDefault="00502587">
            <w:pPr>
              <w:pStyle w:val="Text1"/>
              <w:ind w:left="0"/>
              <w:rPr>
                <w:noProof/>
                <w:sz w:val="20"/>
              </w:rPr>
            </w:pPr>
            <w:r>
              <w:rPr>
                <w:noProof/>
                <w:sz w:val="20"/>
              </w:rPr>
              <w:t>BG, CY, ES, FR, IE, IT, LV, MT, PL e UK</w:t>
            </w:r>
          </w:p>
        </w:tc>
      </w:tr>
      <w:tr w:rsidR="005706A3">
        <w:tc>
          <w:tcPr>
            <w:tcW w:w="9468" w:type="dxa"/>
            <w:gridSpan w:val="2"/>
            <w:shd w:val="clear" w:color="auto" w:fill="C6D9F1" w:themeFill="text2" w:themeFillTint="33"/>
            <w:vAlign w:val="center"/>
          </w:tcPr>
          <w:p w:rsidR="005706A3" w:rsidRDefault="00502587">
            <w:pPr>
              <w:pStyle w:val="Text1"/>
              <w:spacing w:after="0"/>
              <w:ind w:left="0"/>
              <w:rPr>
                <w:noProof/>
                <w:sz w:val="20"/>
              </w:rPr>
            </w:pPr>
            <w:bookmarkStart w:id="4" w:name="_Toc433296166"/>
            <w:bookmarkStart w:id="5" w:name="_Toc439678155"/>
            <w:r>
              <w:rPr>
                <w:b/>
                <w:noProof/>
                <w:sz w:val="20"/>
              </w:rPr>
              <w:t>Qualidade do ar</w:t>
            </w:r>
            <w:bookmarkEnd w:id="4"/>
            <w:bookmarkEnd w:id="5"/>
          </w:p>
        </w:tc>
      </w:tr>
      <w:tr w:rsidR="005706A3">
        <w:tc>
          <w:tcPr>
            <w:tcW w:w="7111" w:type="dxa"/>
            <w:tcBorders>
              <w:right w:val="single" w:sz="4" w:space="0" w:color="auto"/>
            </w:tcBorders>
            <w:vAlign w:val="center"/>
          </w:tcPr>
          <w:p w:rsidR="005706A3" w:rsidRDefault="00502587">
            <w:pPr>
              <w:pStyle w:val="ListParagraph"/>
              <w:numPr>
                <w:ilvl w:val="0"/>
                <w:numId w:val="2"/>
              </w:numPr>
              <w:rPr>
                <w:rFonts w:eastAsia="Times New Roman"/>
                <w:noProof/>
                <w:sz w:val="20"/>
              </w:rPr>
            </w:pPr>
            <w:r>
              <w:rPr>
                <w:noProof/>
                <w:sz w:val="20"/>
              </w:rPr>
              <w:t xml:space="preserve">Ao desenvolver programas nacionais de controlo da poluição </w:t>
            </w:r>
            <w:r>
              <w:rPr>
                <w:noProof/>
                <w:sz w:val="20"/>
              </w:rPr>
              <w:t>atmosférica, tomar medidas para reduzir as principais fontes de emissão e respeitar todas as normas de qualidade do ar.</w:t>
            </w:r>
          </w:p>
        </w:tc>
        <w:tc>
          <w:tcPr>
            <w:tcW w:w="2357" w:type="dxa"/>
            <w:tcBorders>
              <w:left w:val="single" w:sz="4" w:space="0" w:color="auto"/>
            </w:tcBorders>
            <w:shd w:val="clear" w:color="auto" w:fill="auto"/>
            <w:vAlign w:val="center"/>
          </w:tcPr>
          <w:p w:rsidR="005706A3" w:rsidRDefault="00502587">
            <w:pPr>
              <w:pStyle w:val="Text1"/>
              <w:ind w:left="0"/>
              <w:jc w:val="left"/>
              <w:rPr>
                <w:noProof/>
                <w:sz w:val="20"/>
              </w:rPr>
            </w:pPr>
            <w:r>
              <w:rPr>
                <w:noProof/>
                <w:sz w:val="20"/>
              </w:rPr>
              <w:t>Todos os Estados</w:t>
            </w:r>
            <w:r>
              <w:rPr>
                <w:noProof/>
                <w:sz w:val="20"/>
              </w:rPr>
              <w:noBreakHyphen/>
              <w:t>Membros</w:t>
            </w:r>
          </w:p>
        </w:tc>
      </w:tr>
      <w:tr w:rsidR="005706A3" w:rsidRPr="00502587">
        <w:tc>
          <w:tcPr>
            <w:tcW w:w="7111" w:type="dxa"/>
            <w:tcBorders>
              <w:right w:val="single" w:sz="4" w:space="0" w:color="auto"/>
            </w:tcBorders>
            <w:vAlign w:val="center"/>
          </w:tcPr>
          <w:p w:rsidR="005706A3" w:rsidRDefault="00502587">
            <w:pPr>
              <w:pStyle w:val="ListParagraph"/>
              <w:numPr>
                <w:ilvl w:val="0"/>
                <w:numId w:val="2"/>
              </w:numPr>
              <w:rPr>
                <w:rFonts w:eastAsia="Times New Roman"/>
                <w:noProof/>
                <w:sz w:val="20"/>
              </w:rPr>
            </w:pPr>
            <w:r>
              <w:rPr>
                <w:noProof/>
                <w:sz w:val="20"/>
              </w:rPr>
              <w:t>Acelerar a redução das emissões e das concentrações de partículas em suspensão (PM</w:t>
            </w:r>
            <w:r>
              <w:rPr>
                <w:noProof/>
                <w:sz w:val="20"/>
                <w:vertAlign w:val="subscript"/>
              </w:rPr>
              <w:t>2,5</w:t>
            </w:r>
            <w:r>
              <w:rPr>
                <w:noProof/>
                <w:sz w:val="20"/>
              </w:rPr>
              <w:t xml:space="preserve"> e PM</w:t>
            </w:r>
            <w:r>
              <w:rPr>
                <w:noProof/>
                <w:sz w:val="20"/>
                <w:vertAlign w:val="subscript"/>
              </w:rPr>
              <w:t>10</w:t>
            </w:r>
            <w:r>
              <w:rPr>
                <w:noProof/>
                <w:sz w:val="20"/>
              </w:rPr>
              <w:t>) através da reduç</w:t>
            </w:r>
            <w:r>
              <w:rPr>
                <w:noProof/>
                <w:sz w:val="20"/>
              </w:rPr>
              <w:t>ão das emissões decorrentes da produção de energia e da geração de calor a partir de combustíveis sólidos. Promover o aquecimento urbano eficiente e limpo e áreas construídas energeticamente eficientes.</w:t>
            </w:r>
          </w:p>
        </w:tc>
        <w:tc>
          <w:tcPr>
            <w:tcW w:w="2357" w:type="dxa"/>
            <w:tcBorders>
              <w:left w:val="single" w:sz="4" w:space="0" w:color="auto"/>
            </w:tcBorders>
            <w:shd w:val="clear" w:color="auto" w:fill="auto"/>
            <w:vAlign w:val="center"/>
          </w:tcPr>
          <w:p w:rsidR="005706A3" w:rsidRDefault="00502587">
            <w:pPr>
              <w:spacing w:after="120"/>
              <w:jc w:val="both"/>
              <w:rPr>
                <w:noProof/>
                <w:lang w:val="es-ES"/>
              </w:rPr>
            </w:pPr>
            <w:r>
              <w:rPr>
                <w:noProof/>
                <w:lang w:val="es-ES"/>
              </w:rPr>
              <w:t>AT, BG, CZ, DE, EL, ES, FR, HR, HU, IT, PL, RO, SE, S</w:t>
            </w:r>
            <w:r>
              <w:rPr>
                <w:noProof/>
                <w:lang w:val="es-ES"/>
              </w:rPr>
              <w:t xml:space="preserve">I e SK </w:t>
            </w:r>
          </w:p>
        </w:tc>
      </w:tr>
      <w:tr w:rsidR="005706A3" w:rsidRPr="00502587">
        <w:tc>
          <w:tcPr>
            <w:tcW w:w="7111" w:type="dxa"/>
            <w:tcBorders>
              <w:right w:val="single" w:sz="4" w:space="0" w:color="auto"/>
            </w:tcBorders>
            <w:vAlign w:val="center"/>
          </w:tcPr>
          <w:p w:rsidR="005706A3" w:rsidRDefault="00502587">
            <w:pPr>
              <w:pStyle w:val="ListParagraph"/>
              <w:numPr>
                <w:ilvl w:val="0"/>
                <w:numId w:val="2"/>
              </w:numPr>
              <w:rPr>
                <w:noProof/>
                <w:sz w:val="20"/>
              </w:rPr>
            </w:pPr>
            <w:r>
              <w:rPr>
                <w:noProof/>
                <w:sz w:val="20"/>
              </w:rPr>
              <w:t>Reduzir a utilização de carvão para aquecimento doméstico com vista a limitar as emissões de poluentes atmosféricos, por exemplo com base na iniciativa «Regiões carboníferas em transição».</w:t>
            </w:r>
          </w:p>
        </w:tc>
        <w:tc>
          <w:tcPr>
            <w:tcW w:w="2357" w:type="dxa"/>
            <w:tcBorders>
              <w:left w:val="single" w:sz="4" w:space="0" w:color="auto"/>
            </w:tcBorders>
            <w:shd w:val="clear" w:color="auto" w:fill="auto"/>
            <w:vAlign w:val="center"/>
          </w:tcPr>
          <w:p w:rsidR="005706A3" w:rsidRDefault="00502587">
            <w:pPr>
              <w:spacing w:after="120"/>
              <w:jc w:val="both"/>
              <w:rPr>
                <w:noProof/>
                <w:lang w:val="es-ES"/>
              </w:rPr>
            </w:pPr>
            <w:r>
              <w:rPr>
                <w:noProof/>
                <w:lang w:val="es-ES"/>
              </w:rPr>
              <w:t>BG, CZ, EL, HU, PL, RO e SK</w:t>
            </w:r>
          </w:p>
        </w:tc>
      </w:tr>
      <w:tr w:rsidR="005706A3">
        <w:tc>
          <w:tcPr>
            <w:tcW w:w="7111" w:type="dxa"/>
            <w:vAlign w:val="center"/>
          </w:tcPr>
          <w:p w:rsidR="005706A3" w:rsidRDefault="00502587">
            <w:pPr>
              <w:pStyle w:val="ListParagraph"/>
              <w:numPr>
                <w:ilvl w:val="0"/>
                <w:numId w:val="2"/>
              </w:numPr>
              <w:rPr>
                <w:noProof/>
                <w:sz w:val="20"/>
              </w:rPr>
            </w:pPr>
            <w:r>
              <w:rPr>
                <w:noProof/>
                <w:sz w:val="20"/>
              </w:rPr>
              <w:t>Acelerar a redução das emissõ</w:t>
            </w:r>
            <w:r>
              <w:rPr>
                <w:noProof/>
                <w:sz w:val="20"/>
              </w:rPr>
              <w:t>es de óxido de azoto (NO</w:t>
            </w:r>
            <w:r>
              <w:rPr>
                <w:noProof/>
                <w:sz w:val="20"/>
                <w:vertAlign w:val="subscript"/>
              </w:rPr>
              <w:t>x</w:t>
            </w:r>
            <w:r>
              <w:rPr>
                <w:noProof/>
                <w:sz w:val="20"/>
              </w:rPr>
              <w:t>) e das concentrações de dióxido de azoto (NO</w:t>
            </w:r>
            <w:r>
              <w:rPr>
                <w:noProof/>
                <w:sz w:val="20"/>
                <w:vertAlign w:val="subscript"/>
              </w:rPr>
              <w:t>2</w:t>
            </w:r>
            <w:r>
              <w:rPr>
                <w:noProof/>
                <w:sz w:val="20"/>
              </w:rPr>
              <w:t xml:space="preserve">) diminuindo ainda mais as emissões dos transportes, em especial nas zonas urbanas. Tal poderá exigir restrições proporcionais e específicas de acesso dos veículos a zonas urbanas e/ou </w:t>
            </w:r>
            <w:r>
              <w:rPr>
                <w:noProof/>
                <w:sz w:val="20"/>
              </w:rPr>
              <w:t>incentivos fiscais.</w:t>
            </w:r>
          </w:p>
        </w:tc>
        <w:tc>
          <w:tcPr>
            <w:tcW w:w="2357" w:type="dxa"/>
            <w:shd w:val="clear" w:color="auto" w:fill="auto"/>
            <w:vAlign w:val="center"/>
          </w:tcPr>
          <w:p w:rsidR="005706A3" w:rsidRDefault="00502587">
            <w:pPr>
              <w:spacing w:after="120"/>
              <w:jc w:val="both"/>
              <w:rPr>
                <w:noProof/>
              </w:rPr>
            </w:pPr>
            <w:r>
              <w:rPr>
                <w:noProof/>
              </w:rPr>
              <w:t xml:space="preserve">AT, BE, BG, CZ, DE, EL, ES, FR, HR, HU, IE, IT, LU, NL, PL, PT, RO e UK </w:t>
            </w:r>
          </w:p>
        </w:tc>
      </w:tr>
      <w:tr w:rsidR="005706A3">
        <w:tc>
          <w:tcPr>
            <w:tcW w:w="7111" w:type="dxa"/>
            <w:vAlign w:val="center"/>
          </w:tcPr>
          <w:p w:rsidR="005706A3" w:rsidRDefault="00502587">
            <w:pPr>
              <w:pStyle w:val="ListParagraph"/>
              <w:numPr>
                <w:ilvl w:val="0"/>
                <w:numId w:val="2"/>
              </w:numPr>
              <w:rPr>
                <w:noProof/>
                <w:sz w:val="20"/>
              </w:rPr>
            </w:pPr>
            <w:r>
              <w:rPr>
                <w:noProof/>
                <w:sz w:val="20"/>
              </w:rPr>
              <w:t>Reduzir as emissões de amoníaco (NH</w:t>
            </w:r>
            <w:r>
              <w:rPr>
                <w:noProof/>
                <w:sz w:val="20"/>
                <w:vertAlign w:val="subscript"/>
              </w:rPr>
              <w:t>3</w:t>
            </w:r>
            <w:r>
              <w:rPr>
                <w:noProof/>
                <w:sz w:val="20"/>
              </w:rPr>
              <w:t>), por exemplo mediante a introdução ou ampliação da utilização de técnicas agrícolas com baixas emissões.</w:t>
            </w:r>
          </w:p>
        </w:tc>
        <w:tc>
          <w:tcPr>
            <w:tcW w:w="2357" w:type="dxa"/>
            <w:shd w:val="clear" w:color="auto" w:fill="auto"/>
            <w:vAlign w:val="center"/>
          </w:tcPr>
          <w:p w:rsidR="005706A3" w:rsidRDefault="00502587">
            <w:pPr>
              <w:spacing w:after="120"/>
              <w:jc w:val="both"/>
              <w:rPr>
                <w:noProof/>
              </w:rPr>
            </w:pPr>
            <w:r>
              <w:rPr>
                <w:noProof/>
              </w:rPr>
              <w:t xml:space="preserve">AT, DE, DK, ES, HR e IE </w:t>
            </w:r>
          </w:p>
        </w:tc>
      </w:tr>
      <w:tr w:rsidR="005706A3">
        <w:tc>
          <w:tcPr>
            <w:tcW w:w="7111" w:type="dxa"/>
            <w:vAlign w:val="center"/>
          </w:tcPr>
          <w:p w:rsidR="005706A3" w:rsidRDefault="00502587">
            <w:pPr>
              <w:pStyle w:val="ListParagraph"/>
              <w:numPr>
                <w:ilvl w:val="0"/>
                <w:numId w:val="2"/>
              </w:numPr>
              <w:tabs>
                <w:tab w:val="left" w:pos="1392"/>
              </w:tabs>
              <w:rPr>
                <w:noProof/>
                <w:sz w:val="20"/>
              </w:rPr>
            </w:pPr>
            <w:r>
              <w:rPr>
                <w:noProof/>
                <w:sz w:val="20"/>
              </w:rPr>
              <w:t>Reduzir as emissões de compostos orgânicos voláteis não metânicos (se aplicável, para dar cumprimento aos valores-limites nacionais de emissões atualmente aplicáveis).</w:t>
            </w:r>
          </w:p>
        </w:tc>
        <w:tc>
          <w:tcPr>
            <w:tcW w:w="2357" w:type="dxa"/>
            <w:shd w:val="clear" w:color="auto" w:fill="auto"/>
            <w:vAlign w:val="center"/>
          </w:tcPr>
          <w:p w:rsidR="005706A3" w:rsidRDefault="00502587">
            <w:pPr>
              <w:spacing w:after="120"/>
              <w:jc w:val="both"/>
              <w:rPr>
                <w:noProof/>
              </w:rPr>
            </w:pPr>
            <w:r>
              <w:rPr>
                <w:noProof/>
              </w:rPr>
              <w:t>DE, HU, IE e LU</w:t>
            </w:r>
          </w:p>
        </w:tc>
      </w:tr>
      <w:tr w:rsidR="005706A3">
        <w:tc>
          <w:tcPr>
            <w:tcW w:w="7111" w:type="dxa"/>
            <w:vAlign w:val="center"/>
          </w:tcPr>
          <w:p w:rsidR="005706A3" w:rsidRDefault="00502587">
            <w:pPr>
              <w:pStyle w:val="ListParagraph"/>
              <w:keepNext/>
              <w:keepLines/>
              <w:numPr>
                <w:ilvl w:val="0"/>
                <w:numId w:val="2"/>
              </w:numPr>
              <w:tabs>
                <w:tab w:val="left" w:pos="4744"/>
              </w:tabs>
              <w:rPr>
                <w:noProof/>
                <w:sz w:val="20"/>
              </w:rPr>
            </w:pPr>
            <w:r>
              <w:rPr>
                <w:noProof/>
                <w:sz w:val="20"/>
              </w:rPr>
              <w:t xml:space="preserve">Atualizar e melhorar a rede de monitorização </w:t>
            </w:r>
            <w:r>
              <w:rPr>
                <w:noProof/>
                <w:sz w:val="20"/>
              </w:rPr>
              <w:t>da qualidade do ar e assegurar a comunicação atempada dos dados sobre a qualidade do ar.</w:t>
            </w:r>
          </w:p>
        </w:tc>
        <w:tc>
          <w:tcPr>
            <w:tcW w:w="2357" w:type="dxa"/>
            <w:shd w:val="clear" w:color="auto" w:fill="auto"/>
            <w:vAlign w:val="center"/>
          </w:tcPr>
          <w:p w:rsidR="005706A3" w:rsidRDefault="00502587">
            <w:pPr>
              <w:keepNext/>
              <w:keepLines/>
              <w:spacing w:after="120"/>
              <w:jc w:val="both"/>
              <w:rPr>
                <w:noProof/>
              </w:rPr>
            </w:pPr>
            <w:r>
              <w:rPr>
                <w:noProof/>
              </w:rPr>
              <w:t>BE, BG, EL, IT, LU, RO, SI e SK</w:t>
            </w:r>
          </w:p>
        </w:tc>
      </w:tr>
      <w:tr w:rsidR="005706A3">
        <w:tc>
          <w:tcPr>
            <w:tcW w:w="9468" w:type="dxa"/>
            <w:gridSpan w:val="2"/>
            <w:shd w:val="clear" w:color="auto" w:fill="C6D9F1" w:themeFill="text2" w:themeFillTint="33"/>
            <w:vAlign w:val="center"/>
          </w:tcPr>
          <w:p w:rsidR="005706A3" w:rsidRDefault="00502587">
            <w:pPr>
              <w:pStyle w:val="Text1"/>
              <w:keepLines/>
              <w:spacing w:after="0"/>
              <w:ind w:left="0"/>
              <w:rPr>
                <w:noProof/>
              </w:rPr>
            </w:pPr>
            <w:r>
              <w:rPr>
                <w:b/>
                <w:noProof/>
                <w:sz w:val="20"/>
              </w:rPr>
              <w:t>Emissões industriais</w:t>
            </w:r>
          </w:p>
        </w:tc>
      </w:tr>
      <w:tr w:rsidR="005706A3">
        <w:tc>
          <w:tcPr>
            <w:tcW w:w="7111" w:type="dxa"/>
            <w:shd w:val="clear" w:color="auto" w:fill="auto"/>
            <w:vAlign w:val="center"/>
          </w:tcPr>
          <w:p w:rsidR="005706A3" w:rsidRDefault="00502587">
            <w:pPr>
              <w:pStyle w:val="ListParagraph"/>
              <w:keepLines/>
              <w:numPr>
                <w:ilvl w:val="0"/>
                <w:numId w:val="2"/>
              </w:numPr>
              <w:tabs>
                <w:tab w:val="left" w:pos="4744"/>
              </w:tabs>
              <w:rPr>
                <w:noProof/>
                <w:sz w:val="20"/>
              </w:rPr>
            </w:pPr>
            <w:r>
              <w:rPr>
                <w:noProof/>
                <w:sz w:val="20"/>
              </w:rPr>
              <w:t xml:space="preserve">Reapreciar as licenças e reforçar o controlo e/ou a execução, em conformidade com as conclusões recentemente adotadas sobre as MTD. </w:t>
            </w:r>
          </w:p>
        </w:tc>
        <w:tc>
          <w:tcPr>
            <w:tcW w:w="2357" w:type="dxa"/>
            <w:shd w:val="clear" w:color="auto" w:fill="auto"/>
            <w:vAlign w:val="center"/>
          </w:tcPr>
          <w:p w:rsidR="005706A3" w:rsidRDefault="00502587">
            <w:pPr>
              <w:pStyle w:val="Text1"/>
              <w:ind w:left="0"/>
              <w:jc w:val="left"/>
              <w:rPr>
                <w:noProof/>
                <w:sz w:val="20"/>
              </w:rPr>
            </w:pPr>
            <w:r>
              <w:rPr>
                <w:noProof/>
                <w:sz w:val="20"/>
              </w:rPr>
              <w:t>Todos os Estados</w:t>
            </w:r>
            <w:r>
              <w:rPr>
                <w:noProof/>
                <w:sz w:val="20"/>
              </w:rPr>
              <w:noBreakHyphen/>
              <w:t>Membros</w:t>
            </w:r>
          </w:p>
        </w:tc>
      </w:tr>
      <w:tr w:rsidR="005706A3" w:rsidRPr="00502587">
        <w:trPr>
          <w:trHeight w:val="902"/>
        </w:trPr>
        <w:tc>
          <w:tcPr>
            <w:tcW w:w="7111" w:type="dxa"/>
            <w:shd w:val="clear" w:color="auto" w:fill="auto"/>
            <w:vAlign w:val="center"/>
          </w:tcPr>
          <w:p w:rsidR="005706A3" w:rsidRDefault="00502587">
            <w:pPr>
              <w:pStyle w:val="ListParagraph"/>
              <w:keepLines/>
              <w:numPr>
                <w:ilvl w:val="0"/>
                <w:numId w:val="2"/>
              </w:numPr>
              <w:tabs>
                <w:tab w:val="left" w:pos="4744"/>
              </w:tabs>
              <w:rPr>
                <w:noProof/>
                <w:sz w:val="20"/>
              </w:rPr>
            </w:pPr>
            <w:r>
              <w:rPr>
                <w:noProof/>
                <w:sz w:val="20"/>
              </w:rPr>
              <w:t xml:space="preserve">Abordar a poluição atmosférica e/ou da água associada às emissões decorrentes de instalações num </w:t>
            </w:r>
            <w:r>
              <w:rPr>
                <w:noProof/>
                <w:sz w:val="20"/>
              </w:rPr>
              <w:t>ou mais dos seguintes setores: energia, criação intensiva de aves de capoeira e suínos, atividades de tratamento de resíduos, instalações de produção de ferro e aço.</w:t>
            </w:r>
          </w:p>
        </w:tc>
        <w:tc>
          <w:tcPr>
            <w:tcW w:w="2357" w:type="dxa"/>
            <w:shd w:val="clear" w:color="auto" w:fill="auto"/>
            <w:vAlign w:val="center"/>
          </w:tcPr>
          <w:p w:rsidR="005706A3" w:rsidRDefault="00502587">
            <w:pPr>
              <w:keepLines/>
              <w:spacing w:after="120"/>
              <w:jc w:val="both"/>
              <w:rPr>
                <w:noProof/>
                <w:lang w:val="es-ES"/>
              </w:rPr>
            </w:pPr>
            <w:r>
              <w:rPr>
                <w:noProof/>
                <w:lang w:val="es-ES"/>
              </w:rPr>
              <w:t>BG, CY, CZ, DE, EE, EL, ES, FI, HR, HU, IE, IT, LU, LV, NL, PT, RO, SK e UK</w:t>
            </w:r>
          </w:p>
        </w:tc>
      </w:tr>
      <w:tr w:rsidR="005706A3">
        <w:trPr>
          <w:cantSplit/>
        </w:trPr>
        <w:tc>
          <w:tcPr>
            <w:tcW w:w="9468" w:type="dxa"/>
            <w:gridSpan w:val="2"/>
            <w:shd w:val="clear" w:color="auto" w:fill="C6D9F1" w:themeFill="text2" w:themeFillTint="33"/>
            <w:vAlign w:val="center"/>
          </w:tcPr>
          <w:p w:rsidR="005706A3" w:rsidRDefault="00502587">
            <w:pPr>
              <w:pStyle w:val="Text1"/>
              <w:spacing w:after="0"/>
              <w:ind w:left="0"/>
              <w:rPr>
                <w:noProof/>
                <w:sz w:val="20"/>
              </w:rPr>
            </w:pPr>
            <w:r>
              <w:rPr>
                <w:b/>
                <w:noProof/>
                <w:sz w:val="20"/>
              </w:rPr>
              <w:t>Ruído</w:t>
            </w:r>
          </w:p>
        </w:tc>
      </w:tr>
      <w:tr w:rsidR="005706A3" w:rsidRPr="00502587">
        <w:trPr>
          <w:cantSplit/>
          <w:trHeight w:val="402"/>
        </w:trPr>
        <w:tc>
          <w:tcPr>
            <w:tcW w:w="7111" w:type="dxa"/>
            <w:vAlign w:val="center"/>
          </w:tcPr>
          <w:p w:rsidR="005706A3" w:rsidRDefault="00502587">
            <w:pPr>
              <w:pStyle w:val="Text1"/>
              <w:numPr>
                <w:ilvl w:val="0"/>
                <w:numId w:val="2"/>
              </w:numPr>
              <w:rPr>
                <w:noProof/>
                <w:sz w:val="20"/>
              </w:rPr>
            </w:pPr>
            <w:r>
              <w:rPr>
                <w:noProof/>
                <w:sz w:val="20"/>
              </w:rPr>
              <w:t>Concluir os planos de ação sobre o ruído em falta.</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BE, CY, CZ, DE, EL, ES, FR, IT, PL, PT, RO, SE e SK</w:t>
            </w:r>
          </w:p>
        </w:tc>
      </w:tr>
      <w:tr w:rsidR="005706A3">
        <w:trPr>
          <w:cantSplit/>
          <w:trHeight w:val="287"/>
        </w:trPr>
        <w:tc>
          <w:tcPr>
            <w:tcW w:w="7111" w:type="dxa"/>
            <w:vAlign w:val="center"/>
          </w:tcPr>
          <w:p w:rsidR="005706A3" w:rsidRDefault="00502587">
            <w:pPr>
              <w:pStyle w:val="Text1"/>
              <w:numPr>
                <w:ilvl w:val="0"/>
                <w:numId w:val="2"/>
              </w:numPr>
              <w:rPr>
                <w:noProof/>
                <w:sz w:val="20"/>
              </w:rPr>
            </w:pPr>
            <w:r>
              <w:rPr>
                <w:noProof/>
                <w:sz w:val="20"/>
              </w:rPr>
              <w:t>Concluir os mapas de ruído em falta.</w:t>
            </w:r>
          </w:p>
        </w:tc>
        <w:tc>
          <w:tcPr>
            <w:tcW w:w="2357" w:type="dxa"/>
            <w:shd w:val="clear" w:color="auto" w:fill="auto"/>
            <w:vAlign w:val="center"/>
          </w:tcPr>
          <w:p w:rsidR="005706A3" w:rsidRDefault="00502587">
            <w:pPr>
              <w:pStyle w:val="Text1"/>
              <w:ind w:left="0"/>
              <w:rPr>
                <w:noProof/>
                <w:sz w:val="20"/>
              </w:rPr>
            </w:pPr>
            <w:r>
              <w:rPr>
                <w:noProof/>
                <w:sz w:val="20"/>
              </w:rPr>
              <w:t>BE, EL, ES, IT, PT, RO e SK</w:t>
            </w:r>
          </w:p>
        </w:tc>
      </w:tr>
      <w:tr w:rsidR="005706A3">
        <w:tc>
          <w:tcPr>
            <w:tcW w:w="9468" w:type="dxa"/>
            <w:gridSpan w:val="2"/>
            <w:shd w:val="clear" w:color="auto" w:fill="C6D9F1" w:themeFill="text2" w:themeFillTint="33"/>
            <w:vAlign w:val="center"/>
          </w:tcPr>
          <w:p w:rsidR="005706A3" w:rsidRDefault="00502587">
            <w:pPr>
              <w:pStyle w:val="Text1"/>
              <w:spacing w:after="0"/>
              <w:ind w:left="0"/>
              <w:rPr>
                <w:b/>
                <w:noProof/>
                <w:sz w:val="20"/>
              </w:rPr>
            </w:pPr>
            <w:r>
              <w:rPr>
                <w:b/>
                <w:noProof/>
                <w:sz w:val="20"/>
              </w:rPr>
              <w:t xml:space="preserve">Gestão e qualidade da água </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Melhorar a monitorização e avaliação de todos os elementos de qualidade pertinentes em todas as categorias de água, de acordo com a Diretiva-Quadro da Água. </w:t>
            </w:r>
          </w:p>
        </w:tc>
        <w:tc>
          <w:tcPr>
            <w:tcW w:w="2357" w:type="dxa"/>
            <w:shd w:val="clear" w:color="auto" w:fill="auto"/>
            <w:vAlign w:val="center"/>
          </w:tcPr>
          <w:p w:rsidR="005706A3" w:rsidRDefault="00502587">
            <w:pPr>
              <w:pStyle w:val="Text1"/>
              <w:ind w:left="0"/>
              <w:rPr>
                <w:noProof/>
                <w:sz w:val="20"/>
              </w:rPr>
            </w:pPr>
            <w:r>
              <w:rPr>
                <w:noProof/>
                <w:sz w:val="20"/>
              </w:rPr>
              <w:t>BG, CY, CZ, DE, DK, EE, FI, HR, HU, LV, MT, PL, PT, RO, SE, SI e UK</w:t>
            </w:r>
          </w:p>
        </w:tc>
      </w:tr>
      <w:tr w:rsidR="005706A3" w:rsidRPr="00502587">
        <w:tc>
          <w:tcPr>
            <w:tcW w:w="7111" w:type="dxa"/>
            <w:vAlign w:val="center"/>
          </w:tcPr>
          <w:p w:rsidR="005706A3" w:rsidRDefault="00502587">
            <w:pPr>
              <w:pStyle w:val="Text1"/>
              <w:numPr>
                <w:ilvl w:val="0"/>
                <w:numId w:val="2"/>
              </w:numPr>
              <w:rPr>
                <w:noProof/>
                <w:sz w:val="20"/>
              </w:rPr>
            </w:pPr>
            <w:r>
              <w:rPr>
                <w:noProof/>
                <w:sz w:val="20"/>
              </w:rPr>
              <w:t xml:space="preserve">Assegurar a adoção atempada </w:t>
            </w:r>
            <w:r>
              <w:rPr>
                <w:noProof/>
                <w:sz w:val="20"/>
              </w:rPr>
              <w:t>e/ou a comunicação dos planos de gestão de bacia hidrográfica, em conformidade com a Diretiva-Quadro da Água.</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AT, EL, ES, IE e LT</w:t>
            </w:r>
          </w:p>
        </w:tc>
      </w:tr>
      <w:tr w:rsidR="005706A3">
        <w:tc>
          <w:tcPr>
            <w:tcW w:w="7111" w:type="dxa"/>
            <w:vAlign w:val="center"/>
          </w:tcPr>
          <w:p w:rsidR="005706A3" w:rsidRDefault="00502587">
            <w:pPr>
              <w:pStyle w:val="Text1"/>
              <w:numPr>
                <w:ilvl w:val="0"/>
                <w:numId w:val="2"/>
              </w:numPr>
              <w:rPr>
                <w:noProof/>
                <w:sz w:val="20"/>
              </w:rPr>
            </w:pPr>
            <w:r>
              <w:rPr>
                <w:noProof/>
                <w:sz w:val="20"/>
              </w:rPr>
              <w:t>Assegurar a adoção atempada dos planos de gestão dos riscos de inundações, de acordo com a Diretiva Inundações.</w:t>
            </w:r>
          </w:p>
        </w:tc>
        <w:tc>
          <w:tcPr>
            <w:tcW w:w="2357" w:type="dxa"/>
            <w:shd w:val="clear" w:color="auto" w:fill="auto"/>
            <w:vAlign w:val="center"/>
          </w:tcPr>
          <w:p w:rsidR="005706A3" w:rsidRDefault="00502587">
            <w:pPr>
              <w:pStyle w:val="Text1"/>
              <w:ind w:left="0"/>
              <w:rPr>
                <w:noProof/>
                <w:sz w:val="20"/>
              </w:rPr>
            </w:pPr>
            <w:r>
              <w:rPr>
                <w:noProof/>
                <w:sz w:val="20"/>
              </w:rPr>
              <w:t>EL, ES e IE</w:t>
            </w:r>
          </w:p>
        </w:tc>
      </w:tr>
      <w:tr w:rsidR="005706A3">
        <w:tc>
          <w:tcPr>
            <w:tcW w:w="7111" w:type="dxa"/>
            <w:vAlign w:val="center"/>
          </w:tcPr>
          <w:p w:rsidR="005706A3" w:rsidRDefault="00502587">
            <w:pPr>
              <w:pStyle w:val="Text1"/>
              <w:numPr>
                <w:ilvl w:val="0"/>
                <w:numId w:val="2"/>
              </w:numPr>
              <w:rPr>
                <w:noProof/>
                <w:sz w:val="20"/>
              </w:rPr>
            </w:pPr>
            <w:r>
              <w:rPr>
                <w:noProof/>
                <w:sz w:val="20"/>
              </w:rPr>
              <w:t xml:space="preserve">Assegurar que a poluição da água pela agricultura, entre outros setores, é abordada de forma eficaz ao abrigo da Diretiva Nitratos e/ou da Diretiva-Quadro da Água. </w:t>
            </w:r>
          </w:p>
        </w:tc>
        <w:tc>
          <w:tcPr>
            <w:tcW w:w="2357" w:type="dxa"/>
            <w:shd w:val="clear" w:color="auto" w:fill="auto"/>
            <w:vAlign w:val="center"/>
          </w:tcPr>
          <w:p w:rsidR="005706A3" w:rsidRDefault="00502587">
            <w:pPr>
              <w:pStyle w:val="Text1"/>
              <w:ind w:left="0"/>
              <w:rPr>
                <w:noProof/>
                <w:sz w:val="20"/>
              </w:rPr>
            </w:pPr>
            <w:r>
              <w:rPr>
                <w:noProof/>
                <w:sz w:val="20"/>
              </w:rPr>
              <w:t xml:space="preserve">AT, BE, CY, CZ, DE, DK, EE, EL, ES, FI, FR, IT, LT, MT, NL, PL, PT, SE, SI, SK e UK </w:t>
            </w:r>
          </w:p>
        </w:tc>
      </w:tr>
      <w:tr w:rsidR="005706A3">
        <w:tc>
          <w:tcPr>
            <w:tcW w:w="7111" w:type="dxa"/>
            <w:vAlign w:val="center"/>
          </w:tcPr>
          <w:p w:rsidR="005706A3" w:rsidRDefault="00502587">
            <w:pPr>
              <w:pStyle w:val="Text1"/>
              <w:numPr>
                <w:ilvl w:val="0"/>
                <w:numId w:val="2"/>
              </w:numPr>
              <w:rPr>
                <w:noProof/>
                <w:sz w:val="20"/>
              </w:rPr>
            </w:pPr>
            <w:r>
              <w:rPr>
                <w:noProof/>
                <w:sz w:val="20"/>
              </w:rPr>
              <w:t>Adota</w:t>
            </w:r>
            <w:r>
              <w:rPr>
                <w:noProof/>
                <w:sz w:val="20"/>
              </w:rPr>
              <w:t>r medidas adicionais para combater a poluição química (desenvolver uma abordagem mais específica para cada substância ou assegurar que os programas de medidas se baseiam numa avaliação fiável das pressões).</w:t>
            </w:r>
          </w:p>
        </w:tc>
        <w:tc>
          <w:tcPr>
            <w:tcW w:w="2357" w:type="dxa"/>
            <w:shd w:val="clear" w:color="auto" w:fill="auto"/>
            <w:vAlign w:val="center"/>
          </w:tcPr>
          <w:p w:rsidR="005706A3" w:rsidRDefault="00502587">
            <w:pPr>
              <w:pStyle w:val="Text1"/>
              <w:ind w:left="0"/>
              <w:rPr>
                <w:noProof/>
                <w:sz w:val="20"/>
              </w:rPr>
            </w:pPr>
            <w:r>
              <w:rPr>
                <w:noProof/>
                <w:sz w:val="20"/>
              </w:rPr>
              <w:t>BE e NL</w:t>
            </w:r>
          </w:p>
        </w:tc>
      </w:tr>
      <w:tr w:rsidR="005706A3">
        <w:trPr>
          <w:trHeight w:val="761"/>
        </w:trPr>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Adotar medidas adicionais para garantir </w:t>
            </w:r>
            <w:r>
              <w:rPr>
                <w:noProof/>
                <w:sz w:val="20"/>
              </w:rPr>
              <w:t>o bom estado quantitativo/caudais ecológicos, de acordo com a Diretiva-Quadro da Água (nomeadamente garantir que as captações de água estão sujeitas a licenças, medições e controlos eficazes).</w:t>
            </w:r>
          </w:p>
        </w:tc>
        <w:tc>
          <w:tcPr>
            <w:tcW w:w="2357" w:type="dxa"/>
            <w:shd w:val="clear" w:color="auto" w:fill="auto"/>
            <w:vAlign w:val="center"/>
          </w:tcPr>
          <w:p w:rsidR="005706A3" w:rsidRDefault="00502587">
            <w:pPr>
              <w:pStyle w:val="Text1"/>
              <w:ind w:left="0"/>
              <w:rPr>
                <w:noProof/>
                <w:sz w:val="20"/>
              </w:rPr>
            </w:pPr>
            <w:r>
              <w:rPr>
                <w:noProof/>
                <w:sz w:val="20"/>
              </w:rPr>
              <w:t xml:space="preserve">CY, ES, HU, IT, MT, PL e PT </w:t>
            </w:r>
          </w:p>
        </w:tc>
      </w:tr>
      <w:tr w:rsidR="005706A3">
        <w:trPr>
          <w:trHeight w:val="360"/>
        </w:trPr>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Tomar medidas que assegurem a </w:t>
            </w:r>
            <w:r>
              <w:rPr>
                <w:noProof/>
                <w:sz w:val="20"/>
              </w:rPr>
              <w:t>aplicação de medidas de correção das pressões hidromorfológicas.</w:t>
            </w:r>
          </w:p>
        </w:tc>
        <w:tc>
          <w:tcPr>
            <w:tcW w:w="2357" w:type="dxa"/>
            <w:shd w:val="clear" w:color="auto" w:fill="auto"/>
            <w:vAlign w:val="center"/>
          </w:tcPr>
          <w:p w:rsidR="005706A3" w:rsidRDefault="00502587">
            <w:pPr>
              <w:pStyle w:val="Text1"/>
              <w:ind w:left="0"/>
              <w:rPr>
                <w:noProof/>
                <w:sz w:val="20"/>
              </w:rPr>
            </w:pPr>
            <w:r>
              <w:rPr>
                <w:noProof/>
                <w:sz w:val="20"/>
              </w:rPr>
              <w:t>SI</w:t>
            </w:r>
          </w:p>
        </w:tc>
      </w:tr>
      <w:tr w:rsidR="005706A3">
        <w:trPr>
          <w:trHeight w:val="180"/>
        </w:trPr>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Tomar medidas de harmonização das diferentes abordagens regionais, em especial para definir a importância das pressões no que diz respeito à Diretiva-Quadro da Água. </w:t>
            </w:r>
          </w:p>
        </w:tc>
        <w:tc>
          <w:tcPr>
            <w:tcW w:w="2357" w:type="dxa"/>
            <w:shd w:val="clear" w:color="auto" w:fill="auto"/>
            <w:vAlign w:val="center"/>
          </w:tcPr>
          <w:p w:rsidR="005706A3" w:rsidRDefault="00502587">
            <w:pPr>
              <w:pStyle w:val="Text1"/>
              <w:ind w:left="0"/>
              <w:rPr>
                <w:noProof/>
                <w:sz w:val="20"/>
              </w:rPr>
            </w:pPr>
            <w:r>
              <w:rPr>
                <w:noProof/>
                <w:sz w:val="20"/>
              </w:rPr>
              <w:t>IT</w:t>
            </w:r>
          </w:p>
        </w:tc>
      </w:tr>
      <w:tr w:rsidR="005706A3">
        <w:trPr>
          <w:trHeight w:val="662"/>
        </w:trPr>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Assegurar que os projetos que podem, eventualmente, afetar o estado das massas de água são cuidadosamente avaliados e justificados em conformidade com os requisitos da Diretiva-Quadro da Água (artigo 4.º, n.º 7). </w:t>
            </w:r>
          </w:p>
        </w:tc>
        <w:tc>
          <w:tcPr>
            <w:tcW w:w="2357" w:type="dxa"/>
            <w:shd w:val="clear" w:color="auto" w:fill="auto"/>
            <w:vAlign w:val="center"/>
          </w:tcPr>
          <w:p w:rsidR="005706A3" w:rsidRDefault="00502587">
            <w:pPr>
              <w:pStyle w:val="Text1"/>
              <w:ind w:left="0"/>
              <w:rPr>
                <w:noProof/>
                <w:sz w:val="20"/>
              </w:rPr>
            </w:pPr>
            <w:r>
              <w:rPr>
                <w:noProof/>
                <w:sz w:val="20"/>
              </w:rPr>
              <w:t>BG, LU, PL, PT, RO, SE e SK</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Tomar medidas</w:t>
            </w:r>
            <w:r>
              <w:rPr>
                <w:noProof/>
                <w:sz w:val="20"/>
              </w:rPr>
              <w:t xml:space="preserve"> para intensificar a participação pública e a intervenção ativa das partes interessadas (planos de gestão de bacia hidrográfica/planos de gestão dos riscos de inundações).</w:t>
            </w:r>
          </w:p>
        </w:tc>
        <w:tc>
          <w:tcPr>
            <w:tcW w:w="2357" w:type="dxa"/>
            <w:shd w:val="clear" w:color="auto" w:fill="auto"/>
            <w:vAlign w:val="center"/>
          </w:tcPr>
          <w:p w:rsidR="005706A3" w:rsidRDefault="00502587">
            <w:pPr>
              <w:pStyle w:val="Text1"/>
              <w:ind w:left="0"/>
              <w:rPr>
                <w:noProof/>
                <w:sz w:val="20"/>
              </w:rPr>
            </w:pPr>
            <w:r>
              <w:rPr>
                <w:noProof/>
                <w:sz w:val="20"/>
              </w:rPr>
              <w:t>NL, SI, SK e UK</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Tomar medidas para clarificar o método de priorização de medidas, nomeadamente a utilização da análise custo-benefício em relação aos planos de gestão dos riscos de inundações. </w:t>
            </w:r>
          </w:p>
        </w:tc>
        <w:tc>
          <w:tcPr>
            <w:tcW w:w="2357" w:type="dxa"/>
            <w:shd w:val="clear" w:color="auto" w:fill="auto"/>
            <w:vAlign w:val="center"/>
          </w:tcPr>
          <w:p w:rsidR="005706A3" w:rsidRDefault="00502587">
            <w:pPr>
              <w:pStyle w:val="Text1"/>
              <w:ind w:left="0"/>
              <w:rPr>
                <w:noProof/>
                <w:sz w:val="20"/>
                <w:lang w:val="es-ES"/>
              </w:rPr>
            </w:pPr>
            <w:r>
              <w:rPr>
                <w:noProof/>
                <w:sz w:val="20"/>
                <w:lang w:val="es-ES"/>
              </w:rPr>
              <w:t>AT, BE, BG, CZ, DE, EE, ES, HR, HU, LU, LV e MT</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Tomar medidas para estudar se</w:t>
            </w:r>
            <w:r>
              <w:rPr>
                <w:noProof/>
                <w:sz w:val="20"/>
              </w:rPr>
              <w:t xml:space="preserve">mpre a possibilidade de aplicar soluções baseadas na natureza, que contribuam para reduzir os riscos de inundação. </w:t>
            </w:r>
          </w:p>
        </w:tc>
        <w:tc>
          <w:tcPr>
            <w:tcW w:w="2357" w:type="dxa"/>
            <w:shd w:val="clear" w:color="auto" w:fill="auto"/>
            <w:vAlign w:val="center"/>
          </w:tcPr>
          <w:p w:rsidR="005706A3" w:rsidRDefault="00502587">
            <w:pPr>
              <w:pStyle w:val="Text1"/>
              <w:ind w:left="0"/>
              <w:rPr>
                <w:noProof/>
                <w:sz w:val="20"/>
              </w:rPr>
            </w:pPr>
            <w:r>
              <w:rPr>
                <w:noProof/>
                <w:sz w:val="20"/>
              </w:rPr>
              <w:t>CY</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Tomar medidas para dar ênfase às considerações sobre alterações climáticas nos planos de gestão dos riscos de inundações, nomeadamente a</w:t>
            </w:r>
            <w:r>
              <w:rPr>
                <w:noProof/>
                <w:sz w:val="20"/>
              </w:rPr>
              <w:t xml:space="preserve"> coordenação com a estratégia nacional de adaptação às alterações climáticas. </w:t>
            </w:r>
            <w:r>
              <w:rPr>
                <w:noProof/>
              </w:rPr>
              <w:t xml:space="preserve"> </w:t>
            </w:r>
          </w:p>
        </w:tc>
        <w:tc>
          <w:tcPr>
            <w:tcW w:w="2357" w:type="dxa"/>
            <w:shd w:val="clear" w:color="auto" w:fill="auto"/>
            <w:vAlign w:val="center"/>
          </w:tcPr>
          <w:p w:rsidR="005706A3" w:rsidRDefault="00502587">
            <w:pPr>
              <w:pStyle w:val="Text1"/>
              <w:ind w:left="0"/>
              <w:rPr>
                <w:noProof/>
                <w:sz w:val="20"/>
              </w:rPr>
            </w:pPr>
            <w:r>
              <w:rPr>
                <w:noProof/>
                <w:sz w:val="20"/>
              </w:rPr>
              <w:t xml:space="preserve">FI, IT e LV </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Tomar medidas para integrar melhor as sucessivas etapas do ciclo de gestão do risco de inundação no plano de gestão dos riscos de inundações.</w:t>
            </w:r>
          </w:p>
        </w:tc>
        <w:tc>
          <w:tcPr>
            <w:tcW w:w="2357" w:type="dxa"/>
            <w:shd w:val="clear" w:color="auto" w:fill="auto"/>
            <w:vAlign w:val="center"/>
          </w:tcPr>
          <w:p w:rsidR="005706A3" w:rsidRDefault="00502587">
            <w:pPr>
              <w:pStyle w:val="Text1"/>
              <w:ind w:left="0"/>
              <w:rPr>
                <w:noProof/>
                <w:sz w:val="20"/>
              </w:rPr>
            </w:pPr>
            <w:r>
              <w:rPr>
                <w:noProof/>
                <w:sz w:val="20"/>
              </w:rPr>
              <w:t>DK, FR, PL, PT e RO</w:t>
            </w:r>
          </w:p>
        </w:tc>
      </w:tr>
      <w:tr w:rsidR="005706A3">
        <w:tc>
          <w:tcPr>
            <w:tcW w:w="7111" w:type="dxa"/>
            <w:shd w:val="clear" w:color="auto" w:fill="auto"/>
            <w:vAlign w:val="center"/>
          </w:tcPr>
          <w:p w:rsidR="005706A3" w:rsidRDefault="00502587">
            <w:pPr>
              <w:pStyle w:val="Text1"/>
              <w:numPr>
                <w:ilvl w:val="0"/>
                <w:numId w:val="2"/>
              </w:numPr>
              <w:rPr>
                <w:noProof/>
                <w:sz w:val="20"/>
              </w:rPr>
            </w:pPr>
            <w:r>
              <w:rPr>
                <w:noProof/>
                <w:sz w:val="20"/>
              </w:rPr>
              <w:t xml:space="preserve">Tomar medidas para intensificar a coordenação entre os planos de gestão dos riscos de inundações e os planos de gestão de bacia hidrográfica. </w:t>
            </w:r>
          </w:p>
        </w:tc>
        <w:tc>
          <w:tcPr>
            <w:tcW w:w="2357" w:type="dxa"/>
            <w:shd w:val="clear" w:color="auto" w:fill="auto"/>
            <w:vAlign w:val="center"/>
          </w:tcPr>
          <w:p w:rsidR="005706A3" w:rsidRDefault="00502587">
            <w:pPr>
              <w:pStyle w:val="Text1"/>
              <w:ind w:left="0"/>
              <w:rPr>
                <w:noProof/>
                <w:sz w:val="20"/>
              </w:rPr>
            </w:pPr>
            <w:r>
              <w:rPr>
                <w:noProof/>
                <w:sz w:val="20"/>
              </w:rPr>
              <w:t>SE</w:t>
            </w:r>
          </w:p>
        </w:tc>
      </w:tr>
      <w:tr w:rsidR="005706A3">
        <w:trPr>
          <w:trHeight w:val="180"/>
        </w:trPr>
        <w:tc>
          <w:tcPr>
            <w:tcW w:w="7111" w:type="dxa"/>
            <w:shd w:val="clear" w:color="auto" w:fill="auto"/>
            <w:vAlign w:val="center"/>
          </w:tcPr>
          <w:p w:rsidR="005706A3" w:rsidRDefault="00502587">
            <w:pPr>
              <w:pStyle w:val="Text1"/>
              <w:numPr>
                <w:ilvl w:val="0"/>
                <w:numId w:val="2"/>
              </w:numPr>
              <w:rPr>
                <w:noProof/>
                <w:sz w:val="20"/>
              </w:rPr>
            </w:pPr>
            <w:r>
              <w:rPr>
                <w:noProof/>
                <w:sz w:val="20"/>
              </w:rPr>
              <w:t>Tomar medidas para clarificar o estatuto jurídico do plano de gestão dos riscos de inundações.</w:t>
            </w:r>
          </w:p>
        </w:tc>
        <w:tc>
          <w:tcPr>
            <w:tcW w:w="2357" w:type="dxa"/>
            <w:shd w:val="clear" w:color="auto" w:fill="auto"/>
            <w:vAlign w:val="center"/>
          </w:tcPr>
          <w:p w:rsidR="005706A3" w:rsidRDefault="00502587">
            <w:pPr>
              <w:pStyle w:val="Text1"/>
              <w:ind w:left="0"/>
              <w:rPr>
                <w:noProof/>
                <w:sz w:val="20"/>
              </w:rPr>
            </w:pPr>
            <w:r>
              <w:rPr>
                <w:noProof/>
                <w:sz w:val="20"/>
              </w:rPr>
              <w:t>LT</w:t>
            </w:r>
          </w:p>
        </w:tc>
      </w:tr>
      <w:tr w:rsidR="005706A3">
        <w:trPr>
          <w:trHeight w:val="180"/>
        </w:trPr>
        <w:tc>
          <w:tcPr>
            <w:tcW w:w="7111" w:type="dxa"/>
            <w:shd w:val="clear" w:color="auto" w:fill="auto"/>
            <w:vAlign w:val="center"/>
          </w:tcPr>
          <w:p w:rsidR="005706A3" w:rsidRDefault="00502587">
            <w:pPr>
              <w:pStyle w:val="Text1"/>
              <w:numPr>
                <w:ilvl w:val="0"/>
                <w:numId w:val="2"/>
              </w:numPr>
              <w:rPr>
                <w:noProof/>
                <w:sz w:val="20"/>
              </w:rPr>
            </w:pPr>
            <w:r>
              <w:rPr>
                <w:noProof/>
                <w:sz w:val="20"/>
              </w:rPr>
              <w:t>Concluir,</w:t>
            </w:r>
            <w:r>
              <w:rPr>
                <w:noProof/>
                <w:sz w:val="20"/>
              </w:rPr>
              <w:t xml:space="preserve"> com caráter de urgência, a aplicação da Diretiva Tratamento de Águas Residuais Urbanas em todas as aglomerações. Continuar a dar prioridade aos investimentos em estações de tratamento de águas residuais urbanas, nomeadamente mediante uma utilização eficie</w:t>
            </w:r>
            <w:r>
              <w:rPr>
                <w:noProof/>
                <w:sz w:val="20"/>
              </w:rPr>
              <w:t>nte dos fundos da UE, se disponíveis.</w:t>
            </w:r>
          </w:p>
        </w:tc>
        <w:tc>
          <w:tcPr>
            <w:tcW w:w="2357" w:type="dxa"/>
            <w:shd w:val="clear" w:color="auto" w:fill="auto"/>
            <w:vAlign w:val="center"/>
          </w:tcPr>
          <w:p w:rsidR="005706A3" w:rsidRDefault="00502587">
            <w:pPr>
              <w:pStyle w:val="Text1"/>
              <w:ind w:left="0"/>
              <w:rPr>
                <w:noProof/>
                <w:sz w:val="20"/>
              </w:rPr>
            </w:pPr>
            <w:r>
              <w:rPr>
                <w:noProof/>
                <w:sz w:val="20"/>
              </w:rPr>
              <w:t>BG, CY, EL, ES, FR, HR, HU, IE, IT, LT, LU, LV, MT, PL, PT, RO, SI e SK</w:t>
            </w:r>
          </w:p>
        </w:tc>
      </w:tr>
      <w:tr w:rsidR="005706A3">
        <w:trPr>
          <w:cantSplit/>
        </w:trPr>
        <w:tc>
          <w:tcPr>
            <w:tcW w:w="9468" w:type="dxa"/>
            <w:gridSpan w:val="2"/>
            <w:shd w:val="clear" w:color="auto" w:fill="C6D9F1" w:themeFill="text2" w:themeFillTint="33"/>
            <w:vAlign w:val="center"/>
          </w:tcPr>
          <w:p w:rsidR="005706A3" w:rsidRDefault="00502587">
            <w:pPr>
              <w:pStyle w:val="Text1"/>
              <w:keepLines/>
              <w:spacing w:after="0"/>
              <w:ind w:left="0"/>
              <w:rPr>
                <w:b/>
                <w:noProof/>
                <w:sz w:val="20"/>
              </w:rPr>
            </w:pPr>
            <w:r>
              <w:rPr>
                <w:b/>
                <w:noProof/>
                <w:sz w:val="20"/>
              </w:rPr>
              <w:t>Financiamento e investimentos a favor do ambiente</w:t>
            </w:r>
          </w:p>
        </w:tc>
      </w:tr>
      <w:tr w:rsidR="005706A3">
        <w:trPr>
          <w:cantSplit/>
        </w:trPr>
        <w:tc>
          <w:tcPr>
            <w:tcW w:w="7111" w:type="dxa"/>
            <w:vAlign w:val="center"/>
          </w:tcPr>
          <w:p w:rsidR="005706A3" w:rsidRDefault="00502587">
            <w:pPr>
              <w:pStyle w:val="Text1"/>
              <w:keepLines/>
              <w:numPr>
                <w:ilvl w:val="0"/>
                <w:numId w:val="2"/>
              </w:numPr>
              <w:rPr>
                <w:noProof/>
                <w:sz w:val="20"/>
              </w:rPr>
            </w:pPr>
            <w:r>
              <w:rPr>
                <w:noProof/>
                <w:sz w:val="20"/>
              </w:rPr>
              <w:t xml:space="preserve">Assegurar o financiamento adequado, nomeadamente através da mobilização de investimentos e da </w:t>
            </w:r>
            <w:r>
              <w:rPr>
                <w:noProof/>
                <w:sz w:val="20"/>
              </w:rPr>
              <w:t xml:space="preserve">utilização de fundos da UE, para enfrentar os principais desafios ambientais que afetam o país. </w:t>
            </w:r>
          </w:p>
        </w:tc>
        <w:tc>
          <w:tcPr>
            <w:tcW w:w="2357" w:type="dxa"/>
            <w:vAlign w:val="center"/>
          </w:tcPr>
          <w:p w:rsidR="005706A3" w:rsidRDefault="00502587">
            <w:pPr>
              <w:pStyle w:val="Text1"/>
              <w:ind w:left="0"/>
              <w:rPr>
                <w:noProof/>
                <w:sz w:val="20"/>
                <w:lang w:val="es-ES"/>
              </w:rPr>
            </w:pPr>
            <w:r>
              <w:rPr>
                <w:noProof/>
                <w:sz w:val="20"/>
                <w:lang w:val="es-ES"/>
              </w:rPr>
              <w:t>AT, BG, DE, EL, ES, FI, FR, HU, IT, LU, NL, PT, RO, SE, SI e UK</w:t>
            </w:r>
          </w:p>
        </w:tc>
      </w:tr>
      <w:tr w:rsidR="005706A3">
        <w:trPr>
          <w:cantSplit/>
        </w:trPr>
        <w:tc>
          <w:tcPr>
            <w:tcW w:w="7111" w:type="dxa"/>
            <w:vAlign w:val="center"/>
          </w:tcPr>
          <w:p w:rsidR="005706A3" w:rsidRDefault="00502587">
            <w:pPr>
              <w:pStyle w:val="Text1"/>
              <w:keepLines/>
              <w:numPr>
                <w:ilvl w:val="0"/>
                <w:numId w:val="2"/>
              </w:numPr>
              <w:rPr>
                <w:noProof/>
                <w:sz w:val="20"/>
              </w:rPr>
            </w:pPr>
            <w:r>
              <w:rPr>
                <w:noProof/>
                <w:sz w:val="20"/>
              </w:rPr>
              <w:t xml:space="preserve">Reforçar a capacidade de utilização, de forma eficaz, de fundos da UE a favor do ambiente, </w:t>
            </w:r>
            <w:r>
              <w:rPr>
                <w:noProof/>
                <w:sz w:val="20"/>
              </w:rPr>
              <w:t>nomeadamente na previsão do próximo período de financiamento 2021-2027.</w:t>
            </w:r>
          </w:p>
        </w:tc>
        <w:tc>
          <w:tcPr>
            <w:tcW w:w="2357" w:type="dxa"/>
            <w:vAlign w:val="center"/>
          </w:tcPr>
          <w:p w:rsidR="005706A3" w:rsidRDefault="00502587">
            <w:pPr>
              <w:pStyle w:val="Text1"/>
              <w:ind w:left="0"/>
              <w:rPr>
                <w:noProof/>
                <w:sz w:val="20"/>
                <w:lang w:val="es-ES"/>
              </w:rPr>
            </w:pPr>
            <w:r>
              <w:rPr>
                <w:noProof/>
                <w:sz w:val="20"/>
                <w:lang w:val="es-ES"/>
              </w:rPr>
              <w:t>CZ, EE, EL, HR, LT, LV, PL, RO e SK</w:t>
            </w:r>
          </w:p>
        </w:tc>
      </w:tr>
      <w:tr w:rsidR="005706A3">
        <w:tc>
          <w:tcPr>
            <w:tcW w:w="9468" w:type="dxa"/>
            <w:gridSpan w:val="2"/>
            <w:shd w:val="clear" w:color="auto" w:fill="C6D9F1" w:themeFill="text2" w:themeFillTint="33"/>
            <w:vAlign w:val="center"/>
          </w:tcPr>
          <w:p w:rsidR="005706A3" w:rsidRDefault="00502587">
            <w:pPr>
              <w:pStyle w:val="Text1"/>
              <w:spacing w:after="0"/>
              <w:ind w:left="0"/>
              <w:rPr>
                <w:noProof/>
                <w:sz w:val="20"/>
              </w:rPr>
            </w:pPr>
            <w:r>
              <w:rPr>
                <w:b/>
                <w:noProof/>
                <w:sz w:val="20"/>
              </w:rPr>
              <w:t>Informação, participação pública e acesso à justiça</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Melhorar o acesso aos serviços e dados geográficos, reforçando os vínculos entre os portais na</w:t>
            </w:r>
            <w:r>
              <w:rPr>
                <w:noProof/>
                <w:sz w:val="20"/>
              </w:rPr>
              <w:t>cionais da INSPIRE, identificar e documentar todos os conjuntos de dados geográficos necessários à aplicação da legislação ambiental e tornar os dados e a documentação, no mínimo, acessíveis «tal como estão» a outras autoridades públicas e ao público, atra</w:t>
            </w:r>
            <w:r>
              <w:rPr>
                <w:noProof/>
                <w:sz w:val="20"/>
              </w:rPr>
              <w:t>vés dos serviços digitais previstos na Diretiva INSPIRE.</w:t>
            </w:r>
          </w:p>
        </w:tc>
        <w:tc>
          <w:tcPr>
            <w:tcW w:w="2357" w:type="dxa"/>
            <w:shd w:val="clear" w:color="auto" w:fill="auto"/>
            <w:vAlign w:val="center"/>
          </w:tcPr>
          <w:p w:rsidR="005706A3" w:rsidRDefault="00502587">
            <w:pPr>
              <w:pStyle w:val="Text1"/>
              <w:ind w:left="0"/>
              <w:jc w:val="left"/>
              <w:rPr>
                <w:noProof/>
                <w:sz w:val="20"/>
              </w:rPr>
            </w:pPr>
            <w:r>
              <w:rPr>
                <w:noProof/>
                <w:sz w:val="20"/>
              </w:rPr>
              <w:t>Todos os Estados</w:t>
            </w:r>
            <w:r>
              <w:rPr>
                <w:noProof/>
                <w:sz w:val="20"/>
              </w:rPr>
              <w:noBreakHyphen/>
              <w:t>Membros</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Facilitar a participação pública na aplicação da legislação ambiental da UE.</w:t>
            </w:r>
          </w:p>
        </w:tc>
        <w:tc>
          <w:tcPr>
            <w:tcW w:w="2357" w:type="dxa"/>
            <w:shd w:val="clear" w:color="auto" w:fill="auto"/>
            <w:vAlign w:val="center"/>
          </w:tcPr>
          <w:p w:rsidR="005706A3" w:rsidRDefault="00502587">
            <w:pPr>
              <w:spacing w:after="120"/>
              <w:jc w:val="both"/>
              <w:rPr>
                <w:noProof/>
                <w:lang w:val="it-IT"/>
              </w:rPr>
            </w:pPr>
            <w:r>
              <w:rPr>
                <w:noProof/>
                <w:lang w:val="it-IT"/>
              </w:rPr>
              <w:t>BE, CZ, HU, LT, PL, RO e SI</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 xml:space="preserve">Assegurar a legitimidade processual para que as ONG ambientais possam apresentar ações judiciais relativamente a questões ambientais, sempre que pertinente, sem enfrentarem custos proibitivos. </w:t>
            </w:r>
          </w:p>
        </w:tc>
        <w:tc>
          <w:tcPr>
            <w:tcW w:w="2357" w:type="dxa"/>
            <w:shd w:val="clear" w:color="auto" w:fill="auto"/>
            <w:vAlign w:val="center"/>
          </w:tcPr>
          <w:p w:rsidR="005706A3" w:rsidRDefault="00502587">
            <w:pPr>
              <w:spacing w:after="120"/>
              <w:jc w:val="both"/>
              <w:rPr>
                <w:noProof/>
              </w:rPr>
            </w:pPr>
            <w:r>
              <w:rPr>
                <w:noProof/>
              </w:rPr>
              <w:t>BG, CY, FI, HR, HU, IE, LT, LU, MT, PL e RO</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Informar melhor o</w:t>
            </w:r>
            <w:r>
              <w:rPr>
                <w:noProof/>
                <w:sz w:val="20"/>
              </w:rPr>
              <w:t xml:space="preserve"> público acerca dos seus direitos de acesso à justiça.</w:t>
            </w:r>
          </w:p>
        </w:tc>
        <w:tc>
          <w:tcPr>
            <w:tcW w:w="2357" w:type="dxa"/>
            <w:shd w:val="clear" w:color="auto" w:fill="auto"/>
            <w:vAlign w:val="center"/>
          </w:tcPr>
          <w:p w:rsidR="005706A3" w:rsidRDefault="00502587">
            <w:pPr>
              <w:spacing w:after="120"/>
              <w:jc w:val="both"/>
              <w:rPr>
                <w:noProof/>
              </w:rPr>
            </w:pPr>
            <w:r>
              <w:rPr>
                <w:noProof/>
              </w:rPr>
              <w:t>AT, BE, CY, EE, EL, ES, FI, FR, HR, IE, IT, LU, LV, MT, NL, PT, RO, SE, SK e UK</w:t>
            </w:r>
          </w:p>
        </w:tc>
      </w:tr>
      <w:tr w:rsidR="005706A3">
        <w:tc>
          <w:tcPr>
            <w:tcW w:w="9468" w:type="dxa"/>
            <w:gridSpan w:val="2"/>
            <w:shd w:val="clear" w:color="auto" w:fill="C6D9F1" w:themeFill="text2" w:themeFillTint="33"/>
            <w:vAlign w:val="center"/>
          </w:tcPr>
          <w:p w:rsidR="005706A3" w:rsidRDefault="00502587">
            <w:pPr>
              <w:pStyle w:val="Text1"/>
              <w:spacing w:after="0"/>
              <w:ind w:left="0"/>
              <w:rPr>
                <w:noProof/>
                <w:sz w:val="20"/>
              </w:rPr>
            </w:pPr>
            <w:r>
              <w:rPr>
                <w:b/>
                <w:noProof/>
                <w:sz w:val="20"/>
              </w:rPr>
              <w:t>Garantia do cumprimento</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Informar melhor o público sobre a promoção e a monitorização do cumprimento e a execução.</w:t>
            </w:r>
          </w:p>
        </w:tc>
        <w:tc>
          <w:tcPr>
            <w:tcW w:w="2357" w:type="dxa"/>
            <w:shd w:val="clear" w:color="auto" w:fill="auto"/>
            <w:vAlign w:val="center"/>
          </w:tcPr>
          <w:p w:rsidR="005706A3" w:rsidRDefault="00502587">
            <w:pPr>
              <w:pStyle w:val="Text1"/>
              <w:ind w:left="0"/>
              <w:jc w:val="left"/>
              <w:rPr>
                <w:noProof/>
                <w:sz w:val="20"/>
              </w:rPr>
            </w:pPr>
            <w:r>
              <w:rPr>
                <w:noProof/>
                <w:sz w:val="20"/>
              </w:rPr>
              <w:t>Todos</w:t>
            </w:r>
            <w:r>
              <w:rPr>
                <w:noProof/>
                <w:sz w:val="20"/>
              </w:rPr>
              <w:t xml:space="preserve"> os Estados</w:t>
            </w:r>
            <w:r>
              <w:rPr>
                <w:noProof/>
                <w:sz w:val="20"/>
              </w:rPr>
              <w:noBreakHyphen/>
              <w:t>Membros</w:t>
            </w:r>
          </w:p>
        </w:tc>
      </w:tr>
      <w:tr w:rsidR="005706A3">
        <w:tc>
          <w:tcPr>
            <w:tcW w:w="7111" w:type="dxa"/>
            <w:vAlign w:val="center"/>
          </w:tcPr>
          <w:p w:rsidR="005706A3" w:rsidRDefault="00502587">
            <w:pPr>
              <w:pStyle w:val="ListParagraph"/>
              <w:widowControl w:val="0"/>
              <w:numPr>
                <w:ilvl w:val="0"/>
                <w:numId w:val="2"/>
              </w:numPr>
              <w:rPr>
                <w:noProof/>
                <w:sz w:val="20"/>
              </w:rPr>
            </w:pPr>
            <w:r>
              <w:rPr>
                <w:noProof/>
                <w:sz w:val="20"/>
              </w:rPr>
              <w:t>Fornecer mais informações sobre o modo como trabalham em conjunto os profissionais que combatem a criminalidade ambiental.</w:t>
            </w:r>
          </w:p>
        </w:tc>
        <w:tc>
          <w:tcPr>
            <w:tcW w:w="2357" w:type="dxa"/>
            <w:vAlign w:val="center"/>
          </w:tcPr>
          <w:p w:rsidR="005706A3" w:rsidRDefault="00502587">
            <w:pPr>
              <w:spacing w:after="120"/>
              <w:jc w:val="both"/>
              <w:rPr>
                <w:noProof/>
              </w:rPr>
            </w:pPr>
            <w:r>
              <w:rPr>
                <w:noProof/>
              </w:rPr>
              <w:t>AT, BE, BG, DK, EL, HR, HU, IE, LT, LU, LV, MT, NL, PL, SE, SI, SK e UK</w:t>
            </w:r>
          </w:p>
        </w:tc>
      </w:tr>
      <w:tr w:rsidR="005706A3">
        <w:tc>
          <w:tcPr>
            <w:tcW w:w="7111" w:type="dxa"/>
            <w:vAlign w:val="center"/>
          </w:tcPr>
          <w:p w:rsidR="005706A3" w:rsidRDefault="00502587">
            <w:pPr>
              <w:pStyle w:val="ListParagraph"/>
              <w:numPr>
                <w:ilvl w:val="0"/>
                <w:numId w:val="2"/>
              </w:numPr>
              <w:rPr>
                <w:noProof/>
                <w:sz w:val="20"/>
              </w:rPr>
            </w:pPr>
            <w:r>
              <w:rPr>
                <w:noProof/>
                <w:sz w:val="20"/>
              </w:rPr>
              <w:t xml:space="preserve">Reforçar a garantia financeira em relação com as responsabilidades ao abrigo da Diretiva Responsabilidade Ambiental e/ou as orientações sobre a mesma diretiva e/ou a recolha e publicação de informações sobre danos ambientais. </w:t>
            </w:r>
          </w:p>
        </w:tc>
        <w:tc>
          <w:tcPr>
            <w:tcW w:w="2357" w:type="dxa"/>
            <w:shd w:val="clear" w:color="auto" w:fill="auto"/>
            <w:vAlign w:val="center"/>
          </w:tcPr>
          <w:p w:rsidR="005706A3" w:rsidRDefault="00502587">
            <w:pPr>
              <w:spacing w:after="120"/>
              <w:jc w:val="both"/>
              <w:rPr>
                <w:noProof/>
              </w:rPr>
            </w:pPr>
            <w:r>
              <w:rPr>
                <w:noProof/>
              </w:rPr>
              <w:t>AT, BE, BG, CY, CZ, DE, DK, E</w:t>
            </w:r>
            <w:r>
              <w:rPr>
                <w:noProof/>
              </w:rPr>
              <w:t>E, EL, FI, FR, HR, HU, IE, IT, LT, LU, LV, MT, NL, PL, RO, SE, SI, SK e UK</w:t>
            </w:r>
          </w:p>
        </w:tc>
      </w:tr>
      <w:tr w:rsidR="005706A3">
        <w:trPr>
          <w:trHeight w:val="1115"/>
        </w:trPr>
        <w:tc>
          <w:tcPr>
            <w:tcW w:w="7111" w:type="dxa"/>
            <w:shd w:val="clear" w:color="auto" w:fill="auto"/>
            <w:vAlign w:val="center"/>
          </w:tcPr>
          <w:p w:rsidR="005706A3" w:rsidRDefault="00502587">
            <w:pPr>
              <w:pStyle w:val="ListParagraph"/>
              <w:numPr>
                <w:ilvl w:val="0"/>
                <w:numId w:val="2"/>
              </w:numPr>
              <w:rPr>
                <w:noProof/>
                <w:sz w:val="20"/>
              </w:rPr>
            </w:pPr>
            <w:r>
              <w:rPr>
                <w:noProof/>
                <w:sz w:val="20"/>
              </w:rPr>
              <w:t>Publicar informações sobre os resultados das medidas de execução e o acompanhamento das violações da condicionalidade detetadas relativas aos nitratos e à natureza.</w:t>
            </w:r>
          </w:p>
        </w:tc>
        <w:tc>
          <w:tcPr>
            <w:tcW w:w="2357" w:type="dxa"/>
            <w:shd w:val="clear" w:color="auto" w:fill="auto"/>
            <w:vAlign w:val="center"/>
          </w:tcPr>
          <w:p w:rsidR="005706A3" w:rsidRDefault="00502587">
            <w:pPr>
              <w:pStyle w:val="Text1"/>
              <w:ind w:left="0"/>
              <w:rPr>
                <w:noProof/>
                <w:sz w:val="20"/>
              </w:rPr>
            </w:pPr>
            <w:r>
              <w:rPr>
                <w:noProof/>
                <w:sz w:val="20"/>
              </w:rPr>
              <w:t>AT, BE, BG, CY,</w:t>
            </w:r>
            <w:r>
              <w:rPr>
                <w:noProof/>
                <w:sz w:val="20"/>
              </w:rPr>
              <w:t xml:space="preserve"> DE, DK, EE, EL, ES, FI, FR, HR, IE, IT, LT, LU, LV, MT, NL, PL, PT, RO, SE, SI, SK e UK</w:t>
            </w:r>
          </w:p>
        </w:tc>
      </w:tr>
      <w:tr w:rsidR="005706A3">
        <w:tc>
          <w:tcPr>
            <w:tcW w:w="9468" w:type="dxa"/>
            <w:gridSpan w:val="2"/>
            <w:shd w:val="clear" w:color="auto" w:fill="C6D9F1" w:themeFill="text2" w:themeFillTint="33"/>
            <w:vAlign w:val="center"/>
          </w:tcPr>
          <w:p w:rsidR="005706A3" w:rsidRDefault="00502587">
            <w:pPr>
              <w:pStyle w:val="Text1"/>
              <w:spacing w:after="0"/>
              <w:ind w:left="0"/>
              <w:rPr>
                <w:b/>
                <w:noProof/>
                <w:sz w:val="20"/>
              </w:rPr>
            </w:pPr>
            <w:r>
              <w:rPr>
                <w:b/>
                <w:noProof/>
                <w:sz w:val="20"/>
              </w:rPr>
              <w:t>Eficácia das administrações ambientais</w:t>
            </w:r>
          </w:p>
        </w:tc>
      </w:tr>
      <w:tr w:rsidR="005706A3">
        <w:tc>
          <w:tcPr>
            <w:tcW w:w="7111" w:type="dxa"/>
            <w:vAlign w:val="center"/>
          </w:tcPr>
          <w:p w:rsidR="005706A3" w:rsidRDefault="00502587">
            <w:pPr>
              <w:pStyle w:val="ListParagraph"/>
              <w:numPr>
                <w:ilvl w:val="0"/>
                <w:numId w:val="2"/>
              </w:numPr>
              <w:rPr>
                <w:noProof/>
                <w:sz w:val="20"/>
              </w:rPr>
            </w:pPr>
            <w:r>
              <w:rPr>
                <w:noProof/>
                <w:sz w:val="20"/>
              </w:rPr>
              <w:t>Continuar a melhorar a governação ambiental geral (por exemplo a transparência, a participação dos cidadãos, o cumprimento e a</w:t>
            </w:r>
            <w:r>
              <w:rPr>
                <w:noProof/>
                <w:sz w:val="20"/>
              </w:rPr>
              <w:t xml:space="preserve"> execução, bem como a capacidade administrativa e a coordenação entre os serviços).</w:t>
            </w:r>
          </w:p>
        </w:tc>
        <w:tc>
          <w:tcPr>
            <w:tcW w:w="2357" w:type="dxa"/>
            <w:shd w:val="clear" w:color="auto" w:fill="auto"/>
            <w:vAlign w:val="center"/>
          </w:tcPr>
          <w:p w:rsidR="005706A3" w:rsidRDefault="00502587">
            <w:pPr>
              <w:pStyle w:val="Text1"/>
              <w:ind w:left="0"/>
              <w:jc w:val="left"/>
              <w:rPr>
                <w:noProof/>
                <w:sz w:val="20"/>
              </w:rPr>
            </w:pPr>
            <w:r>
              <w:rPr>
                <w:noProof/>
                <w:sz w:val="20"/>
              </w:rPr>
              <w:t>Todos os Estados</w:t>
            </w:r>
            <w:r>
              <w:rPr>
                <w:noProof/>
                <w:sz w:val="20"/>
              </w:rPr>
              <w:noBreakHyphen/>
              <w:t>Membros</w:t>
            </w:r>
          </w:p>
        </w:tc>
      </w:tr>
      <w:tr w:rsidR="005706A3">
        <w:tc>
          <w:tcPr>
            <w:tcW w:w="7111" w:type="dxa"/>
            <w:vAlign w:val="center"/>
          </w:tcPr>
          <w:p w:rsidR="005706A3" w:rsidRDefault="00502587">
            <w:pPr>
              <w:pStyle w:val="ListParagraph"/>
              <w:numPr>
                <w:ilvl w:val="0"/>
                <w:numId w:val="2"/>
              </w:numPr>
              <w:rPr>
                <w:noProof/>
                <w:sz w:val="20"/>
              </w:rPr>
            </w:pPr>
            <w:r>
              <w:rPr>
                <w:noProof/>
                <w:sz w:val="20"/>
              </w:rPr>
              <w:t>Concluir a transposição da Diretiva Avaliação do Impacto Ambiental na sua versão revista.</w:t>
            </w:r>
          </w:p>
        </w:tc>
        <w:tc>
          <w:tcPr>
            <w:tcW w:w="2357" w:type="dxa"/>
            <w:shd w:val="clear" w:color="auto" w:fill="auto"/>
            <w:vAlign w:val="center"/>
          </w:tcPr>
          <w:p w:rsidR="005706A3" w:rsidRDefault="00502587">
            <w:pPr>
              <w:pStyle w:val="Text1"/>
              <w:ind w:left="0"/>
              <w:rPr>
                <w:noProof/>
                <w:sz w:val="20"/>
              </w:rPr>
            </w:pPr>
            <w:r>
              <w:rPr>
                <w:noProof/>
                <w:sz w:val="20"/>
              </w:rPr>
              <w:t>DE e LT</w:t>
            </w:r>
          </w:p>
        </w:tc>
      </w:tr>
      <w:tr w:rsidR="005706A3">
        <w:tc>
          <w:tcPr>
            <w:tcW w:w="7111" w:type="dxa"/>
            <w:vAlign w:val="center"/>
          </w:tcPr>
          <w:p w:rsidR="005706A3" w:rsidRDefault="00502587">
            <w:pPr>
              <w:pStyle w:val="ListParagraph"/>
              <w:numPr>
                <w:ilvl w:val="0"/>
                <w:numId w:val="2"/>
              </w:numPr>
              <w:rPr>
                <w:noProof/>
                <w:sz w:val="20"/>
              </w:rPr>
            </w:pPr>
            <w:r>
              <w:rPr>
                <w:noProof/>
                <w:sz w:val="20"/>
              </w:rPr>
              <w:t xml:space="preserve">Corrigir a fragmentação aos níveis local e regional mediante a criação de mecanismos de coordenação mais eficientes no domínio do ambiente. </w:t>
            </w:r>
          </w:p>
        </w:tc>
        <w:tc>
          <w:tcPr>
            <w:tcW w:w="2357" w:type="dxa"/>
            <w:shd w:val="clear" w:color="auto" w:fill="auto"/>
            <w:vAlign w:val="center"/>
          </w:tcPr>
          <w:p w:rsidR="005706A3" w:rsidRDefault="00502587">
            <w:pPr>
              <w:pStyle w:val="Text1"/>
              <w:ind w:left="0"/>
              <w:rPr>
                <w:noProof/>
                <w:sz w:val="20"/>
              </w:rPr>
            </w:pPr>
            <w:r>
              <w:rPr>
                <w:noProof/>
                <w:sz w:val="20"/>
              </w:rPr>
              <w:t>EL, ES e IT</w:t>
            </w:r>
          </w:p>
        </w:tc>
      </w:tr>
      <w:tr w:rsidR="005706A3">
        <w:tc>
          <w:tcPr>
            <w:tcW w:w="7111" w:type="dxa"/>
            <w:vAlign w:val="center"/>
          </w:tcPr>
          <w:p w:rsidR="005706A3" w:rsidRDefault="00502587">
            <w:pPr>
              <w:pStyle w:val="ListParagraph"/>
              <w:numPr>
                <w:ilvl w:val="0"/>
                <w:numId w:val="2"/>
              </w:numPr>
              <w:rPr>
                <w:noProof/>
                <w:sz w:val="20"/>
              </w:rPr>
            </w:pPr>
            <w:r>
              <w:rPr>
                <w:noProof/>
                <w:sz w:val="20"/>
              </w:rPr>
              <w:t xml:space="preserve">Continuar a envidar esforços de racionalização dos procedimentos de avaliação ambiental. </w:t>
            </w:r>
          </w:p>
        </w:tc>
        <w:tc>
          <w:tcPr>
            <w:tcW w:w="2357" w:type="dxa"/>
            <w:shd w:val="clear" w:color="auto" w:fill="auto"/>
            <w:vAlign w:val="center"/>
          </w:tcPr>
          <w:p w:rsidR="005706A3" w:rsidRDefault="00502587">
            <w:pPr>
              <w:pStyle w:val="Text1"/>
              <w:ind w:left="0"/>
              <w:rPr>
                <w:noProof/>
                <w:sz w:val="20"/>
              </w:rPr>
            </w:pPr>
            <w:r>
              <w:rPr>
                <w:noProof/>
                <w:sz w:val="20"/>
              </w:rPr>
              <w:t>BE, CZ e HR</w:t>
            </w:r>
          </w:p>
        </w:tc>
      </w:tr>
      <w:tr w:rsidR="005706A3">
        <w:tc>
          <w:tcPr>
            <w:tcW w:w="9468" w:type="dxa"/>
            <w:gridSpan w:val="2"/>
            <w:shd w:val="clear" w:color="auto" w:fill="C6D9F1" w:themeFill="text2" w:themeFillTint="33"/>
            <w:vAlign w:val="center"/>
          </w:tcPr>
          <w:p w:rsidR="005706A3" w:rsidRDefault="00502587">
            <w:pPr>
              <w:pStyle w:val="Text1"/>
              <w:spacing w:after="0"/>
              <w:ind w:left="0"/>
              <w:rPr>
                <w:b/>
                <w:noProof/>
                <w:sz w:val="20"/>
              </w:rPr>
            </w:pPr>
            <w:r>
              <w:rPr>
                <w:b/>
                <w:noProof/>
                <w:sz w:val="20"/>
              </w:rPr>
              <w:t>Acordos internacionais</w:t>
            </w:r>
          </w:p>
        </w:tc>
      </w:tr>
      <w:tr w:rsidR="005706A3">
        <w:tc>
          <w:tcPr>
            <w:tcW w:w="7111" w:type="dxa"/>
            <w:vAlign w:val="center"/>
          </w:tcPr>
          <w:p w:rsidR="005706A3" w:rsidRDefault="00502587">
            <w:pPr>
              <w:pStyle w:val="Text1"/>
              <w:numPr>
                <w:ilvl w:val="0"/>
                <w:numId w:val="2"/>
              </w:numPr>
              <w:rPr>
                <w:noProof/>
                <w:sz w:val="20"/>
              </w:rPr>
            </w:pPr>
            <w:r>
              <w:rPr>
                <w:noProof/>
                <w:sz w:val="20"/>
              </w:rPr>
              <w:t>Tornarem-se partes dos acordos multilaterais pertinentes no domínio do ambiente mediante a assinatura e ratificação dos acordos que faltam.</w:t>
            </w:r>
          </w:p>
        </w:tc>
        <w:tc>
          <w:tcPr>
            <w:tcW w:w="2357" w:type="dxa"/>
            <w:vAlign w:val="center"/>
          </w:tcPr>
          <w:p w:rsidR="005706A3" w:rsidRDefault="00502587">
            <w:pPr>
              <w:pStyle w:val="Text1"/>
              <w:ind w:left="0"/>
              <w:rPr>
                <w:noProof/>
                <w:sz w:val="20"/>
              </w:rPr>
            </w:pPr>
            <w:r>
              <w:rPr>
                <w:noProof/>
                <w:sz w:val="20"/>
              </w:rPr>
              <w:t>AT, BE, CY, CZ, EL, ES, FR, IE, IT, LT, LV, MT, PL, PT, RO, SI e SK</w:t>
            </w:r>
          </w:p>
        </w:tc>
      </w:tr>
    </w:tbl>
    <w:p w:rsidR="005706A3" w:rsidRDefault="005706A3">
      <w:pPr>
        <w:jc w:val="both"/>
        <w:rPr>
          <w:noProof/>
        </w:rPr>
      </w:pPr>
    </w:p>
    <w:sectPr w:rsidR="005706A3">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851"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A3" w:rsidRDefault="00502587">
      <w:pPr>
        <w:spacing w:after="0" w:line="240" w:lineRule="auto"/>
      </w:pPr>
      <w:r>
        <w:separator/>
      </w:r>
    </w:p>
  </w:endnote>
  <w:endnote w:type="continuationSeparator" w:id="0">
    <w:p w:rsidR="005706A3" w:rsidRDefault="00502587">
      <w:pPr>
        <w:spacing w:after="0" w:line="240" w:lineRule="auto"/>
      </w:pPr>
      <w:r>
        <w:continuationSeparator/>
      </w:r>
    </w:p>
  </w:endnote>
  <w:endnote w:type="continuationNotice" w:id="1">
    <w:p w:rsidR="005706A3" w:rsidRDefault="00570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87" w:rsidRPr="00502587" w:rsidRDefault="00502587" w:rsidP="0050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87" w:rsidRPr="00502587" w:rsidRDefault="00502587" w:rsidP="00502587">
    <w:pPr>
      <w:pStyle w:val="FooterCoverPage"/>
      <w:rPr>
        <w:rFonts w:ascii="Arial" w:hAnsi="Arial" w:cs="Arial"/>
        <w:b/>
        <w:sz w:val="48"/>
      </w:rPr>
    </w:pPr>
    <w:r w:rsidRPr="00502587">
      <w:rPr>
        <w:rFonts w:ascii="Arial" w:hAnsi="Arial" w:cs="Arial"/>
        <w:b/>
        <w:sz w:val="48"/>
      </w:rPr>
      <w:t>PT</w:t>
    </w:r>
    <w:r w:rsidRPr="00502587">
      <w:rPr>
        <w:rFonts w:ascii="Arial" w:hAnsi="Arial" w:cs="Arial"/>
        <w:b/>
        <w:sz w:val="48"/>
      </w:rPr>
      <w:tab/>
    </w:r>
    <w:r w:rsidRPr="00502587">
      <w:rPr>
        <w:rFonts w:ascii="Arial" w:hAnsi="Arial" w:cs="Arial"/>
        <w:b/>
        <w:sz w:val="48"/>
      </w:rPr>
      <w:tab/>
    </w:r>
    <w:r w:rsidRPr="00502587">
      <w:tab/>
    </w:r>
    <w:r w:rsidRPr="00502587">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87" w:rsidRPr="00502587" w:rsidRDefault="00502587" w:rsidP="0050258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A3" w:rsidRDefault="005706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49879"/>
      <w:docPartObj>
        <w:docPartGallery w:val="Page Numbers (Bottom of Page)"/>
        <w:docPartUnique/>
      </w:docPartObj>
    </w:sdtPr>
    <w:sdtEndPr>
      <w:rPr>
        <w:noProof/>
      </w:rPr>
    </w:sdtEndPr>
    <w:sdtContent>
      <w:p w:rsidR="005706A3" w:rsidRDefault="00502587">
        <w:pPr>
          <w:pStyle w:val="Footer"/>
          <w:jc w:val="center"/>
        </w:pPr>
        <w:r>
          <w:fldChar w:fldCharType="begin"/>
        </w:r>
        <w:r>
          <w:instrText xml:space="preserve"> PAGE   \* MERGEFORMAT </w:instrText>
        </w:r>
        <w:r>
          <w:fldChar w:fldCharType="separate"/>
        </w:r>
        <w:r>
          <w:rPr>
            <w:noProof/>
          </w:rPr>
          <w:t>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8988"/>
      <w:docPartObj>
        <w:docPartGallery w:val="Page Numbers (Bottom of Page)"/>
        <w:docPartUnique/>
      </w:docPartObj>
    </w:sdtPr>
    <w:sdtEndPr>
      <w:rPr>
        <w:noProof/>
      </w:rPr>
    </w:sdtEndPr>
    <w:sdtContent>
      <w:p w:rsidR="005706A3" w:rsidRDefault="00502587">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A3" w:rsidRDefault="00502587">
      <w:pPr>
        <w:spacing w:after="0" w:line="240" w:lineRule="auto"/>
      </w:pPr>
      <w:r>
        <w:separator/>
      </w:r>
    </w:p>
  </w:footnote>
  <w:footnote w:type="continuationSeparator" w:id="0">
    <w:p w:rsidR="005706A3" w:rsidRDefault="00502587">
      <w:pPr>
        <w:spacing w:after="0" w:line="240" w:lineRule="auto"/>
      </w:pPr>
      <w:r>
        <w:continuationSeparator/>
      </w:r>
    </w:p>
  </w:footnote>
  <w:footnote w:type="continuationNotice" w:id="1">
    <w:p w:rsidR="005706A3" w:rsidRDefault="005706A3">
      <w:pPr>
        <w:spacing w:after="0" w:line="240" w:lineRule="auto"/>
      </w:pPr>
    </w:p>
  </w:footnote>
  <w:footnote w:id="2">
    <w:p w:rsidR="005706A3" w:rsidRDefault="00502587">
      <w:pPr>
        <w:pStyle w:val="FootnoteText"/>
        <w:tabs>
          <w:tab w:val="left" w:pos="2552"/>
        </w:tabs>
        <w:jc w:val="left"/>
        <w:rPr>
          <w:sz w:val="16"/>
          <w:szCs w:val="16"/>
        </w:rPr>
      </w:pPr>
      <w:r>
        <w:rPr>
          <w:sz w:val="14"/>
          <w:szCs w:val="14"/>
        </w:rPr>
        <w:footnoteRef/>
      </w:r>
      <w:r>
        <w:rPr>
          <w:sz w:val="14"/>
          <w:szCs w:val="14"/>
        </w:rPr>
        <w:t xml:space="preserve"> </w:t>
      </w:r>
      <w:r>
        <w:rPr>
          <w:sz w:val="16"/>
          <w:szCs w:val="16"/>
        </w:rPr>
        <w:tab/>
      </w:r>
      <w:r>
        <w:rPr>
          <w:sz w:val="16"/>
          <w:szCs w:val="16"/>
        </w:rPr>
        <w:t xml:space="preserve">As ações prioritárias foram incluídas em cada relatório por país à luz das informações na posse da Comissão Europeia, de modo a garantir um tratamento equitativo de todos os Estados-Membros. Para facilitar as comparações, todas as ações prioritárias foram </w:t>
      </w:r>
      <w:r>
        <w:rPr>
          <w:sz w:val="16"/>
          <w:szCs w:val="16"/>
        </w:rPr>
        <w:t xml:space="preserve">agrupadas no presente anexo por grupos de Estados-Membros que receberam recomendações semelhantes. Por este motivo, a formulação do anexo poderá ser menos específica do que a formulação dos relatórios por país. </w:t>
      </w:r>
    </w:p>
  </w:footnote>
  <w:footnote w:id="3">
    <w:p w:rsidR="005706A3" w:rsidRDefault="00502587">
      <w:pPr>
        <w:pStyle w:val="FootnoteText"/>
        <w:jc w:val="left"/>
        <w:rPr>
          <w:sz w:val="16"/>
          <w:szCs w:val="16"/>
        </w:rPr>
      </w:pPr>
      <w:r>
        <w:rPr>
          <w:sz w:val="14"/>
          <w:szCs w:val="14"/>
        </w:rPr>
        <w:footnoteRef/>
      </w:r>
      <w:r>
        <w:rPr>
          <w:sz w:val="14"/>
          <w:szCs w:val="14"/>
        </w:rPr>
        <w:t xml:space="preserve"> </w:t>
      </w:r>
      <w:r>
        <w:rPr>
          <w:sz w:val="16"/>
          <w:szCs w:val="16"/>
        </w:rPr>
        <w:tab/>
        <w:t>Vários Estados-Membros comunicaram tardia</w:t>
      </w:r>
      <w:r>
        <w:rPr>
          <w:sz w:val="16"/>
          <w:szCs w:val="16"/>
        </w:rPr>
        <w:t>mente as medidas tomadas para dar cumprimento à Diretiva-Quadro Estratégia Marinha. No caso desses países, apenas a primeira ação prioritária é aplicável, uma vez que os dados são insuficientes para avaliar os progressos desde 2017 e definir novos desafios</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87" w:rsidRPr="00502587" w:rsidRDefault="00502587" w:rsidP="0050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87" w:rsidRPr="00502587" w:rsidRDefault="00502587" w:rsidP="0050258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87" w:rsidRPr="00502587" w:rsidRDefault="00502587" w:rsidP="0050258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A3" w:rsidRDefault="005706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A3" w:rsidRDefault="005706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A3" w:rsidRDefault="0057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0in;height:810pt;visibility:visible;mso-wrap-style:square" o:bullet="t">
        <v:imagedata r:id="rId1" o:title="" croptop="42983f" cropbottom="21645f" cropleft="54648f" cropright="10334f"/>
      </v:shape>
    </w:pict>
  </w:numPicBullet>
  <w:abstractNum w:abstractNumId="0" w15:restartNumberingAfterBreak="0">
    <w:nsid w:val="02E6737D"/>
    <w:multiLevelType w:val="hybridMultilevel"/>
    <w:tmpl w:val="349E1EDA"/>
    <w:lvl w:ilvl="0" w:tplc="E8BADA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A5D"/>
    <w:multiLevelType w:val="hybridMultilevel"/>
    <w:tmpl w:val="EA9A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04E20BC9"/>
    <w:multiLevelType w:val="hybridMultilevel"/>
    <w:tmpl w:val="19345C86"/>
    <w:lvl w:ilvl="0" w:tplc="0EB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09C5"/>
    <w:multiLevelType w:val="hybridMultilevel"/>
    <w:tmpl w:val="956A9F1E"/>
    <w:lvl w:ilvl="0" w:tplc="D8BE8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C77D0"/>
    <w:multiLevelType w:val="hybridMultilevel"/>
    <w:tmpl w:val="F4A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1607"/>
    <w:multiLevelType w:val="hybridMultilevel"/>
    <w:tmpl w:val="34EA3B38"/>
    <w:lvl w:ilvl="0" w:tplc="52A4E736">
      <w:start w:val="1"/>
      <w:numFmt w:val="bullet"/>
      <w:pStyle w:val="SuggA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4FFD"/>
    <w:multiLevelType w:val="hybridMultilevel"/>
    <w:tmpl w:val="D29A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C53E7C98"/>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A3347"/>
    <w:multiLevelType w:val="hybridMultilevel"/>
    <w:tmpl w:val="AAEEFE7E"/>
    <w:lvl w:ilvl="0" w:tplc="AEBE3B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047D"/>
    <w:multiLevelType w:val="hybridMultilevel"/>
    <w:tmpl w:val="86D03B10"/>
    <w:lvl w:ilvl="0" w:tplc="2ABA7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3461292"/>
    <w:multiLevelType w:val="hybridMultilevel"/>
    <w:tmpl w:val="AFE0C6AA"/>
    <w:lvl w:ilvl="0" w:tplc="EAD0B4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E14F91"/>
    <w:multiLevelType w:val="hybridMultilevel"/>
    <w:tmpl w:val="5EAEC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C31F5"/>
    <w:multiLevelType w:val="hybridMultilevel"/>
    <w:tmpl w:val="2A046A92"/>
    <w:lvl w:ilvl="0" w:tplc="DFA6A5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692A"/>
    <w:multiLevelType w:val="hybridMultilevel"/>
    <w:tmpl w:val="E52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7940"/>
    <w:multiLevelType w:val="hybridMultilevel"/>
    <w:tmpl w:val="A28C8044"/>
    <w:lvl w:ilvl="0" w:tplc="CF3A71A8">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5"/>
  </w:num>
  <w:num w:numId="4">
    <w:abstractNumId w:val="10"/>
  </w:num>
  <w:num w:numId="5">
    <w:abstractNumId w:val="1"/>
  </w:num>
  <w:num w:numId="6">
    <w:abstractNumId w:val="21"/>
  </w:num>
  <w:num w:numId="7">
    <w:abstractNumId w:val="6"/>
  </w:num>
  <w:num w:numId="8">
    <w:abstractNumId w:val="6"/>
  </w:num>
  <w:num w:numId="9">
    <w:abstractNumId w:val="16"/>
  </w:num>
  <w:num w:numId="10">
    <w:abstractNumId w:val="6"/>
  </w:num>
  <w:num w:numId="11">
    <w:abstractNumId w:val="22"/>
  </w:num>
  <w:num w:numId="12">
    <w:abstractNumId w:val="3"/>
  </w:num>
  <w:num w:numId="13">
    <w:abstractNumId w:val="6"/>
  </w:num>
  <w:num w:numId="14">
    <w:abstractNumId w:val="13"/>
  </w:num>
  <w:num w:numId="15">
    <w:abstractNumId w:val="17"/>
  </w:num>
  <w:num w:numId="16">
    <w:abstractNumId w:val="9"/>
  </w:num>
  <w:num w:numId="17">
    <w:abstractNumId w:val="18"/>
  </w:num>
  <w:num w:numId="18">
    <w:abstractNumId w:val="7"/>
  </w:num>
  <w:num w:numId="19">
    <w:abstractNumId w:val="19"/>
  </w:num>
  <w:num w:numId="20">
    <w:abstractNumId w:val="4"/>
  </w:num>
  <w:num w:numId="21">
    <w:abstractNumId w:val="0"/>
  </w:num>
  <w:num w:numId="22">
    <w:abstractNumId w:val="8"/>
  </w:num>
  <w:num w:numId="23">
    <w:abstractNumId w:val="11"/>
  </w:num>
  <w:num w:numId="24">
    <w:abstractNumId w:val="15"/>
  </w:num>
  <w:num w:numId="25">
    <w:abstractNumId w:val="14"/>
  </w:num>
  <w:num w:numId="26">
    <w:abstractNumId w:val="12"/>
  </w:num>
  <w:num w:numId="27">
    <w:abstractNumId w:val="24"/>
  </w:num>
  <w:num w:numId="28">
    <w:abstractNumId w:val="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nb-NO" w:vendorID="64" w:dllVersion="131078" w:nlCheck="1" w:checkStyle="0"/>
  <w:activeWritingStyle w:appName="MSWord" w:lang="it-IT" w:vendorID="64" w:dllVersion="131078" w:nlCheck="1" w:checkStyle="0"/>
  <w:activeWritingStyle w:appName="MSWord" w:lang="en-IE" w:vendorID="64" w:dllVersion="131078" w:nlCheck="1" w:checkStyle="1"/>
  <w:activeWritingStyle w:appName="MSWord" w:lang="da-DK" w:vendorID="64" w:dllVersion="131078" w:nlCheck="1" w:checkStyle="0"/>
  <w:activeWritingStyle w:appName="MSWord" w:lang="en-US" w:vendorID="64" w:dllVersion="131078" w:nlCheck="1" w:checkStyle="1"/>
  <w:activeWritingStyle w:appName="MSWord" w:lang="pt-PT" w:vendorID="64" w:dllVersion="131078" w:nlCheck="1" w:checkStyle="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1"/>
    <w:docVar w:name="LW_ANNEX_NBR_LAST" w:val="1"/>
    <w:docVar w:name="LW_ANNEX_UNIQUE" w:val="1"/>
    <w:docVar w:name="LW_CORRIGENDUM" w:val="&lt;UNUSED&gt;"/>
    <w:docVar w:name="LW_COVERPAGE_EXISTS" w:val="True"/>
    <w:docVar w:name="LW_COVERPAGE_GUID" w:val="5414B6A4-DB15-46E1-BE2B-2D9050793060"/>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xelas, "/>
    <w:docVar w:name="LW_EMISSION_SUFFIX" w:val=" "/>
    <w:docVar w:name="LW_ID_DOCTYPE_NONLW" w:val="CP-039"/>
    <w:docVar w:name="LW_LANGUE" w:val="PT"/>
    <w:docVar w:name="LW_LEVEL_OF_SENSITIVITY" w:val="Standard treatment"/>
    <w:docVar w:name="LW_NOM.INST" w:val="COMISSÃO EUROPEIA"/>
    <w:docVar w:name="LW_NOM.INST_JOINTDOC" w:val="&lt;EMPTY&gt;"/>
    <w:docVar w:name="LW_OBJETACTEPRINCIPAL.CP" w:val="Reexame da aplicação da política ambiental 2019: _x000b_Uma Europa que protege e melhora a qualidade de vida dos seus cidadãos_x000b_"/>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COMUNICAÇÃO DA COMISSÃO AO PARLAMENTO EUROPEU, AO CONSELHO, AO COMITÉ ECONÓMICO E SOCIAL EUROPEU E AO COMITÉ DAS REGIÕES "/>
  </w:docVars>
  <w:rsids>
    <w:rsidRoot w:val="005706A3"/>
    <w:rsid w:val="00502587"/>
    <w:rsid w:val="005706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42749-8AAD-4A45-BCAF-3BC80F8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
      </w:numPr>
      <w:suppressAutoHyphens/>
      <w:autoSpaceDN w:val="0"/>
      <w:spacing w:before="240" w:line="240" w:lineRule="auto"/>
      <w:jc w:val="both"/>
      <w:textAlignment w:val="baseline"/>
      <w:outlineLvl w:val="0"/>
    </w:pPr>
    <w:rPr>
      <w:rFonts w:ascii="Times New Roman" w:eastAsia="Calibri" w:hAnsi="Times New Roman" w:cs="Times New Roman"/>
      <w:b/>
      <w:bCs/>
      <w:smallCaps/>
      <w:sz w:val="24"/>
      <w:szCs w:val="24"/>
    </w:rPr>
  </w:style>
  <w:style w:type="paragraph" w:styleId="Heading2">
    <w:name w:val="heading 2"/>
    <w:basedOn w:val="Normal"/>
    <w:next w:val="Normal"/>
    <w:link w:val="Heading2Char"/>
    <w:qFormat/>
    <w:pPr>
      <w:keepNext/>
      <w:numPr>
        <w:ilvl w:val="1"/>
        <w:numId w:val="1"/>
      </w:numPr>
      <w:suppressAutoHyphens/>
      <w:autoSpaceDN w:val="0"/>
      <w:spacing w:after="120" w:line="240" w:lineRule="auto"/>
      <w:jc w:val="both"/>
      <w:textAlignment w:val="baseline"/>
      <w:outlineLvl w:val="1"/>
    </w:pPr>
    <w:rPr>
      <w:rFonts w:ascii="Times New Roman" w:eastAsia="Calibri" w:hAnsi="Times New Roman" w:cs="Times New Roman"/>
      <w:b/>
      <w:sz w:val="24"/>
    </w:rPr>
  </w:style>
  <w:style w:type="paragraph" w:styleId="Heading3">
    <w:name w:val="heading 3"/>
    <w:basedOn w:val="Normal"/>
    <w:next w:val="Normal"/>
    <w:link w:val="Heading3Char"/>
    <w:qFormat/>
    <w:pPr>
      <w:keepNext/>
      <w:numPr>
        <w:ilvl w:val="2"/>
        <w:numId w:val="1"/>
      </w:numPr>
      <w:suppressAutoHyphens/>
      <w:autoSpaceDN w:val="0"/>
      <w:spacing w:after="120" w:line="240" w:lineRule="auto"/>
      <w:jc w:val="both"/>
      <w:textAlignment w:val="baseline"/>
      <w:outlineLvl w:val="2"/>
    </w:pPr>
    <w:rPr>
      <w:rFonts w:ascii="Times New Roman" w:eastAsia="Calibri" w:hAnsi="Times New Roman" w:cs="Times New Roman"/>
      <w:b/>
      <w:sz w:val="24"/>
    </w:rPr>
  </w:style>
  <w:style w:type="paragraph" w:styleId="Heading4">
    <w:name w:val="heading 4"/>
    <w:basedOn w:val="Normal"/>
    <w:next w:val="Normal"/>
    <w:link w:val="Heading4Char"/>
    <w:qFormat/>
    <w:pPr>
      <w:keepNext/>
      <w:numPr>
        <w:ilvl w:val="3"/>
        <w:numId w:val="1"/>
      </w:numPr>
      <w:suppressAutoHyphens/>
      <w:autoSpaceDN w:val="0"/>
      <w:spacing w:after="120" w:line="240" w:lineRule="auto"/>
      <w:jc w:val="both"/>
      <w:textAlignment w:val="baseline"/>
      <w:outlineLvl w:val="3"/>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Calibri" w:hAnsi="Times New Roman" w:cs="Times New Roman"/>
      <w:b/>
      <w:bCs/>
      <w:smallCaps/>
      <w:sz w:val="24"/>
      <w:szCs w:val="24"/>
    </w:rPr>
  </w:style>
  <w:style w:type="character" w:customStyle="1" w:styleId="Heading2Char">
    <w:name w:val="Heading 2 Char"/>
    <w:basedOn w:val="DefaultParagraphFont"/>
    <w:link w:val="Heading2"/>
    <w:rPr>
      <w:rFonts w:ascii="Times New Roman" w:eastAsia="Calibri" w:hAnsi="Times New Roman" w:cs="Times New Roman"/>
      <w:b/>
      <w:sz w:val="24"/>
    </w:rPr>
  </w:style>
  <w:style w:type="character" w:customStyle="1" w:styleId="Heading3Char">
    <w:name w:val="Heading 3 Char"/>
    <w:basedOn w:val="DefaultParagraphFont"/>
    <w:link w:val="Heading3"/>
    <w:rPr>
      <w:rFonts w:ascii="Times New Roman" w:eastAsia="Calibri" w:hAnsi="Times New Roman" w:cs="Times New Roman"/>
      <w:b/>
      <w:sz w:val="24"/>
    </w:rPr>
  </w:style>
  <w:style w:type="character" w:customStyle="1" w:styleId="Heading4Char">
    <w:name w:val="Heading 4 Char"/>
    <w:basedOn w:val="DefaultParagraphFont"/>
    <w:link w:val="Heading4"/>
    <w:rPr>
      <w:rFonts w:ascii="Times New Roman" w:eastAsia="Calibri" w:hAnsi="Times New Roman" w:cs="Times New Roman"/>
      <w:sz w:val="24"/>
    </w:rPr>
  </w:style>
  <w:style w:type="paragraph" w:customStyle="1" w:styleId="Text1">
    <w:name w:val="Text 1"/>
    <w:basedOn w:val="Normal"/>
    <w:pPr>
      <w:suppressAutoHyphens/>
      <w:autoSpaceDN w:val="0"/>
      <w:spacing w:after="120" w:line="240" w:lineRule="auto"/>
      <w:ind w:left="482"/>
      <w:jc w:val="both"/>
      <w:textAlignment w:val="baseline"/>
    </w:pPr>
    <w:rPr>
      <w:rFonts w:ascii="Times New Roman" w:eastAsia="Calibri" w:hAnsi="Times New Roman" w:cs="Times New Roman"/>
      <w:sz w:val="24"/>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qFormat/>
    <w:pPr>
      <w:suppressAutoHyphens/>
      <w:autoSpaceDN w:val="0"/>
      <w:spacing w:after="60" w:line="240" w:lineRule="auto"/>
      <w:ind w:left="357" w:hanging="357"/>
      <w:jc w:val="both"/>
      <w:textAlignment w:val="baseline"/>
    </w:pPr>
    <w:rPr>
      <w:rFonts w:ascii="Times New Roman" w:eastAsia="Calibri" w:hAnsi="Times New Roman" w:cs="Times New Roman"/>
      <w:sz w:val="18"/>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rPr>
      <w:rFonts w:ascii="Times New Roman" w:eastAsia="Calibri" w:hAnsi="Times New Roman" w:cs="Times New Roman"/>
      <w:sz w:val="18"/>
    </w:rPr>
  </w:style>
  <w:style w:type="paragraph" w:styleId="ListParagraph">
    <w:name w:val="List Paragraph"/>
    <w:aliases w:val="Heading 2_sj,List Paragraph1,Bullet List Paragraph"/>
    <w:basedOn w:val="Normal"/>
    <w:link w:val="ListParagraphChar"/>
    <w:uiPriority w:val="34"/>
    <w:qFormat/>
    <w:pPr>
      <w:suppressAutoHyphens/>
      <w:autoSpaceDN w:val="0"/>
      <w:spacing w:after="120" w:line="240" w:lineRule="auto"/>
      <w:ind w:left="720"/>
      <w:jc w:val="both"/>
      <w:textAlignment w:val="baseline"/>
    </w:pPr>
    <w:rPr>
      <w:rFonts w:ascii="Times New Roman" w:eastAsia="Calibri" w:hAnsi="Times New Roman" w:cs="Times New Roman"/>
      <w:sz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
    <w:uiPriority w:val="1"/>
    <w:qFormat/>
    <w:pPr>
      <w:numPr>
        <w:numId w:val="6"/>
      </w:numPr>
      <w:spacing w:after="0" w:line="240" w:lineRule="auto"/>
      <w:ind w:left="170" w:hanging="170"/>
      <w:jc w:val="both"/>
    </w:pPr>
    <w:rPr>
      <w:rFonts w:ascii="Calibri" w:eastAsia="Calibri" w:hAnsi="Calibri" w:cs="Times New Roman"/>
      <w:sz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ggActions">
    <w:name w:val="SuggActions"/>
    <w:basedOn w:val="ListParagraph"/>
    <w:link w:val="SuggActionsChar"/>
    <w:autoRedefine/>
    <w:qFormat/>
    <w:pPr>
      <w:widowControl w:val="0"/>
      <w:numPr>
        <w:numId w:val="7"/>
      </w:numPr>
      <w:suppressAutoHyphens w:val="0"/>
      <w:autoSpaceDN/>
      <w:spacing w:after="0"/>
      <w:textAlignment w:val="auto"/>
    </w:pPr>
    <w:rPr>
      <w:rFonts w:asciiTheme="minorHAnsi" w:hAnsiTheme="minorHAnsi" w:cstheme="minorBidi"/>
      <w:noProof/>
      <w:sz w:val="20"/>
      <w:szCs w:val="20"/>
      <w:lang w:eastAsia="en-GB"/>
    </w:rPr>
  </w:style>
  <w:style w:type="character" w:customStyle="1" w:styleId="SuggActionsChar">
    <w:name w:val="SuggActions Char"/>
    <w:basedOn w:val="DefaultParagraphFont"/>
    <w:link w:val="SuggActions"/>
    <w:rPr>
      <w:rFonts w:eastAsia="Calibri"/>
      <w:noProof/>
      <w:sz w:val="20"/>
      <w:szCs w:val="20"/>
      <w:lang w:eastAsia="en-GB"/>
    </w:rPr>
  </w:style>
  <w:style w:type="character" w:customStyle="1" w:styleId="ListParagraphChar">
    <w:name w:val="List Paragraph Char"/>
    <w:aliases w:val="Heading 2_sj Char,List Paragraph1 Char,Bullet List Paragraph Char"/>
    <w:link w:val="ListParagraph"/>
    <w:uiPriority w:val="34"/>
    <w:locked/>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6784">
      <w:bodyDiv w:val="1"/>
      <w:marLeft w:val="0"/>
      <w:marRight w:val="0"/>
      <w:marTop w:val="0"/>
      <w:marBottom w:val="0"/>
      <w:divBdr>
        <w:top w:val="none" w:sz="0" w:space="0" w:color="auto"/>
        <w:left w:val="none" w:sz="0" w:space="0" w:color="auto"/>
        <w:bottom w:val="none" w:sz="0" w:space="0" w:color="auto"/>
        <w:right w:val="none" w:sz="0" w:space="0" w:color="auto"/>
      </w:divBdr>
    </w:div>
    <w:div w:id="940458629">
      <w:bodyDiv w:val="1"/>
      <w:marLeft w:val="0"/>
      <w:marRight w:val="0"/>
      <w:marTop w:val="0"/>
      <w:marBottom w:val="0"/>
      <w:divBdr>
        <w:top w:val="none" w:sz="0" w:space="0" w:color="auto"/>
        <w:left w:val="none" w:sz="0" w:space="0" w:color="auto"/>
        <w:bottom w:val="none" w:sz="0" w:space="0" w:color="auto"/>
        <w:right w:val="none" w:sz="0" w:space="0" w:color="auto"/>
      </w:divBdr>
    </w:div>
    <w:div w:id="1553341951">
      <w:bodyDiv w:val="1"/>
      <w:marLeft w:val="0"/>
      <w:marRight w:val="0"/>
      <w:marTop w:val="0"/>
      <w:marBottom w:val="0"/>
      <w:divBdr>
        <w:top w:val="none" w:sz="0" w:space="0" w:color="auto"/>
        <w:left w:val="none" w:sz="0" w:space="0" w:color="auto"/>
        <w:bottom w:val="none" w:sz="0" w:space="0" w:color="auto"/>
        <w:right w:val="none" w:sz="0" w:space="0" w:color="auto"/>
      </w:divBdr>
    </w:div>
    <w:div w:id="1795060304">
      <w:bodyDiv w:val="1"/>
      <w:marLeft w:val="0"/>
      <w:marRight w:val="0"/>
      <w:marTop w:val="0"/>
      <w:marBottom w:val="0"/>
      <w:divBdr>
        <w:top w:val="none" w:sz="0" w:space="0" w:color="auto"/>
        <w:left w:val="none" w:sz="0" w:space="0" w:color="auto"/>
        <w:bottom w:val="none" w:sz="0" w:space="0" w:color="auto"/>
        <w:right w:val="none" w:sz="0" w:space="0" w:color="auto"/>
      </w:divBdr>
    </w:div>
    <w:div w:id="1984307438">
      <w:bodyDiv w:val="1"/>
      <w:marLeft w:val="0"/>
      <w:marRight w:val="0"/>
      <w:marTop w:val="0"/>
      <w:marBottom w:val="0"/>
      <w:divBdr>
        <w:top w:val="none" w:sz="0" w:space="0" w:color="auto"/>
        <w:left w:val="none" w:sz="0" w:space="0" w:color="auto"/>
        <w:bottom w:val="none" w:sz="0" w:space="0" w:color="auto"/>
        <w:right w:val="none" w:sz="0" w:space="0" w:color="auto"/>
      </w:divBdr>
    </w:div>
    <w:div w:id="2103793265">
      <w:bodyDiv w:val="1"/>
      <w:marLeft w:val="0"/>
      <w:marRight w:val="0"/>
      <w:marTop w:val="0"/>
      <w:marBottom w:val="0"/>
      <w:divBdr>
        <w:top w:val="none" w:sz="0" w:space="0" w:color="auto"/>
        <w:left w:val="none" w:sz="0" w:space="0" w:color="auto"/>
        <w:bottom w:val="none" w:sz="0" w:space="0" w:color="auto"/>
        <w:right w:val="none" w:sz="0" w:space="0" w:color="auto"/>
      </w:divBdr>
      <w:divsChild>
        <w:div w:id="1170949558">
          <w:marLeft w:val="0"/>
          <w:marRight w:val="0"/>
          <w:marTop w:val="0"/>
          <w:marBottom w:val="0"/>
          <w:divBdr>
            <w:top w:val="none" w:sz="0" w:space="0" w:color="auto"/>
            <w:left w:val="none" w:sz="0" w:space="0" w:color="auto"/>
            <w:bottom w:val="none" w:sz="0" w:space="0" w:color="auto"/>
            <w:right w:val="none" w:sz="0" w:space="0" w:color="auto"/>
          </w:divBdr>
        </w:div>
        <w:div w:id="25837807">
          <w:marLeft w:val="0"/>
          <w:marRight w:val="0"/>
          <w:marTop w:val="0"/>
          <w:marBottom w:val="0"/>
          <w:divBdr>
            <w:top w:val="none" w:sz="0" w:space="0" w:color="auto"/>
            <w:left w:val="none" w:sz="0" w:space="0" w:color="auto"/>
            <w:bottom w:val="none" w:sz="0" w:space="0" w:color="auto"/>
            <w:right w:val="none" w:sz="0" w:space="0" w:color="auto"/>
          </w:divBdr>
        </w:div>
        <w:div w:id="65077605">
          <w:marLeft w:val="0"/>
          <w:marRight w:val="0"/>
          <w:marTop w:val="0"/>
          <w:marBottom w:val="0"/>
          <w:divBdr>
            <w:top w:val="none" w:sz="0" w:space="0" w:color="auto"/>
            <w:left w:val="none" w:sz="0" w:space="0" w:color="auto"/>
            <w:bottom w:val="none" w:sz="0" w:space="0" w:color="auto"/>
            <w:right w:val="none" w:sz="0" w:space="0" w:color="auto"/>
          </w:divBdr>
          <w:divsChild>
            <w:div w:id="650988474">
              <w:marLeft w:val="0"/>
              <w:marRight w:val="0"/>
              <w:marTop w:val="0"/>
              <w:marBottom w:val="0"/>
              <w:divBdr>
                <w:top w:val="none" w:sz="0" w:space="0" w:color="auto"/>
                <w:left w:val="none" w:sz="0" w:space="0" w:color="auto"/>
                <w:bottom w:val="none" w:sz="0" w:space="0" w:color="auto"/>
                <w:right w:val="none" w:sz="0" w:space="0" w:color="auto"/>
              </w:divBdr>
            </w:div>
            <w:div w:id="855267574">
              <w:marLeft w:val="0"/>
              <w:marRight w:val="0"/>
              <w:marTop w:val="0"/>
              <w:marBottom w:val="0"/>
              <w:divBdr>
                <w:top w:val="none" w:sz="0" w:space="0" w:color="auto"/>
                <w:left w:val="none" w:sz="0" w:space="0" w:color="auto"/>
                <w:bottom w:val="none" w:sz="0" w:space="0" w:color="auto"/>
                <w:right w:val="none" w:sz="0" w:space="0" w:color="auto"/>
              </w:divBdr>
            </w:div>
            <w:div w:id="2109351880">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578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9AAF-45E9-48C6-AAFF-51F5B367CD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8B671F-52B5-4A57-8188-E23ED74EA8B4}">
  <ds:schemaRefs>
    <ds:schemaRef ds:uri="http://schemas.microsoft.com/sharepoint/v3/contenttype/forms"/>
  </ds:schemaRefs>
</ds:datastoreItem>
</file>

<file path=customXml/itemProps3.xml><?xml version="1.0" encoding="utf-8"?>
<ds:datastoreItem xmlns:ds="http://schemas.openxmlformats.org/officeDocument/2006/customXml" ds:itemID="{9FB28ED5-D2FD-4BE5-9E09-6AC5D854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BA37D7-1FA2-4CC5-9642-F4C1C3D4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2674</Words>
  <Characters>13508</Characters>
  <Application>Microsoft Office Word</Application>
  <DocSecurity>0</DocSecurity>
  <Lines>375</Lines>
  <Paragraphs>185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CODESCU Ion (ENV)</dc:creator>
  <cp:lastModifiedBy>LAGES CARVALHO Patrick (SG)</cp:lastModifiedBy>
  <cp:revision>14</cp:revision>
  <cp:lastPrinted>2019-01-23T10:05:00Z</cp:lastPrinted>
  <dcterms:created xsi:type="dcterms:W3CDTF">2019-02-13T09:53:00Z</dcterms:created>
  <dcterms:modified xsi:type="dcterms:W3CDTF">2019-03-25T11:04:00Z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ontentTypeId">
    <vt:lpwstr>0x01010078E97EA221F96E4B9233A8505060E8B9</vt:lpwstr>
  </property>
  <property fmtid="{D5CDD505-2E9C-101B-9397-08002B2CF9AE}" pid="8" name="Offisync_UpdateToken">
    <vt:lpwstr>13</vt:lpwstr>
  </property>
  <property fmtid="{D5CDD505-2E9C-101B-9397-08002B2CF9AE}" pid="9" name="Offisync_UniqueId">
    <vt:lpwstr>181497</vt:lpwstr>
  </property>
  <property fmtid="{D5CDD505-2E9C-101B-9397-08002B2CF9AE}" pid="10" name="Jive_VersionGuid">
    <vt:lpwstr>f1562e83-4210-4c4a-b4c2-f5df04ff6de0</vt:lpwstr>
  </property>
  <property fmtid="{D5CDD505-2E9C-101B-9397-08002B2CF9AE}" pid="11" name="Offisync_ProviderInitializationData">
    <vt:lpwstr>https://connected.cnect.cec.eu.int</vt:lpwstr>
  </property>
  <property fmtid="{D5CDD505-2E9C-101B-9397-08002B2CF9AE}" pid="12" name="Jive_LatestUserAccountName">
    <vt:lpwstr>dalgaka</vt:lpwstr>
  </property>
  <property fmtid="{D5CDD505-2E9C-101B-9397-08002B2CF9AE}" pid="13" name="Offisync_ServerID">
    <vt:lpwstr>0d3b22a6-6203-4efc-8e8e-b5279256493b</vt:lpwstr>
  </property>
  <property fmtid="{D5CDD505-2E9C-101B-9397-08002B2CF9AE}" pid="14" name="Level of sensitivity">
    <vt:lpwstr>Standard treatment</vt:lpwstr>
  </property>
  <property fmtid="{D5CDD505-2E9C-101B-9397-08002B2CF9AE}" pid="15" name="Last edited using">
    <vt:lpwstr>LW 6.0.1, Build 20180503</vt:lpwstr>
  </property>
  <property fmtid="{D5CDD505-2E9C-101B-9397-08002B2CF9AE}" pid="16" name="Unique annex">
    <vt:lpwstr>1</vt:lpwstr>
  </property>
  <property fmtid="{D5CDD505-2E9C-101B-9397-08002B2CF9AE}" pid="17" name="Created using">
    <vt:lpwstr>LW 6.0.1, Build 20180503</vt:lpwstr>
  </property>
</Properties>
</file>