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116" w:rsidRDefault="007552EA" w:rsidP="007552EA">
      <w:pPr>
        <w:pStyle w:val="Pagedecouverture"/>
        <w:rPr>
          <w:noProof/>
        </w:rPr>
      </w:pPr>
      <w:bookmarkStart w:id="0" w:name="LW_BM_COVERPAGE"/>
      <w:r>
        <w:rPr>
          <w:noProof/>
        </w:rPr>
        <w:pict>
          <v:shape id="_x0000_i1033" type="#_x0000_t75" alt="9F963935-2C79-4D13-A3EC-4F771C0C0AF9" style="width:450.75pt;height:557.25pt">
            <v:imagedata r:id="rId11" o:title=""/>
          </v:shape>
        </w:pict>
      </w:r>
    </w:p>
    <w:bookmarkEnd w:id="0"/>
    <w:p w:rsidR="008A5116" w:rsidRDefault="008A5116">
      <w:pPr>
        <w:rPr>
          <w:noProof/>
        </w:rPr>
        <w:sectPr w:rsidR="008A5116" w:rsidSect="007552EA">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p w:rsidR="008A5116" w:rsidRDefault="007552EA">
      <w:pPr>
        <w:pStyle w:val="Heading1"/>
        <w:numPr>
          <w:ilvl w:val="0"/>
          <w:numId w:val="0"/>
        </w:numPr>
        <w:spacing w:before="120" w:after="360"/>
        <w:jc w:val="center"/>
        <w:rPr>
          <w:noProof/>
        </w:rPr>
      </w:pPr>
      <w:bookmarkStart w:id="1" w:name="_GoBack"/>
      <w:bookmarkEnd w:id="1"/>
      <w:r>
        <w:rPr>
          <w:noProof/>
        </w:rPr>
        <w:lastRenderedPageBreak/>
        <w:t>VORRANGIGE MA</w:t>
      </w:r>
      <w:r>
        <w:rPr>
          <w:noProof/>
        </w:rPr>
        <w:t>ẞ</w:t>
      </w:r>
      <w:r>
        <w:rPr>
          <w:noProof/>
        </w:rPr>
        <w:t>NAHMEN ZUR BESSEREN UMSETZUNG DER UMWELTPOLITIK</w:t>
      </w:r>
    </w:p>
    <w:p w:rsidR="008A5116" w:rsidRDefault="007552EA">
      <w:pPr>
        <w:jc w:val="center"/>
        <w:rPr>
          <w:rFonts w:ascii="Times New Roman" w:hAnsi="Times New Roman" w:cs="Times New Roman"/>
          <w:noProof/>
        </w:rPr>
      </w:pPr>
      <w:r>
        <w:rPr>
          <w:rFonts w:ascii="Times New Roman" w:hAnsi="Times New Roman"/>
          <w:noProof/>
        </w:rPr>
        <w:t xml:space="preserve">Der vorliegende Anhang enthält eine Übersicht </w:t>
      </w:r>
      <w:r>
        <w:rPr>
          <w:rFonts w:ascii="Times New Roman" w:hAnsi="Times New Roman"/>
          <w:noProof/>
        </w:rPr>
        <w:t>über die vorrangigen Maßnahmen aus den 28 EIR-Länderberichten</w:t>
      </w:r>
      <w:r>
        <w:rPr>
          <w:rFonts w:ascii="Times New Roman" w:hAnsi="Times New Roman" w:cs="Times New Roman"/>
          <w:noProof/>
          <w:vertAlign w:val="superscript"/>
        </w:rPr>
        <w:footnoteReference w:id="2"/>
      </w:r>
    </w:p>
    <w:tbl>
      <w:tblPr>
        <w:tblStyle w:val="TableGrid"/>
        <w:tblW w:w="9468" w:type="dxa"/>
        <w:tblLayout w:type="fixed"/>
        <w:tblLook w:val="04A0" w:firstRow="1" w:lastRow="0" w:firstColumn="1" w:lastColumn="0" w:noHBand="0" w:noVBand="1"/>
      </w:tblPr>
      <w:tblGrid>
        <w:gridCol w:w="7111"/>
        <w:gridCol w:w="2357"/>
      </w:tblGrid>
      <w:tr w:rsidR="008A5116">
        <w:tc>
          <w:tcPr>
            <w:tcW w:w="7111" w:type="dxa"/>
            <w:shd w:val="clear" w:color="auto" w:fill="auto"/>
            <w:vAlign w:val="center"/>
          </w:tcPr>
          <w:p w:rsidR="008A5116" w:rsidRDefault="007552EA">
            <w:pPr>
              <w:pStyle w:val="Text1"/>
              <w:ind w:left="0"/>
              <w:jc w:val="left"/>
              <w:rPr>
                <w:i/>
                <w:noProof/>
                <w:sz w:val="20"/>
              </w:rPr>
            </w:pPr>
            <w:r>
              <w:rPr>
                <w:i/>
                <w:noProof/>
                <w:sz w:val="20"/>
              </w:rPr>
              <w:t>Vorrangige Maßnahmen</w:t>
            </w:r>
          </w:p>
        </w:tc>
        <w:tc>
          <w:tcPr>
            <w:tcW w:w="2357" w:type="dxa"/>
            <w:shd w:val="clear" w:color="auto" w:fill="auto"/>
            <w:vAlign w:val="center"/>
          </w:tcPr>
          <w:p w:rsidR="008A5116" w:rsidRDefault="007552EA">
            <w:pPr>
              <w:pStyle w:val="Text1"/>
              <w:ind w:left="0"/>
              <w:jc w:val="left"/>
              <w:rPr>
                <w:i/>
                <w:noProof/>
                <w:sz w:val="20"/>
              </w:rPr>
            </w:pPr>
            <w:r>
              <w:rPr>
                <w:i/>
                <w:noProof/>
                <w:sz w:val="20"/>
              </w:rPr>
              <w:t xml:space="preserve">Mitgliedstaat(en) </w:t>
            </w:r>
          </w:p>
        </w:tc>
      </w:tr>
      <w:tr w:rsidR="008A5116">
        <w:tc>
          <w:tcPr>
            <w:tcW w:w="9468" w:type="dxa"/>
            <w:gridSpan w:val="2"/>
            <w:shd w:val="clear" w:color="auto" w:fill="C6D9F1" w:themeFill="text2" w:themeFillTint="33"/>
            <w:vAlign w:val="center"/>
          </w:tcPr>
          <w:p w:rsidR="008A5116" w:rsidRDefault="007552EA">
            <w:pPr>
              <w:pStyle w:val="Text1"/>
              <w:spacing w:after="0"/>
              <w:ind w:left="0"/>
              <w:rPr>
                <w:noProof/>
                <w:sz w:val="20"/>
              </w:rPr>
            </w:pPr>
            <w:r>
              <w:rPr>
                <w:b/>
                <w:noProof/>
                <w:sz w:val="20"/>
              </w:rPr>
              <w:t>Maßnahmen für den Übergang zu einer Kreislaufwirtschaft</w:t>
            </w:r>
          </w:p>
        </w:tc>
      </w:tr>
      <w:tr w:rsidR="008A5116" w:rsidRPr="007552EA">
        <w:tc>
          <w:tcPr>
            <w:tcW w:w="7111" w:type="dxa"/>
            <w:shd w:val="clear" w:color="auto" w:fill="auto"/>
            <w:vAlign w:val="center"/>
          </w:tcPr>
          <w:p w:rsidR="008A5116" w:rsidRDefault="007552EA">
            <w:pPr>
              <w:pStyle w:val="ListParagraph"/>
              <w:numPr>
                <w:ilvl w:val="0"/>
                <w:numId w:val="3"/>
              </w:numPr>
              <w:rPr>
                <w:noProof/>
                <w:sz w:val="20"/>
              </w:rPr>
            </w:pPr>
            <w:r>
              <w:rPr>
                <w:noProof/>
                <w:sz w:val="20"/>
              </w:rPr>
              <w:t>Verbesserung der politischen Rahmenbedingungen, um den Übergang zur Kreislaufwirtschaft in allen Wirtschaftszweigen zu beschleunigen, unter anderem in Bezug auf Wasser- und Energieeinsparungen, Abfallreduzierung, Wiederverwertung von Rohstoffen und/oder Fö</w:t>
            </w:r>
            <w:r>
              <w:rPr>
                <w:noProof/>
                <w:sz w:val="20"/>
              </w:rPr>
              <w:t xml:space="preserve">rderung des Marktes für sekundäre Rohstoffe  </w:t>
            </w:r>
          </w:p>
        </w:tc>
        <w:tc>
          <w:tcPr>
            <w:tcW w:w="2357" w:type="dxa"/>
            <w:shd w:val="clear" w:color="auto" w:fill="auto"/>
            <w:vAlign w:val="center"/>
          </w:tcPr>
          <w:p w:rsidR="008A5116" w:rsidRDefault="007552EA">
            <w:pPr>
              <w:spacing w:after="120"/>
              <w:jc w:val="both"/>
              <w:rPr>
                <w:noProof/>
                <w:lang w:val="es-ES"/>
              </w:rPr>
            </w:pPr>
            <w:r>
              <w:rPr>
                <w:noProof/>
                <w:lang w:val="es-ES"/>
              </w:rPr>
              <w:t>AT, BG, CY, CZ, DE, EL, EE, ES, HR, HU, IE, LV, MT, PL, PT, RO, SK</w:t>
            </w:r>
          </w:p>
        </w:tc>
      </w:tr>
      <w:tr w:rsidR="008A5116" w:rsidRPr="007552EA">
        <w:tc>
          <w:tcPr>
            <w:tcW w:w="7111" w:type="dxa"/>
            <w:shd w:val="clear" w:color="auto" w:fill="auto"/>
            <w:vAlign w:val="center"/>
          </w:tcPr>
          <w:p w:rsidR="008A5116" w:rsidRDefault="007552EA">
            <w:pPr>
              <w:pStyle w:val="Text1"/>
              <w:numPr>
                <w:ilvl w:val="0"/>
                <w:numId w:val="2"/>
              </w:numPr>
              <w:rPr>
                <w:noProof/>
                <w:sz w:val="20"/>
              </w:rPr>
            </w:pPr>
            <w:r>
              <w:rPr>
                <w:noProof/>
                <w:sz w:val="20"/>
              </w:rPr>
              <w:t>Anwendung der Prinzipien der Kreislaufwirtschaft, mit denen Anreize für Maßnahmen zur Ressourceneffizienz und vermehrtes Recycling gesetzt wer</w:t>
            </w:r>
            <w:r>
              <w:rPr>
                <w:noProof/>
                <w:sz w:val="20"/>
              </w:rPr>
              <w:t>den; Öko-Innovationsleistung und Investitionen in grüne Produkte und Dienstleistungen.</w:t>
            </w:r>
          </w:p>
        </w:tc>
        <w:tc>
          <w:tcPr>
            <w:tcW w:w="2357" w:type="dxa"/>
            <w:shd w:val="clear" w:color="auto" w:fill="auto"/>
            <w:vAlign w:val="center"/>
          </w:tcPr>
          <w:p w:rsidR="008A5116" w:rsidRDefault="007552EA">
            <w:pPr>
              <w:pStyle w:val="Text1"/>
              <w:ind w:left="0"/>
              <w:rPr>
                <w:noProof/>
                <w:sz w:val="20"/>
                <w:lang w:val="en-GB"/>
              </w:rPr>
            </w:pPr>
            <w:r>
              <w:rPr>
                <w:noProof/>
                <w:sz w:val="20"/>
                <w:lang w:val="en-GB"/>
              </w:rPr>
              <w:t>AT, CY, EL, HU, IT, MT, NL, RO, SK</w:t>
            </w:r>
          </w:p>
        </w:tc>
      </w:tr>
      <w:tr w:rsidR="008A5116">
        <w:tc>
          <w:tcPr>
            <w:tcW w:w="9468" w:type="dxa"/>
            <w:gridSpan w:val="2"/>
            <w:shd w:val="clear" w:color="auto" w:fill="C6D9F1" w:themeFill="text2" w:themeFillTint="33"/>
            <w:vAlign w:val="center"/>
          </w:tcPr>
          <w:p w:rsidR="008A5116" w:rsidRDefault="007552EA">
            <w:pPr>
              <w:pStyle w:val="Text1"/>
              <w:spacing w:after="0"/>
              <w:ind w:left="0"/>
              <w:rPr>
                <w:b/>
                <w:noProof/>
                <w:sz w:val="20"/>
              </w:rPr>
            </w:pPr>
            <w:r>
              <w:rPr>
                <w:b/>
                <w:noProof/>
                <w:sz w:val="20"/>
              </w:rPr>
              <w:t xml:space="preserve">Abfallbewirtschaftung </w:t>
            </w:r>
          </w:p>
        </w:tc>
      </w:tr>
      <w:tr w:rsidR="008A5116">
        <w:tc>
          <w:tcPr>
            <w:tcW w:w="7111" w:type="dxa"/>
            <w:shd w:val="clear" w:color="auto" w:fill="auto"/>
            <w:vAlign w:val="center"/>
          </w:tcPr>
          <w:p w:rsidR="008A5116" w:rsidRDefault="007552EA">
            <w:pPr>
              <w:pStyle w:val="Text1"/>
              <w:numPr>
                <w:ilvl w:val="0"/>
                <w:numId w:val="2"/>
              </w:numPr>
              <w:rPr>
                <w:noProof/>
                <w:sz w:val="20"/>
              </w:rPr>
            </w:pPr>
            <w:r>
              <w:rPr>
                <w:noProof/>
                <w:sz w:val="20"/>
              </w:rPr>
              <w:t xml:space="preserve">Einführung neuer politischer Maßnahmen, einschließlich wirtschaftlicher Instrumente, um die Abfallhierarchie </w:t>
            </w:r>
            <w:r>
              <w:rPr>
                <w:noProof/>
                <w:sz w:val="20"/>
              </w:rPr>
              <w:t>weiter umzusetzen, d. h. Abfallvermeidung fördern und Wiederverwendung und Recycling wirtschaftlich attraktiver machen und/oder die bereits existierenden Maßnahmen umsetzen.</w:t>
            </w:r>
          </w:p>
        </w:tc>
        <w:tc>
          <w:tcPr>
            <w:tcW w:w="2357" w:type="dxa"/>
            <w:shd w:val="clear" w:color="auto" w:fill="auto"/>
            <w:vAlign w:val="center"/>
          </w:tcPr>
          <w:p w:rsidR="008A5116" w:rsidRDefault="007552EA">
            <w:pPr>
              <w:pStyle w:val="Text1"/>
              <w:ind w:left="0"/>
              <w:rPr>
                <w:noProof/>
                <w:sz w:val="20"/>
              </w:rPr>
            </w:pPr>
            <w:r>
              <w:rPr>
                <w:noProof/>
                <w:sz w:val="20"/>
              </w:rPr>
              <w:t>AT, BG, CY, DE, DK, EE, FI, IE, IT, LT, LU, LV, NL, PL, PT, RO, SE, SI, UK</w:t>
            </w:r>
          </w:p>
        </w:tc>
      </w:tr>
      <w:tr w:rsidR="008A5116" w:rsidRPr="007552EA">
        <w:tc>
          <w:tcPr>
            <w:tcW w:w="7111" w:type="dxa"/>
            <w:shd w:val="clear" w:color="auto" w:fill="auto"/>
            <w:vAlign w:val="center"/>
          </w:tcPr>
          <w:p w:rsidR="008A5116" w:rsidRDefault="007552EA">
            <w:pPr>
              <w:pStyle w:val="Text1"/>
              <w:numPr>
                <w:ilvl w:val="0"/>
                <w:numId w:val="2"/>
              </w:numPr>
              <w:rPr>
                <w:noProof/>
                <w:sz w:val="20"/>
              </w:rPr>
            </w:pPr>
            <w:r>
              <w:rPr>
                <w:noProof/>
                <w:sz w:val="20"/>
              </w:rPr>
              <w:t>Verbes</w:t>
            </w:r>
            <w:r>
              <w:rPr>
                <w:noProof/>
                <w:sz w:val="20"/>
              </w:rPr>
              <w:t>serung der Funktionsweise von Regelungen zur erweiterten Herstellerverantwortung im Einklang mit den in der Abfallrahmenrichtlinie festgelegten allgemeinen Mindestanforderungen.</w:t>
            </w:r>
          </w:p>
        </w:tc>
        <w:tc>
          <w:tcPr>
            <w:tcW w:w="2357" w:type="dxa"/>
            <w:shd w:val="clear" w:color="auto" w:fill="auto"/>
            <w:vAlign w:val="center"/>
          </w:tcPr>
          <w:p w:rsidR="008A5116" w:rsidRDefault="007552EA">
            <w:pPr>
              <w:pStyle w:val="Text1"/>
              <w:ind w:left="0"/>
              <w:rPr>
                <w:noProof/>
                <w:sz w:val="20"/>
                <w:lang w:val="es-ES"/>
              </w:rPr>
            </w:pPr>
            <w:r>
              <w:rPr>
                <w:noProof/>
                <w:sz w:val="20"/>
                <w:lang w:val="es-ES"/>
              </w:rPr>
              <w:t>AT, CY, CZ, EE, EL, ES, HR, HU, IT, LT, LV, MT, PL, RO, SI, SK, UK</w:t>
            </w:r>
          </w:p>
        </w:tc>
      </w:tr>
      <w:tr w:rsidR="008A5116">
        <w:tc>
          <w:tcPr>
            <w:tcW w:w="7111" w:type="dxa"/>
            <w:shd w:val="clear" w:color="auto" w:fill="auto"/>
            <w:vAlign w:val="center"/>
          </w:tcPr>
          <w:p w:rsidR="008A5116" w:rsidRDefault="007552EA">
            <w:pPr>
              <w:pStyle w:val="Text1"/>
              <w:numPr>
                <w:ilvl w:val="0"/>
                <w:numId w:val="2"/>
              </w:numPr>
              <w:rPr>
                <w:noProof/>
                <w:sz w:val="20"/>
              </w:rPr>
            </w:pPr>
            <w:r>
              <w:rPr>
                <w:noProof/>
                <w:sz w:val="20"/>
              </w:rPr>
              <w:t>Schrittwei</w:t>
            </w:r>
            <w:r>
              <w:rPr>
                <w:noProof/>
                <w:sz w:val="20"/>
              </w:rPr>
              <w:t>se Abschaffung von Subventionen für die Verbrennung und Einführung einer Verbrennungsabgabe, um von der Verbrennung wiederverwendbarer und recycelbarer Abfälle wegzukommen. Verwendung der Einnahmen für Maßnahmen, mit denen die Abfallbewirtschaftung im Eink</w:t>
            </w:r>
            <w:r>
              <w:rPr>
                <w:noProof/>
                <w:sz w:val="20"/>
              </w:rPr>
              <w:t>lang mit der Abfallhierarchie verbessert wird.</w:t>
            </w:r>
          </w:p>
        </w:tc>
        <w:tc>
          <w:tcPr>
            <w:tcW w:w="2357" w:type="dxa"/>
            <w:shd w:val="clear" w:color="auto" w:fill="auto"/>
            <w:vAlign w:val="center"/>
          </w:tcPr>
          <w:p w:rsidR="008A5116" w:rsidRDefault="007552EA">
            <w:pPr>
              <w:pStyle w:val="Text1"/>
              <w:ind w:left="0"/>
              <w:rPr>
                <w:noProof/>
                <w:sz w:val="20"/>
                <w:lang w:val="fr-BE"/>
              </w:rPr>
            </w:pPr>
            <w:r>
              <w:rPr>
                <w:noProof/>
                <w:sz w:val="20"/>
                <w:lang w:val="fr-BE"/>
              </w:rPr>
              <w:t>AT, BE, CZ, DE, DK, EE, FI, IE, LT, LU, NL, PL, PT, SE</w:t>
            </w:r>
          </w:p>
        </w:tc>
      </w:tr>
      <w:tr w:rsidR="008A5116" w:rsidRPr="007552EA">
        <w:tc>
          <w:tcPr>
            <w:tcW w:w="7111" w:type="dxa"/>
            <w:shd w:val="clear" w:color="auto" w:fill="auto"/>
            <w:vAlign w:val="center"/>
          </w:tcPr>
          <w:p w:rsidR="008A5116" w:rsidRDefault="007552EA">
            <w:pPr>
              <w:pStyle w:val="Text1"/>
              <w:numPr>
                <w:ilvl w:val="0"/>
                <w:numId w:val="2"/>
              </w:numPr>
              <w:rPr>
                <w:noProof/>
                <w:sz w:val="20"/>
              </w:rPr>
            </w:pPr>
            <w:r>
              <w:rPr>
                <w:noProof/>
                <w:sz w:val="20"/>
              </w:rPr>
              <w:t xml:space="preserve">Einführung und/oder schrittweise Erhöhung der Deponiesteuern, um die Deponierung wiederverwendbarer und recycelbarer Abfälle nach und nach abzuschaffen. </w:t>
            </w:r>
            <w:r>
              <w:rPr>
                <w:noProof/>
                <w:sz w:val="20"/>
              </w:rPr>
              <w:t>Angleichung der regionalen Deponiesteuern. Verwendung der Einnahmen für Maßnahmen, mit denen die Abfallbewirtschaftung im Einklang mit der Abfallhierarchie verbessert wird.</w:t>
            </w:r>
          </w:p>
        </w:tc>
        <w:tc>
          <w:tcPr>
            <w:tcW w:w="2357" w:type="dxa"/>
            <w:shd w:val="clear" w:color="auto" w:fill="auto"/>
            <w:vAlign w:val="center"/>
          </w:tcPr>
          <w:p w:rsidR="008A5116" w:rsidRDefault="007552EA">
            <w:pPr>
              <w:pStyle w:val="Text1"/>
              <w:ind w:left="0"/>
              <w:rPr>
                <w:noProof/>
                <w:sz w:val="20"/>
                <w:lang w:val="es-ES"/>
              </w:rPr>
            </w:pPr>
            <w:r>
              <w:rPr>
                <w:noProof/>
                <w:sz w:val="20"/>
                <w:lang w:val="es-ES"/>
              </w:rPr>
              <w:t>CY, CZ, EL, ES, HR, HU, IT, LT, LV, MT, RO, SI, SK, UK</w:t>
            </w:r>
          </w:p>
        </w:tc>
      </w:tr>
      <w:tr w:rsidR="008A5116">
        <w:tc>
          <w:tcPr>
            <w:tcW w:w="7111" w:type="dxa"/>
            <w:shd w:val="clear" w:color="auto" w:fill="auto"/>
            <w:vAlign w:val="center"/>
          </w:tcPr>
          <w:p w:rsidR="008A5116" w:rsidRDefault="007552EA">
            <w:pPr>
              <w:pStyle w:val="ListParagraph"/>
              <w:numPr>
                <w:ilvl w:val="0"/>
                <w:numId w:val="2"/>
              </w:numPr>
              <w:rPr>
                <w:noProof/>
                <w:sz w:val="20"/>
              </w:rPr>
            </w:pPr>
            <w:r>
              <w:rPr>
                <w:noProof/>
                <w:sz w:val="20"/>
              </w:rPr>
              <w:t xml:space="preserve">Fokussierung auf die </w:t>
            </w:r>
            <w:r>
              <w:rPr>
                <w:noProof/>
                <w:sz w:val="20"/>
              </w:rPr>
              <w:t>Erfüllung der Verpflichtung zur getrennten Sammlung, um die Recyclingquoten zu steigern, einschließlich Bioabfälle. Erarbeitung und Einführung von Mindestleistungsstandards und/oder Unterstützungsprogrammen für Kommunen.</w:t>
            </w:r>
          </w:p>
        </w:tc>
        <w:tc>
          <w:tcPr>
            <w:tcW w:w="2357" w:type="dxa"/>
            <w:shd w:val="clear" w:color="auto" w:fill="auto"/>
            <w:vAlign w:val="center"/>
          </w:tcPr>
          <w:p w:rsidR="008A5116" w:rsidRDefault="007552EA">
            <w:pPr>
              <w:spacing w:after="120"/>
              <w:jc w:val="both"/>
              <w:rPr>
                <w:noProof/>
              </w:rPr>
            </w:pPr>
            <w:r>
              <w:rPr>
                <w:noProof/>
              </w:rPr>
              <w:t>BG, CY, CZ, EE, EL, ES, FI, FR, HR,</w:t>
            </w:r>
            <w:r>
              <w:rPr>
                <w:noProof/>
              </w:rPr>
              <w:t xml:space="preserve"> HU, IE, IT, LT, LV, MT, PL, PT, RO, SI, SK, UK</w:t>
            </w:r>
          </w:p>
        </w:tc>
      </w:tr>
      <w:tr w:rsidR="008A5116">
        <w:tc>
          <w:tcPr>
            <w:tcW w:w="7111" w:type="dxa"/>
            <w:shd w:val="clear" w:color="auto" w:fill="auto"/>
            <w:vAlign w:val="center"/>
          </w:tcPr>
          <w:p w:rsidR="008A5116" w:rsidRDefault="007552EA">
            <w:pPr>
              <w:pStyle w:val="ListParagraph"/>
              <w:numPr>
                <w:ilvl w:val="0"/>
                <w:numId w:val="2"/>
              </w:numPr>
              <w:rPr>
                <w:noProof/>
                <w:sz w:val="20"/>
              </w:rPr>
            </w:pPr>
            <w:r>
              <w:rPr>
                <w:noProof/>
                <w:sz w:val="20"/>
              </w:rPr>
              <w:t>Vervollständigung und/oder Aktualisierung der Abfallbewirtschaftungspläne und/oder der Abfallvermeidungsprogramme.</w:t>
            </w:r>
          </w:p>
        </w:tc>
        <w:tc>
          <w:tcPr>
            <w:tcW w:w="2357" w:type="dxa"/>
            <w:shd w:val="clear" w:color="auto" w:fill="auto"/>
            <w:vAlign w:val="center"/>
          </w:tcPr>
          <w:p w:rsidR="008A5116" w:rsidRDefault="007552EA">
            <w:pPr>
              <w:pStyle w:val="Text1"/>
              <w:ind w:left="0"/>
              <w:rPr>
                <w:noProof/>
                <w:sz w:val="20"/>
              </w:rPr>
            </w:pPr>
            <w:r>
              <w:rPr>
                <w:noProof/>
                <w:sz w:val="20"/>
              </w:rPr>
              <w:t>ES, FR</w:t>
            </w:r>
          </w:p>
        </w:tc>
      </w:tr>
      <w:tr w:rsidR="008A5116" w:rsidRPr="007552EA">
        <w:tc>
          <w:tcPr>
            <w:tcW w:w="7111" w:type="dxa"/>
            <w:shd w:val="clear" w:color="auto" w:fill="auto"/>
            <w:vAlign w:val="center"/>
          </w:tcPr>
          <w:p w:rsidR="008A5116" w:rsidRDefault="007552EA">
            <w:pPr>
              <w:pStyle w:val="ListParagraph"/>
              <w:numPr>
                <w:ilvl w:val="0"/>
                <w:numId w:val="2"/>
              </w:numPr>
              <w:rPr>
                <w:noProof/>
                <w:sz w:val="20"/>
              </w:rPr>
            </w:pPr>
            <w:r>
              <w:rPr>
                <w:noProof/>
                <w:sz w:val="20"/>
              </w:rPr>
              <w:t xml:space="preserve">Vorrangige Schließung und Sanierung nicht den Vorschriften entsprechender Deponien. </w:t>
            </w:r>
          </w:p>
        </w:tc>
        <w:tc>
          <w:tcPr>
            <w:tcW w:w="2357" w:type="dxa"/>
            <w:shd w:val="clear" w:color="auto" w:fill="auto"/>
            <w:vAlign w:val="center"/>
          </w:tcPr>
          <w:p w:rsidR="008A5116" w:rsidRDefault="007552EA">
            <w:pPr>
              <w:pStyle w:val="Text1"/>
              <w:ind w:left="0"/>
              <w:rPr>
                <w:noProof/>
                <w:sz w:val="20"/>
                <w:lang w:val="es-ES"/>
              </w:rPr>
            </w:pPr>
            <w:r>
              <w:rPr>
                <w:noProof/>
                <w:sz w:val="20"/>
                <w:lang w:val="es-ES"/>
              </w:rPr>
              <w:t>BG, CY, EL, ES, IT, PL, RO, SI, SK</w:t>
            </w:r>
          </w:p>
        </w:tc>
      </w:tr>
      <w:tr w:rsidR="008A5116" w:rsidRPr="007552EA">
        <w:tc>
          <w:tcPr>
            <w:tcW w:w="7111" w:type="dxa"/>
            <w:shd w:val="clear" w:color="auto" w:fill="auto"/>
            <w:vAlign w:val="center"/>
          </w:tcPr>
          <w:p w:rsidR="008A5116" w:rsidRDefault="007552EA">
            <w:pPr>
              <w:pStyle w:val="ListParagraph"/>
              <w:numPr>
                <w:ilvl w:val="0"/>
                <w:numId w:val="2"/>
              </w:numPr>
              <w:rPr>
                <w:noProof/>
                <w:sz w:val="20"/>
              </w:rPr>
            </w:pPr>
            <w:r>
              <w:rPr>
                <w:noProof/>
                <w:sz w:val="20"/>
              </w:rPr>
              <w:t>Vermeidung der Schaffung von Überkapazitäten bei der Infrastruktur zur Behandlung von Restabfällen, wie Anlagen zur mechanisch-biologischen Behandlung, Verbrennungsanlagen und Deponien.</w:t>
            </w:r>
          </w:p>
        </w:tc>
        <w:tc>
          <w:tcPr>
            <w:tcW w:w="2357" w:type="dxa"/>
            <w:shd w:val="clear" w:color="auto" w:fill="auto"/>
            <w:vAlign w:val="center"/>
          </w:tcPr>
          <w:p w:rsidR="008A5116" w:rsidRDefault="007552EA">
            <w:pPr>
              <w:pStyle w:val="Text1"/>
              <w:ind w:left="0"/>
              <w:rPr>
                <w:noProof/>
                <w:sz w:val="20"/>
                <w:lang w:val="es-ES"/>
              </w:rPr>
            </w:pPr>
            <w:r>
              <w:rPr>
                <w:noProof/>
                <w:sz w:val="20"/>
                <w:lang w:val="es-ES"/>
              </w:rPr>
              <w:t>CZ, EL, LT, PL, SK</w:t>
            </w:r>
          </w:p>
        </w:tc>
      </w:tr>
      <w:tr w:rsidR="008A5116">
        <w:tc>
          <w:tcPr>
            <w:tcW w:w="7111" w:type="dxa"/>
            <w:shd w:val="clear" w:color="auto" w:fill="auto"/>
            <w:vAlign w:val="center"/>
          </w:tcPr>
          <w:p w:rsidR="008A5116" w:rsidRDefault="007552EA">
            <w:pPr>
              <w:pStyle w:val="ListParagraph"/>
              <w:numPr>
                <w:ilvl w:val="0"/>
                <w:numId w:val="2"/>
              </w:numPr>
              <w:rPr>
                <w:noProof/>
                <w:sz w:val="20"/>
              </w:rPr>
            </w:pPr>
            <w:r>
              <w:rPr>
                <w:noProof/>
                <w:sz w:val="20"/>
              </w:rPr>
              <w:t>Maßnahmen, du</w:t>
            </w:r>
            <w:r>
              <w:rPr>
                <w:noProof/>
                <w:sz w:val="20"/>
              </w:rPr>
              <w:t>rch die gewährleistet wird, dass die Abfallstatistiken mit den Eurostat-Vorgaben übereinstimmen. Bereitstellung aktueller Daten über die Abfallbewirtschaftung und Verbesserung der Kohärenz der Daten.</w:t>
            </w:r>
          </w:p>
        </w:tc>
        <w:tc>
          <w:tcPr>
            <w:tcW w:w="2357" w:type="dxa"/>
            <w:shd w:val="clear" w:color="auto" w:fill="auto"/>
            <w:vAlign w:val="center"/>
          </w:tcPr>
          <w:p w:rsidR="008A5116" w:rsidRDefault="007552EA">
            <w:pPr>
              <w:pStyle w:val="Text1"/>
              <w:ind w:left="0"/>
              <w:rPr>
                <w:noProof/>
                <w:sz w:val="20"/>
              </w:rPr>
            </w:pPr>
            <w:r>
              <w:rPr>
                <w:noProof/>
                <w:sz w:val="20"/>
              </w:rPr>
              <w:t>CZ, IE, SI</w:t>
            </w:r>
          </w:p>
        </w:tc>
      </w:tr>
      <w:tr w:rsidR="008A5116">
        <w:tc>
          <w:tcPr>
            <w:tcW w:w="9468" w:type="dxa"/>
            <w:gridSpan w:val="2"/>
            <w:shd w:val="clear" w:color="auto" w:fill="C6D9F1" w:themeFill="text2" w:themeFillTint="33"/>
            <w:vAlign w:val="center"/>
          </w:tcPr>
          <w:p w:rsidR="008A5116" w:rsidRDefault="007552EA">
            <w:pPr>
              <w:pStyle w:val="Text1"/>
              <w:spacing w:after="0"/>
              <w:ind w:left="0"/>
              <w:rPr>
                <w:b/>
                <w:noProof/>
                <w:sz w:val="20"/>
              </w:rPr>
            </w:pPr>
            <w:bookmarkStart w:id="2" w:name="_Toc433296160"/>
            <w:bookmarkStart w:id="3" w:name="_Toc439678149"/>
            <w:r>
              <w:rPr>
                <w:b/>
                <w:noProof/>
                <w:sz w:val="20"/>
              </w:rPr>
              <w:t>Natur und Biodiversität</w:t>
            </w:r>
            <w:bookmarkEnd w:id="2"/>
            <w:bookmarkEnd w:id="3"/>
          </w:p>
        </w:tc>
      </w:tr>
      <w:tr w:rsidR="008A5116">
        <w:tc>
          <w:tcPr>
            <w:tcW w:w="7111" w:type="dxa"/>
            <w:shd w:val="clear" w:color="auto" w:fill="auto"/>
            <w:vAlign w:val="center"/>
          </w:tcPr>
          <w:p w:rsidR="008A5116" w:rsidRDefault="007552EA">
            <w:pPr>
              <w:pStyle w:val="Text1"/>
              <w:numPr>
                <w:ilvl w:val="0"/>
                <w:numId w:val="2"/>
              </w:numPr>
              <w:rPr>
                <w:noProof/>
                <w:sz w:val="20"/>
              </w:rPr>
            </w:pPr>
            <w:r>
              <w:rPr>
                <w:noProof/>
                <w:sz w:val="20"/>
              </w:rPr>
              <w:t xml:space="preserve">Vollendung des </w:t>
            </w:r>
            <w:r>
              <w:rPr>
                <w:noProof/>
                <w:sz w:val="20"/>
              </w:rPr>
              <w:t>Prozesses der Ausweisung von Natura-2000-Schutzgebieten (auch im Meer) und/oder Einführung von klar definierten Erhaltungszielen und der notwendigen Erhaltungsmaßnahmen für alle Natura-2000-Schutzgebiete, im Idealfall im Rahmen von Bewirtschaftungsplänen f</w:t>
            </w:r>
            <w:r>
              <w:rPr>
                <w:noProof/>
                <w:sz w:val="20"/>
              </w:rPr>
              <w:t>ür die Schutzgebiete oder gleichwertigen Instrumenten.</w:t>
            </w:r>
          </w:p>
        </w:tc>
        <w:tc>
          <w:tcPr>
            <w:tcW w:w="2357" w:type="dxa"/>
            <w:shd w:val="clear" w:color="auto" w:fill="auto"/>
            <w:vAlign w:val="center"/>
          </w:tcPr>
          <w:p w:rsidR="008A5116" w:rsidRDefault="007552EA">
            <w:pPr>
              <w:pStyle w:val="Text1"/>
              <w:ind w:left="0"/>
              <w:rPr>
                <w:noProof/>
                <w:sz w:val="20"/>
              </w:rPr>
            </w:pPr>
            <w:r>
              <w:rPr>
                <w:noProof/>
                <w:sz w:val="20"/>
              </w:rPr>
              <w:t>AT, BE, BG, CY, CZ, DE, DK, EE, EL, ES, FI, HR, HU, IE, IT, LT, LV, MT, NL, PL, PT, RO, SE, SI, SK, UK</w:t>
            </w:r>
          </w:p>
        </w:tc>
      </w:tr>
      <w:tr w:rsidR="008A5116" w:rsidRPr="007552EA">
        <w:tc>
          <w:tcPr>
            <w:tcW w:w="7111" w:type="dxa"/>
            <w:shd w:val="clear" w:color="auto" w:fill="auto"/>
            <w:vAlign w:val="center"/>
          </w:tcPr>
          <w:p w:rsidR="008A5116" w:rsidRDefault="007552EA">
            <w:pPr>
              <w:pStyle w:val="Text1"/>
              <w:numPr>
                <w:ilvl w:val="0"/>
                <w:numId w:val="2"/>
              </w:numPr>
              <w:rPr>
                <w:noProof/>
                <w:sz w:val="20"/>
              </w:rPr>
            </w:pPr>
            <w:r>
              <w:rPr>
                <w:noProof/>
                <w:sz w:val="20"/>
              </w:rPr>
              <w:t xml:space="preserve">Maßnahmen, die sicherstellen, dass die Natura-2000-Bewirtschaftungspläne effektiv mit ausreichenden Verwaltungskapazitäten und Finanzmitteln umgesetzt werden. </w:t>
            </w:r>
          </w:p>
        </w:tc>
        <w:tc>
          <w:tcPr>
            <w:tcW w:w="2357" w:type="dxa"/>
            <w:shd w:val="clear" w:color="auto" w:fill="auto"/>
            <w:vAlign w:val="center"/>
          </w:tcPr>
          <w:p w:rsidR="008A5116" w:rsidRDefault="007552EA">
            <w:pPr>
              <w:pStyle w:val="Text1"/>
              <w:ind w:left="0"/>
              <w:rPr>
                <w:noProof/>
                <w:sz w:val="20"/>
                <w:lang w:val="es-ES"/>
              </w:rPr>
            </w:pPr>
            <w:r>
              <w:rPr>
                <w:noProof/>
                <w:sz w:val="20"/>
                <w:lang w:val="es-ES"/>
              </w:rPr>
              <w:t xml:space="preserve">BG, EE, ES, EL, FR, HR, HU, IE, IT, LT, LU, MT, RO, SI, SK </w:t>
            </w:r>
          </w:p>
        </w:tc>
      </w:tr>
      <w:tr w:rsidR="008A5116" w:rsidRPr="007552EA">
        <w:tc>
          <w:tcPr>
            <w:tcW w:w="7111" w:type="dxa"/>
            <w:shd w:val="clear" w:color="auto" w:fill="auto"/>
            <w:vAlign w:val="center"/>
          </w:tcPr>
          <w:p w:rsidR="008A5116" w:rsidRDefault="007552EA">
            <w:pPr>
              <w:pStyle w:val="Text1"/>
              <w:numPr>
                <w:ilvl w:val="0"/>
                <w:numId w:val="2"/>
              </w:numPr>
              <w:rPr>
                <w:noProof/>
                <w:sz w:val="20"/>
              </w:rPr>
            </w:pPr>
            <w:r>
              <w:rPr>
                <w:noProof/>
                <w:sz w:val="20"/>
              </w:rPr>
              <w:t>Entwicklung und Förderung von intel</w:t>
            </w:r>
            <w:r>
              <w:rPr>
                <w:noProof/>
                <w:sz w:val="20"/>
              </w:rPr>
              <w:t>ligenten und optimierten Umsetzungskonzepten, insbesondere im Hinblick auf geeignete Bewertungsverfahren und Zulassungsverfahren für Arten, um die Verfügbarkeit des notwendigen Wissens und der erforderlichen Daten sicherzustellen, und Verbesserung der Komm</w:t>
            </w:r>
            <w:r>
              <w:rPr>
                <w:noProof/>
                <w:sz w:val="20"/>
              </w:rPr>
              <w:t xml:space="preserve">unikation mit den Beteiligten. </w:t>
            </w:r>
          </w:p>
        </w:tc>
        <w:tc>
          <w:tcPr>
            <w:tcW w:w="2357" w:type="dxa"/>
            <w:shd w:val="clear" w:color="auto" w:fill="auto"/>
            <w:vAlign w:val="center"/>
          </w:tcPr>
          <w:p w:rsidR="008A5116" w:rsidRDefault="007552EA">
            <w:pPr>
              <w:pStyle w:val="Text1"/>
              <w:ind w:left="0"/>
              <w:rPr>
                <w:noProof/>
                <w:sz w:val="20"/>
                <w:lang w:val="es-ES"/>
              </w:rPr>
            </w:pPr>
            <w:r>
              <w:rPr>
                <w:noProof/>
                <w:sz w:val="20"/>
                <w:lang w:val="es-ES"/>
              </w:rPr>
              <w:t>BG, CY, EE, EL, HU, IT, LT, PT, RO, SI</w:t>
            </w:r>
          </w:p>
        </w:tc>
      </w:tr>
      <w:tr w:rsidR="008A5116">
        <w:tc>
          <w:tcPr>
            <w:tcW w:w="7111" w:type="dxa"/>
            <w:shd w:val="clear" w:color="auto" w:fill="auto"/>
            <w:vAlign w:val="center"/>
          </w:tcPr>
          <w:p w:rsidR="008A5116" w:rsidRDefault="007552EA">
            <w:pPr>
              <w:pStyle w:val="Text1"/>
              <w:numPr>
                <w:ilvl w:val="0"/>
                <w:numId w:val="2"/>
              </w:numPr>
              <w:rPr>
                <w:noProof/>
                <w:sz w:val="20"/>
              </w:rPr>
            </w:pPr>
            <w:r>
              <w:rPr>
                <w:noProof/>
                <w:sz w:val="20"/>
              </w:rPr>
              <w:t>Angemessene Durchsetzung von Jagd- und/oder Fangverboten für geschützte Vogelarten.</w:t>
            </w:r>
          </w:p>
        </w:tc>
        <w:tc>
          <w:tcPr>
            <w:tcW w:w="2357" w:type="dxa"/>
            <w:shd w:val="clear" w:color="auto" w:fill="auto"/>
            <w:vAlign w:val="center"/>
          </w:tcPr>
          <w:p w:rsidR="008A5116" w:rsidRDefault="007552EA">
            <w:pPr>
              <w:pStyle w:val="Text1"/>
              <w:ind w:left="0"/>
              <w:rPr>
                <w:noProof/>
                <w:sz w:val="20"/>
              </w:rPr>
            </w:pPr>
            <w:r>
              <w:rPr>
                <w:noProof/>
                <w:sz w:val="20"/>
              </w:rPr>
              <w:t>CY, ES, IT, MT</w:t>
            </w:r>
          </w:p>
        </w:tc>
      </w:tr>
      <w:tr w:rsidR="008A5116" w:rsidRPr="007552EA">
        <w:tc>
          <w:tcPr>
            <w:tcW w:w="7111" w:type="dxa"/>
            <w:shd w:val="clear" w:color="auto" w:fill="auto"/>
            <w:vAlign w:val="center"/>
          </w:tcPr>
          <w:p w:rsidR="008A5116" w:rsidRDefault="007552EA">
            <w:pPr>
              <w:pStyle w:val="Text1"/>
              <w:numPr>
                <w:ilvl w:val="0"/>
                <w:numId w:val="2"/>
              </w:numPr>
              <w:rPr>
                <w:noProof/>
                <w:sz w:val="20"/>
              </w:rPr>
            </w:pPr>
            <w:r>
              <w:rPr>
                <w:noProof/>
                <w:sz w:val="20"/>
              </w:rPr>
              <w:t>Verstärkte Einbeziehung des Themas Biodiversität in andere Politikbereiche (insbeson</w:t>
            </w:r>
            <w:r>
              <w:rPr>
                <w:noProof/>
                <w:sz w:val="20"/>
              </w:rPr>
              <w:t>dere Landwirtschaft, aber auch Fischerei, Stadt- und Infrastrukturplanung und nachhaltiger Tourismus) und Förderung der Kommunikation zwischen den Akteuren. Gegebenenfalls Vermeidung weiterer Fragmentierung von Lebensräumen und Ergreifung von Maßnahmen, um</w:t>
            </w:r>
            <w:r>
              <w:rPr>
                <w:noProof/>
                <w:sz w:val="20"/>
              </w:rPr>
              <w:t xml:space="preserve"> Lebensräume wieder zu verbinden.</w:t>
            </w:r>
          </w:p>
        </w:tc>
        <w:tc>
          <w:tcPr>
            <w:tcW w:w="2357" w:type="dxa"/>
            <w:shd w:val="clear" w:color="auto" w:fill="auto"/>
            <w:vAlign w:val="center"/>
          </w:tcPr>
          <w:p w:rsidR="008A5116" w:rsidRDefault="007552EA">
            <w:pPr>
              <w:pStyle w:val="Text1"/>
              <w:ind w:left="0"/>
              <w:rPr>
                <w:noProof/>
                <w:sz w:val="20"/>
                <w:lang w:val="es-ES"/>
              </w:rPr>
            </w:pPr>
            <w:r>
              <w:rPr>
                <w:noProof/>
                <w:sz w:val="20"/>
                <w:lang w:val="es-ES"/>
              </w:rPr>
              <w:t>CZ, DE, DK, EL, ES, FI, FR, HR, LU, NL, PT, SK</w:t>
            </w:r>
          </w:p>
        </w:tc>
      </w:tr>
      <w:tr w:rsidR="008A5116">
        <w:tc>
          <w:tcPr>
            <w:tcW w:w="7111" w:type="dxa"/>
            <w:shd w:val="clear" w:color="auto" w:fill="auto"/>
            <w:vAlign w:val="center"/>
          </w:tcPr>
          <w:p w:rsidR="008A5116" w:rsidRDefault="007552EA">
            <w:pPr>
              <w:pStyle w:val="Text1"/>
              <w:numPr>
                <w:ilvl w:val="0"/>
                <w:numId w:val="2"/>
              </w:numPr>
              <w:rPr>
                <w:noProof/>
                <w:sz w:val="20"/>
              </w:rPr>
            </w:pPr>
            <w:r>
              <w:rPr>
                <w:noProof/>
                <w:sz w:val="20"/>
              </w:rPr>
              <w:t xml:space="preserve">Verbesserung der Anreize für Forst- und Landwirte zum besseren Schutz der Wald- und Graslandlebensräume. Maßnahmen, durch die eine nachhaltige Forstwirtschaft sichergestellt </w:t>
            </w:r>
            <w:r>
              <w:rPr>
                <w:noProof/>
                <w:sz w:val="20"/>
              </w:rPr>
              <w:t>und die effiziente Nutzung von Biomasse sichergestellt werden.</w:t>
            </w:r>
          </w:p>
        </w:tc>
        <w:tc>
          <w:tcPr>
            <w:tcW w:w="2357" w:type="dxa"/>
            <w:shd w:val="clear" w:color="auto" w:fill="auto"/>
            <w:vAlign w:val="center"/>
          </w:tcPr>
          <w:p w:rsidR="008A5116" w:rsidRDefault="007552EA">
            <w:pPr>
              <w:pStyle w:val="Text1"/>
              <w:ind w:left="0"/>
              <w:rPr>
                <w:noProof/>
                <w:sz w:val="20"/>
                <w:lang w:val="fr-BE"/>
              </w:rPr>
            </w:pPr>
            <w:r>
              <w:rPr>
                <w:noProof/>
                <w:sz w:val="20"/>
                <w:lang w:val="fr-BE"/>
              </w:rPr>
              <w:t>FI, LT, LV, PL, SE, SK</w:t>
            </w:r>
          </w:p>
        </w:tc>
      </w:tr>
      <w:tr w:rsidR="008A5116">
        <w:tc>
          <w:tcPr>
            <w:tcW w:w="7111" w:type="dxa"/>
            <w:shd w:val="clear" w:color="auto" w:fill="auto"/>
            <w:vAlign w:val="center"/>
          </w:tcPr>
          <w:p w:rsidR="008A5116" w:rsidRDefault="007552EA">
            <w:pPr>
              <w:pStyle w:val="Text1"/>
              <w:numPr>
                <w:ilvl w:val="0"/>
                <w:numId w:val="2"/>
              </w:numPr>
              <w:rPr>
                <w:noProof/>
                <w:sz w:val="20"/>
              </w:rPr>
            </w:pPr>
            <w:r>
              <w:rPr>
                <w:noProof/>
                <w:sz w:val="20"/>
              </w:rPr>
              <w:t>Weitere Unterstützung der laufenden Arbeiten an einer nachhaltigen Partnerschaft für den Schutz der biologischen Vielfalt, nachhaltige Entwicklung sowie Maßnahmen zur An</w:t>
            </w:r>
            <w:r>
              <w:rPr>
                <w:noProof/>
                <w:sz w:val="20"/>
              </w:rPr>
              <w:t>passung an den Klimawandel und zur Begrenzung des Klimawandels in einigen der Gebiete in äußerster Randlage und der überseeischen Länder und Hoheitsgebiete.</w:t>
            </w:r>
          </w:p>
        </w:tc>
        <w:tc>
          <w:tcPr>
            <w:tcW w:w="2357" w:type="dxa"/>
            <w:shd w:val="clear" w:color="auto" w:fill="auto"/>
            <w:vAlign w:val="center"/>
          </w:tcPr>
          <w:p w:rsidR="008A5116" w:rsidRDefault="007552EA">
            <w:pPr>
              <w:pStyle w:val="Text1"/>
              <w:ind w:left="0"/>
              <w:rPr>
                <w:noProof/>
                <w:sz w:val="20"/>
              </w:rPr>
            </w:pPr>
            <w:r>
              <w:rPr>
                <w:noProof/>
                <w:sz w:val="20"/>
              </w:rPr>
              <w:t>FR, UK</w:t>
            </w:r>
          </w:p>
        </w:tc>
      </w:tr>
      <w:tr w:rsidR="008A5116">
        <w:tc>
          <w:tcPr>
            <w:tcW w:w="7111" w:type="dxa"/>
            <w:shd w:val="clear" w:color="auto" w:fill="auto"/>
            <w:vAlign w:val="center"/>
          </w:tcPr>
          <w:p w:rsidR="008A5116" w:rsidRDefault="007552EA">
            <w:pPr>
              <w:pStyle w:val="Text1"/>
              <w:numPr>
                <w:ilvl w:val="0"/>
                <w:numId w:val="2"/>
              </w:numPr>
              <w:rPr>
                <w:noProof/>
                <w:sz w:val="20"/>
              </w:rPr>
            </w:pPr>
            <w:r>
              <w:rPr>
                <w:noProof/>
                <w:sz w:val="20"/>
              </w:rPr>
              <w:t>Weitere Unterstützung bei der Kartierung und Bewertung von Ökosystemen und Ökosystemleistun</w:t>
            </w:r>
            <w:r>
              <w:rPr>
                <w:noProof/>
                <w:sz w:val="20"/>
              </w:rPr>
              <w:t>gen, Bewertung und Entwicklung von Systemen zur Naturkapitalbilanzierung.</w:t>
            </w:r>
          </w:p>
        </w:tc>
        <w:tc>
          <w:tcPr>
            <w:tcW w:w="2357" w:type="dxa"/>
            <w:shd w:val="clear" w:color="auto" w:fill="auto"/>
            <w:vAlign w:val="center"/>
          </w:tcPr>
          <w:p w:rsidR="008A5116" w:rsidRDefault="007552EA">
            <w:pPr>
              <w:pStyle w:val="Text1"/>
              <w:ind w:left="0"/>
              <w:rPr>
                <w:noProof/>
                <w:sz w:val="20"/>
                <w:lang w:val="es-ES"/>
              </w:rPr>
            </w:pPr>
            <w:r>
              <w:rPr>
                <w:noProof/>
                <w:sz w:val="20"/>
                <w:lang w:val="es-ES"/>
              </w:rPr>
              <w:t>AT, BE, CZ, DK, EE, HU, PT, SE, SK</w:t>
            </w:r>
          </w:p>
        </w:tc>
      </w:tr>
      <w:tr w:rsidR="008A5116">
        <w:tc>
          <w:tcPr>
            <w:tcW w:w="9468" w:type="dxa"/>
            <w:gridSpan w:val="2"/>
            <w:shd w:val="clear" w:color="auto" w:fill="B8CCE4" w:themeFill="accent1" w:themeFillTint="66"/>
            <w:vAlign w:val="center"/>
          </w:tcPr>
          <w:p w:rsidR="008A5116" w:rsidRDefault="007552EA">
            <w:pPr>
              <w:pStyle w:val="Text1"/>
              <w:spacing w:after="0"/>
              <w:ind w:left="0"/>
              <w:rPr>
                <w:b/>
                <w:noProof/>
                <w:sz w:val="20"/>
              </w:rPr>
            </w:pPr>
            <w:r>
              <w:rPr>
                <w:b/>
                <w:noProof/>
                <w:sz w:val="20"/>
              </w:rPr>
              <w:t>Invasive gebietsfremde Arten</w:t>
            </w:r>
          </w:p>
        </w:tc>
      </w:tr>
      <w:tr w:rsidR="008A5116">
        <w:tc>
          <w:tcPr>
            <w:tcW w:w="7111" w:type="dxa"/>
            <w:shd w:val="clear" w:color="auto" w:fill="auto"/>
            <w:vAlign w:val="center"/>
          </w:tcPr>
          <w:p w:rsidR="008A5116" w:rsidRDefault="007552EA">
            <w:pPr>
              <w:pStyle w:val="Text1"/>
              <w:numPr>
                <w:ilvl w:val="0"/>
                <w:numId w:val="2"/>
              </w:numPr>
              <w:rPr>
                <w:noProof/>
                <w:sz w:val="20"/>
              </w:rPr>
            </w:pPr>
            <w:r>
              <w:rPr>
                <w:noProof/>
                <w:sz w:val="20"/>
              </w:rPr>
              <w:t>Erlass nationaler Rechtsvorschriften zur Einhaltung der Verordnung über invasive gebietsfremde Arten und entsprechen</w:t>
            </w:r>
            <w:r>
              <w:rPr>
                <w:noProof/>
                <w:sz w:val="20"/>
              </w:rPr>
              <w:t xml:space="preserve">de Notifizierung der Kommission. Bereitstellung geeigneter Daten. </w:t>
            </w:r>
          </w:p>
        </w:tc>
        <w:tc>
          <w:tcPr>
            <w:tcW w:w="2357" w:type="dxa"/>
            <w:shd w:val="clear" w:color="auto" w:fill="auto"/>
            <w:vAlign w:val="center"/>
          </w:tcPr>
          <w:p w:rsidR="008A5116" w:rsidRDefault="007552EA">
            <w:pPr>
              <w:pStyle w:val="Text1"/>
              <w:ind w:left="0"/>
              <w:rPr>
                <w:noProof/>
                <w:sz w:val="20"/>
                <w:lang w:val="en-GB"/>
              </w:rPr>
            </w:pPr>
            <w:r>
              <w:rPr>
                <w:noProof/>
                <w:sz w:val="20"/>
                <w:lang w:val="en-GB"/>
              </w:rPr>
              <w:t>AT, BE, CZ, EL, IE, PT, RO, SE, SK, UK</w:t>
            </w:r>
          </w:p>
        </w:tc>
      </w:tr>
      <w:tr w:rsidR="008A5116" w:rsidRPr="007552EA">
        <w:trPr>
          <w:trHeight w:val="978"/>
        </w:trPr>
        <w:tc>
          <w:tcPr>
            <w:tcW w:w="7111" w:type="dxa"/>
            <w:shd w:val="clear" w:color="auto" w:fill="auto"/>
            <w:vAlign w:val="center"/>
          </w:tcPr>
          <w:p w:rsidR="008A5116" w:rsidRDefault="007552EA">
            <w:pPr>
              <w:pStyle w:val="Text1"/>
              <w:numPr>
                <w:ilvl w:val="0"/>
                <w:numId w:val="2"/>
              </w:numPr>
              <w:rPr>
                <w:noProof/>
                <w:sz w:val="20"/>
              </w:rPr>
            </w:pPr>
            <w:r>
              <w:rPr>
                <w:noProof/>
                <w:sz w:val="20"/>
              </w:rPr>
              <w:t xml:space="preserve">Notifizierung der Liste invasiver gebietsfremder Arten und/oder der in dem Land geplanten Maßnahmen zu deren Beseitigung. Einführung von Maßnahmen, </w:t>
            </w:r>
            <w:r>
              <w:rPr>
                <w:noProof/>
                <w:sz w:val="20"/>
              </w:rPr>
              <w:t>sofern nicht bereits geschehen. Gegebenenfalls Untersuchung der Gründe für offenbar fehlende Daten und Suche nach Möglichkeiten zur Verbesserung des Überwachungssystems.</w:t>
            </w:r>
          </w:p>
        </w:tc>
        <w:tc>
          <w:tcPr>
            <w:tcW w:w="2357" w:type="dxa"/>
            <w:shd w:val="clear" w:color="auto" w:fill="auto"/>
            <w:vAlign w:val="center"/>
          </w:tcPr>
          <w:p w:rsidR="008A5116" w:rsidRDefault="007552EA">
            <w:pPr>
              <w:pStyle w:val="Text1"/>
              <w:spacing w:after="0"/>
              <w:ind w:left="0"/>
              <w:rPr>
                <w:noProof/>
                <w:sz w:val="20"/>
                <w:lang w:val="es-ES"/>
              </w:rPr>
            </w:pPr>
            <w:r>
              <w:rPr>
                <w:noProof/>
                <w:sz w:val="20"/>
                <w:lang w:val="es-ES"/>
              </w:rPr>
              <w:t>CZ, DE, DK, EL, ES, FR, HU, PT</w:t>
            </w:r>
          </w:p>
        </w:tc>
      </w:tr>
      <w:tr w:rsidR="008A5116">
        <w:trPr>
          <w:cantSplit/>
        </w:trPr>
        <w:tc>
          <w:tcPr>
            <w:tcW w:w="9468" w:type="dxa"/>
            <w:gridSpan w:val="2"/>
            <w:shd w:val="clear" w:color="auto" w:fill="C6D9F1" w:themeFill="text2" w:themeFillTint="33"/>
            <w:vAlign w:val="center"/>
          </w:tcPr>
          <w:p w:rsidR="008A5116" w:rsidRDefault="007552EA">
            <w:pPr>
              <w:pStyle w:val="Text1"/>
              <w:keepLines/>
              <w:spacing w:after="0"/>
              <w:ind w:left="0"/>
              <w:rPr>
                <w:b/>
                <w:noProof/>
                <w:sz w:val="20"/>
              </w:rPr>
            </w:pPr>
            <w:r>
              <w:rPr>
                <w:b/>
                <w:noProof/>
                <w:sz w:val="20"/>
              </w:rPr>
              <w:t>Schutz der Meere</w:t>
            </w:r>
            <w:r>
              <w:rPr>
                <w:b/>
                <w:noProof/>
                <w:sz w:val="20"/>
                <w:vertAlign w:val="superscript"/>
              </w:rPr>
              <w:footnoteReference w:id="3"/>
            </w:r>
          </w:p>
        </w:tc>
      </w:tr>
      <w:tr w:rsidR="008A5116" w:rsidRPr="007552EA">
        <w:tc>
          <w:tcPr>
            <w:tcW w:w="7111" w:type="dxa"/>
            <w:vAlign w:val="center"/>
          </w:tcPr>
          <w:p w:rsidR="008A5116" w:rsidRDefault="007552EA">
            <w:pPr>
              <w:pStyle w:val="ListParagraph"/>
              <w:keepLines/>
              <w:widowControl w:val="0"/>
              <w:numPr>
                <w:ilvl w:val="0"/>
                <w:numId w:val="2"/>
              </w:numPr>
              <w:rPr>
                <w:noProof/>
                <w:sz w:val="20"/>
              </w:rPr>
            </w:pPr>
            <w:r>
              <w:rPr>
                <w:noProof/>
                <w:sz w:val="20"/>
              </w:rPr>
              <w:t xml:space="preserve">Maßnahmen zur Sicherstellung der </w:t>
            </w:r>
            <w:r>
              <w:rPr>
                <w:noProof/>
                <w:sz w:val="20"/>
              </w:rPr>
              <w:t>fristgerechten Berichterstattung über die unterschiedlichen Elemente gemäß der Meeresstrategie-Rahmenrichtlinie, die in künftige Bewertungen durch die Kommission einzubeziehen sind.</w:t>
            </w:r>
          </w:p>
        </w:tc>
        <w:tc>
          <w:tcPr>
            <w:tcW w:w="2357" w:type="dxa"/>
            <w:shd w:val="clear" w:color="auto" w:fill="auto"/>
            <w:vAlign w:val="center"/>
          </w:tcPr>
          <w:p w:rsidR="008A5116" w:rsidRDefault="007552EA">
            <w:pPr>
              <w:pStyle w:val="Text1"/>
              <w:keepLines/>
              <w:ind w:left="0"/>
              <w:rPr>
                <w:noProof/>
                <w:sz w:val="20"/>
                <w:lang w:val="es-ES"/>
              </w:rPr>
            </w:pPr>
            <w:r>
              <w:rPr>
                <w:noProof/>
                <w:sz w:val="20"/>
                <w:lang w:val="es-ES"/>
              </w:rPr>
              <w:t>DK, EE, EL, HR, LT, RO, SI</w:t>
            </w:r>
          </w:p>
        </w:tc>
      </w:tr>
      <w:tr w:rsidR="008A5116">
        <w:trPr>
          <w:cantSplit/>
        </w:trPr>
        <w:tc>
          <w:tcPr>
            <w:tcW w:w="7111" w:type="dxa"/>
            <w:vAlign w:val="center"/>
          </w:tcPr>
          <w:p w:rsidR="008A5116" w:rsidRDefault="007552EA">
            <w:pPr>
              <w:pStyle w:val="ListParagraph"/>
              <w:keepLines/>
              <w:widowControl w:val="0"/>
              <w:numPr>
                <w:ilvl w:val="0"/>
                <w:numId w:val="2"/>
              </w:numPr>
              <w:rPr>
                <w:noProof/>
                <w:sz w:val="20"/>
              </w:rPr>
            </w:pPr>
            <w:r>
              <w:rPr>
                <w:noProof/>
                <w:sz w:val="20"/>
              </w:rPr>
              <w:t>Definition eines guten Umweltzustands und/oder</w:t>
            </w:r>
            <w:r>
              <w:rPr>
                <w:noProof/>
                <w:sz w:val="20"/>
              </w:rPr>
              <w:t xml:space="preserve"> Festlegung der Zeitvorgaben für das Erreichen eines guten Umweltzustands. Gegebenenfalls Festlegung von Zielvorgaben.</w:t>
            </w:r>
          </w:p>
        </w:tc>
        <w:tc>
          <w:tcPr>
            <w:tcW w:w="2357" w:type="dxa"/>
            <w:shd w:val="clear" w:color="auto" w:fill="auto"/>
            <w:vAlign w:val="center"/>
          </w:tcPr>
          <w:p w:rsidR="008A5116" w:rsidRDefault="007552EA">
            <w:pPr>
              <w:pStyle w:val="Text1"/>
              <w:keepLines/>
              <w:ind w:left="0"/>
              <w:rPr>
                <w:noProof/>
                <w:sz w:val="20"/>
                <w:lang w:val="fr-BE"/>
              </w:rPr>
            </w:pPr>
            <w:r>
              <w:rPr>
                <w:noProof/>
                <w:sz w:val="20"/>
                <w:lang w:val="fr-BE"/>
              </w:rPr>
              <w:t>BG, DE, ES, FI, IE, IT, LV, MT, NL, PL, PT, SE, UK</w:t>
            </w:r>
          </w:p>
        </w:tc>
      </w:tr>
      <w:tr w:rsidR="008A5116">
        <w:tc>
          <w:tcPr>
            <w:tcW w:w="7111" w:type="dxa"/>
            <w:vAlign w:val="center"/>
          </w:tcPr>
          <w:p w:rsidR="008A5116" w:rsidRDefault="007552EA">
            <w:pPr>
              <w:pStyle w:val="ListParagraph"/>
              <w:widowControl w:val="0"/>
              <w:numPr>
                <w:ilvl w:val="0"/>
                <w:numId w:val="2"/>
              </w:numPr>
              <w:rPr>
                <w:noProof/>
                <w:sz w:val="20"/>
              </w:rPr>
            </w:pPr>
            <w:r>
              <w:rPr>
                <w:noProof/>
                <w:sz w:val="20"/>
              </w:rPr>
              <w:t xml:space="preserve">Bereitstellung von mehr Informationen über Maßnahmen zur Erreichung eines guten </w:t>
            </w:r>
            <w:r>
              <w:rPr>
                <w:noProof/>
                <w:sz w:val="20"/>
              </w:rPr>
              <w:t>Umweltzustands, Festlegung von mehr Maßnahmen, die sich unmittelbar auf Belastungen auswirken, und Quantifizierung des Ergebnisses in Bezug auf die erwartete Belastungsverringerung.</w:t>
            </w:r>
          </w:p>
        </w:tc>
        <w:tc>
          <w:tcPr>
            <w:tcW w:w="2357" w:type="dxa"/>
            <w:shd w:val="clear" w:color="auto" w:fill="auto"/>
            <w:vAlign w:val="center"/>
          </w:tcPr>
          <w:p w:rsidR="008A5116" w:rsidRDefault="007552EA">
            <w:pPr>
              <w:pStyle w:val="Text1"/>
              <w:ind w:left="0"/>
              <w:rPr>
                <w:noProof/>
                <w:sz w:val="20"/>
                <w:lang w:val="en-GB"/>
              </w:rPr>
            </w:pPr>
            <w:r>
              <w:rPr>
                <w:noProof/>
                <w:sz w:val="20"/>
                <w:lang w:val="en-GB"/>
              </w:rPr>
              <w:t>BE, BG, CY, DE, ES, FR, IE, IT, LV, MT, NL, PL, PT, SE, UK</w:t>
            </w:r>
          </w:p>
        </w:tc>
      </w:tr>
      <w:tr w:rsidR="008A5116">
        <w:tc>
          <w:tcPr>
            <w:tcW w:w="7111" w:type="dxa"/>
            <w:vAlign w:val="center"/>
          </w:tcPr>
          <w:p w:rsidR="008A5116" w:rsidRDefault="007552EA">
            <w:pPr>
              <w:pStyle w:val="ListParagraph"/>
              <w:numPr>
                <w:ilvl w:val="0"/>
                <w:numId w:val="2"/>
              </w:numPr>
              <w:rPr>
                <w:noProof/>
                <w:sz w:val="20"/>
              </w:rPr>
            </w:pPr>
            <w:r>
              <w:rPr>
                <w:noProof/>
                <w:sz w:val="20"/>
              </w:rPr>
              <w:t>Maßnahmen, die</w:t>
            </w:r>
            <w:r>
              <w:rPr>
                <w:noProof/>
                <w:sz w:val="20"/>
              </w:rPr>
              <w:t xml:space="preserve"> die regionale Zusammenarbeit mit den Mitgliedstaaten, die Anrainer derselben Meeresregion bzw. -unterregion sind, bei der Bekämpfung der wichtigsten Belastungen sicherstellen.</w:t>
            </w:r>
          </w:p>
        </w:tc>
        <w:tc>
          <w:tcPr>
            <w:tcW w:w="2357" w:type="dxa"/>
            <w:shd w:val="clear" w:color="auto" w:fill="auto"/>
            <w:vAlign w:val="center"/>
          </w:tcPr>
          <w:p w:rsidR="008A5116" w:rsidRDefault="007552EA">
            <w:pPr>
              <w:spacing w:after="120"/>
              <w:jc w:val="both"/>
              <w:rPr>
                <w:noProof/>
              </w:rPr>
            </w:pPr>
            <w:r>
              <w:rPr>
                <w:noProof/>
              </w:rPr>
              <w:t>BE, BG, CY, DE, ES, FI, IE, IT, LV, PT, SE, UK</w:t>
            </w:r>
          </w:p>
        </w:tc>
      </w:tr>
      <w:tr w:rsidR="008A5116" w:rsidRPr="007552EA">
        <w:tc>
          <w:tcPr>
            <w:tcW w:w="7111" w:type="dxa"/>
            <w:vAlign w:val="center"/>
          </w:tcPr>
          <w:p w:rsidR="008A5116" w:rsidRDefault="007552EA">
            <w:pPr>
              <w:pStyle w:val="ListParagraph"/>
              <w:widowControl w:val="0"/>
              <w:numPr>
                <w:ilvl w:val="0"/>
                <w:numId w:val="2"/>
              </w:numPr>
              <w:rPr>
                <w:noProof/>
                <w:sz w:val="20"/>
              </w:rPr>
            </w:pPr>
            <w:r>
              <w:rPr>
                <w:noProof/>
                <w:sz w:val="20"/>
              </w:rPr>
              <w:t>Maßnahmen, mit denen die unverz</w:t>
            </w:r>
            <w:r>
              <w:rPr>
                <w:noProof/>
                <w:sz w:val="20"/>
              </w:rPr>
              <w:t>ügliche Umsetzung des Überwachungsprogramms des Mitgliedstaats und die fristgerechte Berichterstattung darüber sichergestellt werden.</w:t>
            </w:r>
          </w:p>
        </w:tc>
        <w:tc>
          <w:tcPr>
            <w:tcW w:w="2357" w:type="dxa"/>
            <w:shd w:val="clear" w:color="auto" w:fill="auto"/>
            <w:vAlign w:val="center"/>
          </w:tcPr>
          <w:p w:rsidR="008A5116" w:rsidRDefault="007552EA">
            <w:pPr>
              <w:pStyle w:val="Text1"/>
              <w:ind w:left="0"/>
              <w:rPr>
                <w:noProof/>
                <w:sz w:val="20"/>
                <w:lang w:val="en-GB"/>
              </w:rPr>
            </w:pPr>
            <w:r>
              <w:rPr>
                <w:noProof/>
                <w:sz w:val="20"/>
                <w:lang w:val="en-GB"/>
              </w:rPr>
              <w:t>BG, CY, ES, FR, IE, IT, LV, MT, PL, UK</w:t>
            </w:r>
          </w:p>
        </w:tc>
      </w:tr>
      <w:tr w:rsidR="008A5116">
        <w:tc>
          <w:tcPr>
            <w:tcW w:w="9468" w:type="dxa"/>
            <w:gridSpan w:val="2"/>
            <w:shd w:val="clear" w:color="auto" w:fill="C6D9F1" w:themeFill="text2" w:themeFillTint="33"/>
            <w:vAlign w:val="center"/>
          </w:tcPr>
          <w:p w:rsidR="008A5116" w:rsidRDefault="007552EA">
            <w:pPr>
              <w:pStyle w:val="Text1"/>
              <w:spacing w:after="0"/>
              <w:ind w:left="0"/>
              <w:rPr>
                <w:noProof/>
                <w:sz w:val="20"/>
              </w:rPr>
            </w:pPr>
            <w:bookmarkStart w:id="4" w:name="_Toc433296166"/>
            <w:bookmarkStart w:id="5" w:name="_Toc439678155"/>
            <w:r>
              <w:rPr>
                <w:b/>
                <w:noProof/>
                <w:sz w:val="20"/>
              </w:rPr>
              <w:t>Luftqualität</w:t>
            </w:r>
            <w:bookmarkEnd w:id="4"/>
            <w:bookmarkEnd w:id="5"/>
          </w:p>
        </w:tc>
      </w:tr>
      <w:tr w:rsidR="008A5116">
        <w:tc>
          <w:tcPr>
            <w:tcW w:w="7111" w:type="dxa"/>
            <w:tcBorders>
              <w:right w:val="single" w:sz="4" w:space="0" w:color="auto"/>
            </w:tcBorders>
            <w:vAlign w:val="center"/>
          </w:tcPr>
          <w:p w:rsidR="008A5116" w:rsidRDefault="007552EA">
            <w:pPr>
              <w:pStyle w:val="ListParagraph"/>
              <w:numPr>
                <w:ilvl w:val="0"/>
                <w:numId w:val="2"/>
              </w:numPr>
              <w:rPr>
                <w:rFonts w:eastAsia="Times New Roman"/>
                <w:noProof/>
                <w:sz w:val="20"/>
              </w:rPr>
            </w:pPr>
            <w:r>
              <w:rPr>
                <w:noProof/>
                <w:sz w:val="20"/>
              </w:rPr>
              <w:t xml:space="preserve">Im Rahmen der Aufstellung angemessener nationaler </w:t>
            </w:r>
            <w:r>
              <w:rPr>
                <w:noProof/>
                <w:sz w:val="20"/>
              </w:rPr>
              <w:t>Luftreinhalteprogramme Einleitung von Maßnahmen zur Verringerung der wichtigsten Emissionsquellen und Einhaltung aller Luftqualitätsnormen.</w:t>
            </w:r>
          </w:p>
        </w:tc>
        <w:tc>
          <w:tcPr>
            <w:tcW w:w="2357" w:type="dxa"/>
            <w:tcBorders>
              <w:left w:val="single" w:sz="4" w:space="0" w:color="auto"/>
            </w:tcBorders>
            <w:shd w:val="clear" w:color="auto" w:fill="auto"/>
            <w:vAlign w:val="center"/>
          </w:tcPr>
          <w:p w:rsidR="008A5116" w:rsidRDefault="007552EA">
            <w:pPr>
              <w:spacing w:after="120"/>
              <w:ind w:left="720" w:hanging="720"/>
              <w:jc w:val="both"/>
              <w:rPr>
                <w:noProof/>
              </w:rPr>
            </w:pPr>
            <w:r>
              <w:rPr>
                <w:noProof/>
              </w:rPr>
              <w:t>Alle Mitgliedstaaten</w:t>
            </w:r>
          </w:p>
        </w:tc>
      </w:tr>
      <w:tr w:rsidR="008A5116" w:rsidRPr="007552EA">
        <w:tc>
          <w:tcPr>
            <w:tcW w:w="7111" w:type="dxa"/>
            <w:tcBorders>
              <w:right w:val="single" w:sz="4" w:space="0" w:color="auto"/>
            </w:tcBorders>
            <w:vAlign w:val="center"/>
          </w:tcPr>
          <w:p w:rsidR="008A5116" w:rsidRDefault="007552EA">
            <w:pPr>
              <w:pStyle w:val="ListParagraph"/>
              <w:numPr>
                <w:ilvl w:val="0"/>
                <w:numId w:val="2"/>
              </w:numPr>
              <w:rPr>
                <w:rFonts w:eastAsia="Times New Roman"/>
                <w:noProof/>
                <w:sz w:val="20"/>
              </w:rPr>
            </w:pPr>
            <w:r>
              <w:rPr>
                <w:noProof/>
                <w:sz w:val="20"/>
              </w:rPr>
              <w:t>Schnellere Verringerung der Emissionen und Konzentrationen von Feinstaub (PM</w:t>
            </w:r>
            <w:r>
              <w:rPr>
                <w:noProof/>
                <w:sz w:val="20"/>
                <w:vertAlign w:val="subscript"/>
              </w:rPr>
              <w:t>2,5</w:t>
            </w:r>
            <w:r>
              <w:rPr>
                <w:noProof/>
                <w:sz w:val="20"/>
              </w:rPr>
              <w:t xml:space="preserve"> und PM</w:t>
            </w:r>
            <w:r>
              <w:rPr>
                <w:noProof/>
                <w:sz w:val="20"/>
                <w:vertAlign w:val="subscript"/>
              </w:rPr>
              <w:t>10</w:t>
            </w:r>
            <w:r>
              <w:rPr>
                <w:noProof/>
                <w:sz w:val="20"/>
              </w:rPr>
              <w:t>) durc</w:t>
            </w:r>
            <w:r>
              <w:rPr>
                <w:noProof/>
                <w:sz w:val="20"/>
              </w:rPr>
              <w:t>h Reduzierung der Emissionen aus der Erzeugung von Energie und Wärme mittels Festbrennstoffen. Förderung von effizienten und sauberen Fernheizungsanlagen und energieeffizienten Gebäuden.</w:t>
            </w:r>
          </w:p>
        </w:tc>
        <w:tc>
          <w:tcPr>
            <w:tcW w:w="2357" w:type="dxa"/>
            <w:tcBorders>
              <w:left w:val="single" w:sz="4" w:space="0" w:color="auto"/>
            </w:tcBorders>
            <w:shd w:val="clear" w:color="auto" w:fill="auto"/>
            <w:vAlign w:val="center"/>
          </w:tcPr>
          <w:p w:rsidR="008A5116" w:rsidRDefault="007552EA">
            <w:pPr>
              <w:spacing w:after="120"/>
              <w:jc w:val="both"/>
              <w:rPr>
                <w:noProof/>
                <w:lang w:val="es-ES"/>
              </w:rPr>
            </w:pPr>
            <w:r>
              <w:rPr>
                <w:noProof/>
                <w:lang w:val="es-ES"/>
              </w:rPr>
              <w:t xml:space="preserve">AT, BG, CZ, DE, EL, ES, FR, HR, HU, IT, PL, RO, SE, SI, SK </w:t>
            </w:r>
          </w:p>
        </w:tc>
      </w:tr>
      <w:tr w:rsidR="008A5116" w:rsidRPr="007552EA">
        <w:tc>
          <w:tcPr>
            <w:tcW w:w="7111" w:type="dxa"/>
            <w:tcBorders>
              <w:right w:val="single" w:sz="4" w:space="0" w:color="auto"/>
            </w:tcBorders>
            <w:vAlign w:val="center"/>
          </w:tcPr>
          <w:p w:rsidR="008A5116" w:rsidRDefault="007552EA">
            <w:pPr>
              <w:pStyle w:val="ListParagraph"/>
              <w:numPr>
                <w:ilvl w:val="0"/>
                <w:numId w:val="2"/>
              </w:numPr>
              <w:rPr>
                <w:noProof/>
                <w:sz w:val="20"/>
              </w:rPr>
            </w:pPr>
            <w:r>
              <w:rPr>
                <w:noProof/>
                <w:sz w:val="20"/>
              </w:rPr>
              <w:t>Reduzier</w:t>
            </w:r>
            <w:r>
              <w:rPr>
                <w:noProof/>
                <w:sz w:val="20"/>
              </w:rPr>
              <w:t>ung des Einsatzes von Kohle für den Hausbrand, um die Emissionen von Luftschadstoffen zu begrenzen, z. B. im Rahmen der Initiative zur Unterstützung von Kohleregionen im Wandel.</w:t>
            </w:r>
          </w:p>
        </w:tc>
        <w:tc>
          <w:tcPr>
            <w:tcW w:w="2357" w:type="dxa"/>
            <w:tcBorders>
              <w:left w:val="single" w:sz="4" w:space="0" w:color="auto"/>
            </w:tcBorders>
            <w:shd w:val="clear" w:color="auto" w:fill="auto"/>
            <w:vAlign w:val="center"/>
          </w:tcPr>
          <w:p w:rsidR="008A5116" w:rsidRDefault="007552EA">
            <w:pPr>
              <w:spacing w:after="120"/>
              <w:jc w:val="both"/>
              <w:rPr>
                <w:noProof/>
                <w:lang w:val="es-ES"/>
              </w:rPr>
            </w:pPr>
            <w:r>
              <w:rPr>
                <w:noProof/>
                <w:lang w:val="es-ES"/>
              </w:rPr>
              <w:t>BG, CZ, EL, HU, PL, RO, SK</w:t>
            </w:r>
          </w:p>
        </w:tc>
      </w:tr>
      <w:tr w:rsidR="008A5116">
        <w:tc>
          <w:tcPr>
            <w:tcW w:w="7111" w:type="dxa"/>
            <w:vAlign w:val="center"/>
          </w:tcPr>
          <w:p w:rsidR="008A5116" w:rsidRDefault="007552EA">
            <w:pPr>
              <w:pStyle w:val="ListParagraph"/>
              <w:numPr>
                <w:ilvl w:val="0"/>
                <w:numId w:val="2"/>
              </w:numPr>
              <w:rPr>
                <w:noProof/>
                <w:sz w:val="20"/>
              </w:rPr>
            </w:pPr>
            <w:r>
              <w:rPr>
                <w:noProof/>
                <w:sz w:val="20"/>
              </w:rPr>
              <w:t>Schnellere Reduzierung der Emissionen von Sticksto</w:t>
            </w:r>
            <w:r>
              <w:rPr>
                <w:noProof/>
                <w:sz w:val="20"/>
              </w:rPr>
              <w:t>ffoxid (NO</w:t>
            </w:r>
            <w:r>
              <w:rPr>
                <w:noProof/>
                <w:sz w:val="20"/>
                <w:vertAlign w:val="subscript"/>
              </w:rPr>
              <w:t>x</w:t>
            </w:r>
            <w:r>
              <w:rPr>
                <w:noProof/>
                <w:sz w:val="20"/>
              </w:rPr>
              <w:t>) und der Konzentrationen von Stickstoffdioxid (NO</w:t>
            </w:r>
            <w:r>
              <w:rPr>
                <w:noProof/>
                <w:sz w:val="20"/>
                <w:vertAlign w:val="subscript"/>
              </w:rPr>
              <w:t>2</w:t>
            </w:r>
            <w:r>
              <w:rPr>
                <w:noProof/>
                <w:sz w:val="20"/>
              </w:rPr>
              <w:t>) durch weitere Verringerung der Verkehrsemissionen, vor allem in städtischen Gebieten. Hierzu können auch angemessene und gezielte Zufahrtsbeschränkungen für Fahrzeuge in städtischen Gebieten u</w:t>
            </w:r>
            <w:r>
              <w:rPr>
                <w:noProof/>
                <w:sz w:val="20"/>
              </w:rPr>
              <w:t>nd/oder steuerliche Anreize notwendig sein.</w:t>
            </w:r>
          </w:p>
        </w:tc>
        <w:tc>
          <w:tcPr>
            <w:tcW w:w="2357" w:type="dxa"/>
            <w:shd w:val="clear" w:color="auto" w:fill="auto"/>
            <w:vAlign w:val="center"/>
          </w:tcPr>
          <w:p w:rsidR="008A5116" w:rsidRDefault="007552EA">
            <w:pPr>
              <w:spacing w:after="120"/>
              <w:jc w:val="both"/>
              <w:rPr>
                <w:noProof/>
                <w:lang w:val="en-GB"/>
              </w:rPr>
            </w:pPr>
            <w:r>
              <w:rPr>
                <w:noProof/>
                <w:lang w:val="en-GB"/>
              </w:rPr>
              <w:t xml:space="preserve">AT, BE, BG, CZ, DE, EL, ES, FR, HR, HU, IE, IT, LU, NL, PL, PT, RO, UK </w:t>
            </w:r>
          </w:p>
        </w:tc>
      </w:tr>
      <w:tr w:rsidR="008A5116">
        <w:tc>
          <w:tcPr>
            <w:tcW w:w="7111" w:type="dxa"/>
            <w:vAlign w:val="center"/>
          </w:tcPr>
          <w:p w:rsidR="008A5116" w:rsidRDefault="007552EA">
            <w:pPr>
              <w:pStyle w:val="ListParagraph"/>
              <w:numPr>
                <w:ilvl w:val="0"/>
                <w:numId w:val="2"/>
              </w:numPr>
              <w:rPr>
                <w:noProof/>
                <w:sz w:val="20"/>
              </w:rPr>
            </w:pPr>
            <w:r>
              <w:rPr>
                <w:noProof/>
                <w:sz w:val="20"/>
              </w:rPr>
              <w:t>Reduzierung der Emissionen von Ammoniak (NH</w:t>
            </w:r>
            <w:r>
              <w:rPr>
                <w:noProof/>
                <w:sz w:val="20"/>
                <w:vertAlign w:val="subscript"/>
              </w:rPr>
              <w:t>3</w:t>
            </w:r>
            <w:r>
              <w:rPr>
                <w:noProof/>
                <w:sz w:val="20"/>
              </w:rPr>
              <w:t>), beispielsweise durch die Einführung emissionsarmer landwirtschaftlicher Methoden.</w:t>
            </w:r>
          </w:p>
        </w:tc>
        <w:tc>
          <w:tcPr>
            <w:tcW w:w="2357" w:type="dxa"/>
            <w:shd w:val="clear" w:color="auto" w:fill="auto"/>
            <w:vAlign w:val="center"/>
          </w:tcPr>
          <w:p w:rsidR="008A5116" w:rsidRDefault="007552EA">
            <w:pPr>
              <w:spacing w:after="120"/>
              <w:jc w:val="both"/>
              <w:rPr>
                <w:noProof/>
              </w:rPr>
            </w:pPr>
            <w:r>
              <w:rPr>
                <w:noProof/>
              </w:rPr>
              <w:t xml:space="preserve">AT, DE, DK, ES, HR, IE </w:t>
            </w:r>
          </w:p>
        </w:tc>
      </w:tr>
      <w:tr w:rsidR="008A5116">
        <w:tc>
          <w:tcPr>
            <w:tcW w:w="7111" w:type="dxa"/>
            <w:vAlign w:val="center"/>
          </w:tcPr>
          <w:p w:rsidR="008A5116" w:rsidRDefault="007552EA">
            <w:pPr>
              <w:pStyle w:val="ListParagraph"/>
              <w:numPr>
                <w:ilvl w:val="0"/>
                <w:numId w:val="2"/>
              </w:numPr>
              <w:tabs>
                <w:tab w:val="left" w:pos="1392"/>
              </w:tabs>
              <w:rPr>
                <w:noProof/>
                <w:sz w:val="20"/>
              </w:rPr>
            </w:pPr>
            <w:r>
              <w:rPr>
                <w:noProof/>
                <w:sz w:val="20"/>
              </w:rPr>
              <w:t>Reduzierung der Emissionen von flüchtigen organischen Verbindungen außer Methan (NMVOC) (soweit zur Einhaltung der geltenden nationalen Emissionshöchstmengen erforderlich).</w:t>
            </w:r>
          </w:p>
        </w:tc>
        <w:tc>
          <w:tcPr>
            <w:tcW w:w="2357" w:type="dxa"/>
            <w:shd w:val="clear" w:color="auto" w:fill="auto"/>
            <w:vAlign w:val="center"/>
          </w:tcPr>
          <w:p w:rsidR="008A5116" w:rsidRDefault="007552EA">
            <w:pPr>
              <w:spacing w:after="120"/>
              <w:jc w:val="both"/>
              <w:rPr>
                <w:noProof/>
              </w:rPr>
            </w:pPr>
            <w:r>
              <w:rPr>
                <w:noProof/>
              </w:rPr>
              <w:t>DE, HU, IE, LU</w:t>
            </w:r>
          </w:p>
        </w:tc>
      </w:tr>
      <w:tr w:rsidR="008A5116" w:rsidRPr="007552EA">
        <w:tc>
          <w:tcPr>
            <w:tcW w:w="7111" w:type="dxa"/>
            <w:vAlign w:val="center"/>
          </w:tcPr>
          <w:p w:rsidR="008A5116" w:rsidRDefault="007552EA">
            <w:pPr>
              <w:pStyle w:val="ListParagraph"/>
              <w:keepNext/>
              <w:keepLines/>
              <w:numPr>
                <w:ilvl w:val="0"/>
                <w:numId w:val="2"/>
              </w:numPr>
              <w:tabs>
                <w:tab w:val="left" w:pos="4744"/>
              </w:tabs>
              <w:rPr>
                <w:noProof/>
                <w:sz w:val="20"/>
              </w:rPr>
            </w:pPr>
            <w:r>
              <w:rPr>
                <w:noProof/>
                <w:sz w:val="20"/>
              </w:rPr>
              <w:t>Ausbau und Verbesserung des Netzes zur Übe</w:t>
            </w:r>
            <w:r>
              <w:rPr>
                <w:noProof/>
                <w:sz w:val="20"/>
              </w:rPr>
              <w:t>rwachung der Luftqualität und Gewährleistung der fristgerechten Berichterstattung über Daten zur Luftqualität.</w:t>
            </w:r>
          </w:p>
        </w:tc>
        <w:tc>
          <w:tcPr>
            <w:tcW w:w="2357" w:type="dxa"/>
            <w:shd w:val="clear" w:color="auto" w:fill="auto"/>
            <w:vAlign w:val="center"/>
          </w:tcPr>
          <w:p w:rsidR="008A5116" w:rsidRDefault="007552EA">
            <w:pPr>
              <w:keepNext/>
              <w:keepLines/>
              <w:spacing w:after="120"/>
              <w:jc w:val="both"/>
              <w:rPr>
                <w:noProof/>
                <w:lang w:val="en-GB"/>
              </w:rPr>
            </w:pPr>
            <w:r>
              <w:rPr>
                <w:noProof/>
                <w:lang w:val="en-GB"/>
              </w:rPr>
              <w:t>BE, BG, EL, IT, LU, RO, SI, SK</w:t>
            </w:r>
          </w:p>
        </w:tc>
      </w:tr>
      <w:tr w:rsidR="008A5116">
        <w:tc>
          <w:tcPr>
            <w:tcW w:w="9468" w:type="dxa"/>
            <w:gridSpan w:val="2"/>
            <w:shd w:val="clear" w:color="auto" w:fill="C6D9F1" w:themeFill="text2" w:themeFillTint="33"/>
            <w:vAlign w:val="center"/>
          </w:tcPr>
          <w:p w:rsidR="008A5116" w:rsidRDefault="007552EA">
            <w:pPr>
              <w:pStyle w:val="Text1"/>
              <w:keepLines/>
              <w:spacing w:after="0"/>
              <w:ind w:left="0"/>
              <w:rPr>
                <w:noProof/>
              </w:rPr>
            </w:pPr>
            <w:r>
              <w:rPr>
                <w:b/>
                <w:noProof/>
                <w:sz w:val="20"/>
              </w:rPr>
              <w:t>Industrieemissionen</w:t>
            </w:r>
          </w:p>
        </w:tc>
      </w:tr>
      <w:tr w:rsidR="008A5116">
        <w:tc>
          <w:tcPr>
            <w:tcW w:w="7111" w:type="dxa"/>
            <w:shd w:val="clear" w:color="auto" w:fill="auto"/>
            <w:vAlign w:val="center"/>
          </w:tcPr>
          <w:p w:rsidR="008A5116" w:rsidRDefault="007552EA">
            <w:pPr>
              <w:pStyle w:val="ListParagraph"/>
              <w:keepLines/>
              <w:numPr>
                <w:ilvl w:val="0"/>
                <w:numId w:val="2"/>
              </w:numPr>
              <w:tabs>
                <w:tab w:val="left" w:pos="4744"/>
              </w:tabs>
              <w:rPr>
                <w:noProof/>
                <w:sz w:val="20"/>
              </w:rPr>
            </w:pPr>
            <w:r>
              <w:rPr>
                <w:noProof/>
                <w:sz w:val="20"/>
              </w:rPr>
              <w:t xml:space="preserve">Überprüfung von Genehmigungen und Stärkung der Kontrollen und/oder der Durchsetzung von Rechtsvorschriften im Hinblick auf die Einhaltung neu festgelegter BVT-Schlussfolgerungen. </w:t>
            </w:r>
          </w:p>
        </w:tc>
        <w:tc>
          <w:tcPr>
            <w:tcW w:w="2357" w:type="dxa"/>
            <w:shd w:val="clear" w:color="auto" w:fill="auto"/>
            <w:vAlign w:val="center"/>
          </w:tcPr>
          <w:p w:rsidR="008A5116" w:rsidRDefault="007552EA">
            <w:pPr>
              <w:keepLines/>
              <w:spacing w:after="120"/>
              <w:jc w:val="both"/>
              <w:rPr>
                <w:noProof/>
              </w:rPr>
            </w:pPr>
            <w:r>
              <w:rPr>
                <w:noProof/>
              </w:rPr>
              <w:t>Alle Mitgliedstaaten</w:t>
            </w:r>
          </w:p>
        </w:tc>
      </w:tr>
      <w:tr w:rsidR="008A5116" w:rsidRPr="007552EA">
        <w:trPr>
          <w:trHeight w:val="902"/>
        </w:trPr>
        <w:tc>
          <w:tcPr>
            <w:tcW w:w="7111" w:type="dxa"/>
            <w:shd w:val="clear" w:color="auto" w:fill="auto"/>
            <w:vAlign w:val="center"/>
          </w:tcPr>
          <w:p w:rsidR="008A5116" w:rsidRDefault="007552EA">
            <w:pPr>
              <w:pStyle w:val="ListParagraph"/>
              <w:keepLines/>
              <w:numPr>
                <w:ilvl w:val="0"/>
                <w:numId w:val="2"/>
              </w:numPr>
              <w:tabs>
                <w:tab w:val="left" w:pos="4744"/>
              </w:tabs>
              <w:rPr>
                <w:noProof/>
                <w:sz w:val="20"/>
              </w:rPr>
            </w:pPr>
            <w:r>
              <w:rPr>
                <w:noProof/>
                <w:sz w:val="20"/>
              </w:rPr>
              <w:t>Bekämpfung der Luft- und/oder Wasserverschmutzung im Z</w:t>
            </w:r>
            <w:r>
              <w:rPr>
                <w:noProof/>
                <w:sz w:val="20"/>
              </w:rPr>
              <w:t>usammenhang mit Emissionen aus Anlagen in einem oder mehreren der folgenden Wirtschaftszweige: Elektrizitätserzeugung, Intensivhaltung oder -aufzucht von Geflügel und Schweinen, Abfallbehandlungstätigkeiten, Herstellung von Eisen und Stahl.</w:t>
            </w:r>
          </w:p>
        </w:tc>
        <w:tc>
          <w:tcPr>
            <w:tcW w:w="2357" w:type="dxa"/>
            <w:shd w:val="clear" w:color="auto" w:fill="auto"/>
            <w:vAlign w:val="center"/>
          </w:tcPr>
          <w:p w:rsidR="008A5116" w:rsidRDefault="007552EA">
            <w:pPr>
              <w:keepLines/>
              <w:spacing w:after="120"/>
              <w:jc w:val="both"/>
              <w:rPr>
                <w:noProof/>
                <w:lang w:val="es-ES"/>
              </w:rPr>
            </w:pPr>
            <w:r>
              <w:rPr>
                <w:noProof/>
                <w:lang w:val="es-ES"/>
              </w:rPr>
              <w:t>BG, CY, CZ, DE,</w:t>
            </w:r>
            <w:r>
              <w:rPr>
                <w:noProof/>
                <w:lang w:val="es-ES"/>
              </w:rPr>
              <w:t xml:space="preserve"> EE, EL, ES, FI, HR, HU, IE, IT, LU, LV, NL, PT, RO, SK, UK</w:t>
            </w:r>
          </w:p>
        </w:tc>
      </w:tr>
      <w:tr w:rsidR="008A5116">
        <w:trPr>
          <w:cantSplit/>
        </w:trPr>
        <w:tc>
          <w:tcPr>
            <w:tcW w:w="9468" w:type="dxa"/>
            <w:gridSpan w:val="2"/>
            <w:shd w:val="clear" w:color="auto" w:fill="C6D9F1" w:themeFill="text2" w:themeFillTint="33"/>
            <w:vAlign w:val="center"/>
          </w:tcPr>
          <w:p w:rsidR="008A5116" w:rsidRDefault="007552EA">
            <w:pPr>
              <w:pStyle w:val="Text1"/>
              <w:spacing w:after="0"/>
              <w:ind w:left="0"/>
              <w:rPr>
                <w:noProof/>
                <w:sz w:val="20"/>
              </w:rPr>
            </w:pPr>
            <w:r>
              <w:rPr>
                <w:b/>
                <w:noProof/>
                <w:sz w:val="20"/>
              </w:rPr>
              <w:t>Lärm</w:t>
            </w:r>
          </w:p>
        </w:tc>
      </w:tr>
      <w:tr w:rsidR="008A5116" w:rsidRPr="007552EA">
        <w:trPr>
          <w:cantSplit/>
          <w:trHeight w:val="402"/>
        </w:trPr>
        <w:tc>
          <w:tcPr>
            <w:tcW w:w="7111" w:type="dxa"/>
            <w:vAlign w:val="center"/>
          </w:tcPr>
          <w:p w:rsidR="008A5116" w:rsidRDefault="007552EA">
            <w:pPr>
              <w:pStyle w:val="Text1"/>
              <w:numPr>
                <w:ilvl w:val="0"/>
                <w:numId w:val="2"/>
              </w:numPr>
              <w:rPr>
                <w:noProof/>
                <w:sz w:val="20"/>
              </w:rPr>
            </w:pPr>
            <w:r>
              <w:rPr>
                <w:noProof/>
                <w:sz w:val="20"/>
              </w:rPr>
              <w:t>Vervollständigung fehlender Lärmschutz-Aktionspläne.</w:t>
            </w:r>
          </w:p>
        </w:tc>
        <w:tc>
          <w:tcPr>
            <w:tcW w:w="2357" w:type="dxa"/>
            <w:shd w:val="clear" w:color="auto" w:fill="auto"/>
            <w:vAlign w:val="center"/>
          </w:tcPr>
          <w:p w:rsidR="008A5116" w:rsidRDefault="007552EA">
            <w:pPr>
              <w:pStyle w:val="Text1"/>
              <w:ind w:left="0"/>
              <w:rPr>
                <w:noProof/>
                <w:sz w:val="20"/>
                <w:lang w:val="es-ES"/>
              </w:rPr>
            </w:pPr>
            <w:r>
              <w:rPr>
                <w:noProof/>
                <w:sz w:val="20"/>
                <w:lang w:val="es-ES"/>
              </w:rPr>
              <w:t>BE, CY, CZ, DE, EL, ES, FR, IT, PL, PT, RO, SE, SK</w:t>
            </w:r>
          </w:p>
        </w:tc>
      </w:tr>
      <w:tr w:rsidR="008A5116">
        <w:trPr>
          <w:cantSplit/>
          <w:trHeight w:val="287"/>
        </w:trPr>
        <w:tc>
          <w:tcPr>
            <w:tcW w:w="7111" w:type="dxa"/>
            <w:vAlign w:val="center"/>
          </w:tcPr>
          <w:p w:rsidR="008A5116" w:rsidRDefault="007552EA">
            <w:pPr>
              <w:pStyle w:val="Text1"/>
              <w:numPr>
                <w:ilvl w:val="0"/>
                <w:numId w:val="2"/>
              </w:numPr>
              <w:rPr>
                <w:noProof/>
                <w:sz w:val="20"/>
              </w:rPr>
            </w:pPr>
            <w:r>
              <w:rPr>
                <w:noProof/>
                <w:sz w:val="20"/>
              </w:rPr>
              <w:t>Vervollständigung fehlender Lärmkarten.</w:t>
            </w:r>
          </w:p>
        </w:tc>
        <w:tc>
          <w:tcPr>
            <w:tcW w:w="2357" w:type="dxa"/>
            <w:shd w:val="clear" w:color="auto" w:fill="auto"/>
            <w:vAlign w:val="center"/>
          </w:tcPr>
          <w:p w:rsidR="008A5116" w:rsidRDefault="007552EA">
            <w:pPr>
              <w:pStyle w:val="Text1"/>
              <w:ind w:left="0"/>
              <w:rPr>
                <w:noProof/>
                <w:sz w:val="20"/>
                <w:lang w:val="en-GB"/>
              </w:rPr>
            </w:pPr>
            <w:r>
              <w:rPr>
                <w:noProof/>
                <w:sz w:val="20"/>
                <w:lang w:val="en-GB"/>
              </w:rPr>
              <w:t>BE, EL, ES, IT, PT, RO, SK</w:t>
            </w:r>
          </w:p>
        </w:tc>
      </w:tr>
      <w:tr w:rsidR="008A5116">
        <w:tc>
          <w:tcPr>
            <w:tcW w:w="9468" w:type="dxa"/>
            <w:gridSpan w:val="2"/>
            <w:shd w:val="clear" w:color="auto" w:fill="C6D9F1" w:themeFill="text2" w:themeFillTint="33"/>
            <w:vAlign w:val="center"/>
          </w:tcPr>
          <w:p w:rsidR="008A5116" w:rsidRDefault="007552EA">
            <w:pPr>
              <w:pStyle w:val="Text1"/>
              <w:spacing w:after="0"/>
              <w:ind w:left="0"/>
              <w:rPr>
                <w:b/>
                <w:noProof/>
                <w:sz w:val="20"/>
              </w:rPr>
            </w:pPr>
            <w:r>
              <w:rPr>
                <w:b/>
                <w:noProof/>
                <w:sz w:val="20"/>
              </w:rPr>
              <w:t xml:space="preserve">Wasserqualität und Wasserbewirtschaftung </w:t>
            </w:r>
          </w:p>
        </w:tc>
      </w:tr>
      <w:tr w:rsidR="008A5116">
        <w:tc>
          <w:tcPr>
            <w:tcW w:w="7111" w:type="dxa"/>
            <w:shd w:val="clear" w:color="auto" w:fill="auto"/>
            <w:vAlign w:val="center"/>
          </w:tcPr>
          <w:p w:rsidR="008A5116" w:rsidRDefault="007552EA">
            <w:pPr>
              <w:pStyle w:val="Text1"/>
              <w:numPr>
                <w:ilvl w:val="0"/>
                <w:numId w:val="2"/>
              </w:numPr>
              <w:rPr>
                <w:noProof/>
                <w:sz w:val="20"/>
              </w:rPr>
            </w:pPr>
            <w:r>
              <w:rPr>
                <w:noProof/>
                <w:sz w:val="20"/>
              </w:rPr>
              <w:t xml:space="preserve">Verbesserte Überwachung und Bewertung aller einschlägigen Qualitätselemente bei allen Wasserkörpern gemäß der Wasserrahmenrichtlinie. </w:t>
            </w:r>
          </w:p>
        </w:tc>
        <w:tc>
          <w:tcPr>
            <w:tcW w:w="2357" w:type="dxa"/>
            <w:shd w:val="clear" w:color="auto" w:fill="auto"/>
            <w:vAlign w:val="center"/>
          </w:tcPr>
          <w:p w:rsidR="008A5116" w:rsidRDefault="007552EA">
            <w:pPr>
              <w:pStyle w:val="Text1"/>
              <w:ind w:left="0"/>
              <w:rPr>
                <w:noProof/>
                <w:sz w:val="20"/>
              </w:rPr>
            </w:pPr>
            <w:r>
              <w:rPr>
                <w:noProof/>
                <w:sz w:val="20"/>
              </w:rPr>
              <w:t>BG, CY, CZ, DE, DK, EE, FI, HR, HU, LV, MT, PL, PT, RO, SE, SI, UK</w:t>
            </w:r>
          </w:p>
        </w:tc>
      </w:tr>
      <w:tr w:rsidR="008A5116" w:rsidRPr="007552EA">
        <w:tc>
          <w:tcPr>
            <w:tcW w:w="7111" w:type="dxa"/>
            <w:vAlign w:val="center"/>
          </w:tcPr>
          <w:p w:rsidR="008A5116" w:rsidRDefault="007552EA">
            <w:pPr>
              <w:pStyle w:val="Text1"/>
              <w:numPr>
                <w:ilvl w:val="0"/>
                <w:numId w:val="2"/>
              </w:numPr>
              <w:rPr>
                <w:noProof/>
                <w:sz w:val="20"/>
              </w:rPr>
            </w:pPr>
            <w:r>
              <w:rPr>
                <w:noProof/>
                <w:sz w:val="20"/>
              </w:rPr>
              <w:t>Gewährleistung der fristgerechten Verabschiedung der Bewirtschaftungspläne für die Einzugsgebiete und/oder Berichterstattung über diese Pläne gemäß der Wasserrahmenrichtlinie.</w:t>
            </w:r>
          </w:p>
        </w:tc>
        <w:tc>
          <w:tcPr>
            <w:tcW w:w="2357" w:type="dxa"/>
            <w:shd w:val="clear" w:color="auto" w:fill="auto"/>
            <w:vAlign w:val="center"/>
          </w:tcPr>
          <w:p w:rsidR="008A5116" w:rsidRDefault="007552EA">
            <w:pPr>
              <w:pStyle w:val="Text1"/>
              <w:ind w:left="0"/>
              <w:rPr>
                <w:noProof/>
                <w:sz w:val="20"/>
                <w:lang w:val="es-ES"/>
              </w:rPr>
            </w:pPr>
            <w:r>
              <w:rPr>
                <w:noProof/>
                <w:sz w:val="20"/>
                <w:lang w:val="es-ES"/>
              </w:rPr>
              <w:t>AT, ES, EL, IE, LT</w:t>
            </w:r>
          </w:p>
        </w:tc>
      </w:tr>
      <w:tr w:rsidR="008A5116">
        <w:tc>
          <w:tcPr>
            <w:tcW w:w="7111" w:type="dxa"/>
            <w:vAlign w:val="center"/>
          </w:tcPr>
          <w:p w:rsidR="008A5116" w:rsidRDefault="007552EA">
            <w:pPr>
              <w:pStyle w:val="Text1"/>
              <w:numPr>
                <w:ilvl w:val="0"/>
                <w:numId w:val="2"/>
              </w:numPr>
              <w:rPr>
                <w:noProof/>
                <w:sz w:val="20"/>
              </w:rPr>
            </w:pPr>
            <w:r>
              <w:rPr>
                <w:noProof/>
                <w:sz w:val="20"/>
              </w:rPr>
              <w:t>Gewährleistung der fristgerechten Verabschiedung der Hochwas</w:t>
            </w:r>
            <w:r>
              <w:rPr>
                <w:noProof/>
                <w:sz w:val="20"/>
              </w:rPr>
              <w:t>serrisikomanagementpläne gemäß der Wasserrahmenrichtlinie.</w:t>
            </w:r>
          </w:p>
        </w:tc>
        <w:tc>
          <w:tcPr>
            <w:tcW w:w="2357" w:type="dxa"/>
            <w:shd w:val="clear" w:color="auto" w:fill="auto"/>
            <w:vAlign w:val="center"/>
          </w:tcPr>
          <w:p w:rsidR="008A5116" w:rsidRDefault="007552EA">
            <w:pPr>
              <w:pStyle w:val="Text1"/>
              <w:ind w:left="0"/>
              <w:rPr>
                <w:noProof/>
                <w:sz w:val="20"/>
              </w:rPr>
            </w:pPr>
            <w:r>
              <w:rPr>
                <w:noProof/>
                <w:sz w:val="20"/>
              </w:rPr>
              <w:t>ES, EL, IE</w:t>
            </w:r>
          </w:p>
        </w:tc>
      </w:tr>
      <w:tr w:rsidR="008A5116">
        <w:tc>
          <w:tcPr>
            <w:tcW w:w="7111" w:type="dxa"/>
            <w:vAlign w:val="center"/>
          </w:tcPr>
          <w:p w:rsidR="008A5116" w:rsidRDefault="007552EA">
            <w:pPr>
              <w:pStyle w:val="Text1"/>
              <w:numPr>
                <w:ilvl w:val="0"/>
                <w:numId w:val="2"/>
              </w:numPr>
              <w:rPr>
                <w:noProof/>
                <w:sz w:val="20"/>
              </w:rPr>
            </w:pPr>
            <w:r>
              <w:rPr>
                <w:noProof/>
                <w:sz w:val="20"/>
              </w:rPr>
              <w:t xml:space="preserve">Maßnahmen, durch die gewährleistet wird, dass die Wasserverunreinigung, u. a. durch die Landwirtschaft, wirksam bekämpft wird, sowohl nach der Nitratrichtlinie als auch nach der Wasserrahmenrichtlinie. </w:t>
            </w:r>
          </w:p>
        </w:tc>
        <w:tc>
          <w:tcPr>
            <w:tcW w:w="2357" w:type="dxa"/>
            <w:shd w:val="clear" w:color="auto" w:fill="auto"/>
            <w:vAlign w:val="center"/>
          </w:tcPr>
          <w:p w:rsidR="008A5116" w:rsidRDefault="007552EA">
            <w:pPr>
              <w:pStyle w:val="Text1"/>
              <w:ind w:left="0"/>
              <w:rPr>
                <w:noProof/>
                <w:sz w:val="20"/>
              </w:rPr>
            </w:pPr>
            <w:r>
              <w:rPr>
                <w:noProof/>
                <w:sz w:val="20"/>
              </w:rPr>
              <w:t>AT, BE, CY, CZ, DE, DK, EE, EL, ES, FI, FR, IT, LT, M</w:t>
            </w:r>
            <w:r>
              <w:rPr>
                <w:noProof/>
                <w:sz w:val="20"/>
              </w:rPr>
              <w:t xml:space="preserve">T, NL, PL, PT, SE, SI, SK, UK </w:t>
            </w:r>
          </w:p>
        </w:tc>
      </w:tr>
      <w:tr w:rsidR="008A5116">
        <w:tc>
          <w:tcPr>
            <w:tcW w:w="7111" w:type="dxa"/>
            <w:vAlign w:val="center"/>
          </w:tcPr>
          <w:p w:rsidR="008A5116" w:rsidRDefault="007552EA">
            <w:pPr>
              <w:pStyle w:val="Text1"/>
              <w:numPr>
                <w:ilvl w:val="0"/>
                <w:numId w:val="2"/>
              </w:numPr>
              <w:rPr>
                <w:noProof/>
                <w:sz w:val="20"/>
              </w:rPr>
            </w:pPr>
            <w:r>
              <w:rPr>
                <w:noProof/>
                <w:sz w:val="20"/>
              </w:rPr>
              <w:t>Weitere Maßnahmen zur Bekämpfung der Verunreinigung durch Chemikalien (Entwicklung eines eher stoffspezifischen Ansatzes/Maßnahmen, die gewährleisten, dass das Maßnahmenprogramm auf einer zuverlässigen Bewertung der Belastun</w:t>
            </w:r>
            <w:r>
              <w:rPr>
                <w:noProof/>
                <w:sz w:val="20"/>
              </w:rPr>
              <w:t>gen beruht).</w:t>
            </w:r>
          </w:p>
        </w:tc>
        <w:tc>
          <w:tcPr>
            <w:tcW w:w="2357" w:type="dxa"/>
            <w:shd w:val="clear" w:color="auto" w:fill="auto"/>
            <w:vAlign w:val="center"/>
          </w:tcPr>
          <w:p w:rsidR="008A5116" w:rsidRDefault="007552EA">
            <w:pPr>
              <w:pStyle w:val="Text1"/>
              <w:ind w:left="0"/>
              <w:rPr>
                <w:noProof/>
                <w:sz w:val="20"/>
              </w:rPr>
            </w:pPr>
            <w:r>
              <w:rPr>
                <w:noProof/>
                <w:sz w:val="20"/>
              </w:rPr>
              <w:t>BE, NL</w:t>
            </w:r>
          </w:p>
        </w:tc>
      </w:tr>
      <w:tr w:rsidR="008A5116" w:rsidRPr="007552EA">
        <w:trPr>
          <w:trHeight w:val="761"/>
        </w:trPr>
        <w:tc>
          <w:tcPr>
            <w:tcW w:w="7111" w:type="dxa"/>
            <w:shd w:val="clear" w:color="auto" w:fill="auto"/>
            <w:vAlign w:val="center"/>
          </w:tcPr>
          <w:p w:rsidR="008A5116" w:rsidRDefault="007552EA">
            <w:pPr>
              <w:pStyle w:val="Text1"/>
              <w:numPr>
                <w:ilvl w:val="0"/>
                <w:numId w:val="2"/>
              </w:numPr>
              <w:rPr>
                <w:noProof/>
                <w:sz w:val="20"/>
              </w:rPr>
            </w:pPr>
            <w:r>
              <w:rPr>
                <w:noProof/>
                <w:sz w:val="20"/>
              </w:rPr>
              <w:t>Weitere Maßnahmen, um einen guten mengenmäßigen Zustand/ökologische Mindestwassermengen gemäß der Wasserrahmenrichtlinie sicherzustellen (einschließlich Maßnahmen, mit denen sichergestellt wird, dass Entnahmen nur mit gültigen Genehmig</w:t>
            </w:r>
            <w:r>
              <w:rPr>
                <w:noProof/>
                <w:sz w:val="20"/>
              </w:rPr>
              <w:t>ungen, Messungen und Kontrollen erfolgen).</w:t>
            </w:r>
          </w:p>
        </w:tc>
        <w:tc>
          <w:tcPr>
            <w:tcW w:w="2357" w:type="dxa"/>
            <w:shd w:val="clear" w:color="auto" w:fill="auto"/>
            <w:vAlign w:val="center"/>
          </w:tcPr>
          <w:p w:rsidR="008A5116" w:rsidRDefault="007552EA">
            <w:pPr>
              <w:pStyle w:val="Text1"/>
              <w:ind w:left="0"/>
              <w:rPr>
                <w:noProof/>
                <w:sz w:val="20"/>
                <w:lang w:val="en-GB"/>
              </w:rPr>
            </w:pPr>
            <w:r>
              <w:rPr>
                <w:noProof/>
                <w:sz w:val="20"/>
                <w:lang w:val="en-GB"/>
              </w:rPr>
              <w:t xml:space="preserve">CY, ES, HU, IT, MT, PL, PT </w:t>
            </w:r>
          </w:p>
        </w:tc>
      </w:tr>
      <w:tr w:rsidR="008A5116">
        <w:trPr>
          <w:trHeight w:val="360"/>
        </w:trPr>
        <w:tc>
          <w:tcPr>
            <w:tcW w:w="7111" w:type="dxa"/>
            <w:shd w:val="clear" w:color="auto" w:fill="auto"/>
            <w:vAlign w:val="center"/>
          </w:tcPr>
          <w:p w:rsidR="008A5116" w:rsidRDefault="007552EA">
            <w:pPr>
              <w:pStyle w:val="Text1"/>
              <w:numPr>
                <w:ilvl w:val="0"/>
                <w:numId w:val="2"/>
              </w:numPr>
              <w:rPr>
                <w:noProof/>
                <w:sz w:val="20"/>
              </w:rPr>
            </w:pPr>
            <w:r>
              <w:rPr>
                <w:noProof/>
                <w:sz w:val="20"/>
              </w:rPr>
              <w:t>Einleitung von Schritten, um die Umsetzung von Maßnahmen zur Beseitigung hydromorphologischer Belastungen sicherzustellen.</w:t>
            </w:r>
          </w:p>
        </w:tc>
        <w:tc>
          <w:tcPr>
            <w:tcW w:w="2357" w:type="dxa"/>
            <w:shd w:val="clear" w:color="auto" w:fill="auto"/>
            <w:vAlign w:val="center"/>
          </w:tcPr>
          <w:p w:rsidR="008A5116" w:rsidRDefault="007552EA">
            <w:pPr>
              <w:pStyle w:val="Text1"/>
              <w:ind w:left="0"/>
              <w:rPr>
                <w:noProof/>
                <w:sz w:val="20"/>
              </w:rPr>
            </w:pPr>
            <w:r>
              <w:rPr>
                <w:noProof/>
                <w:sz w:val="20"/>
              </w:rPr>
              <w:t>SI</w:t>
            </w:r>
          </w:p>
        </w:tc>
      </w:tr>
      <w:tr w:rsidR="008A5116">
        <w:trPr>
          <w:trHeight w:val="180"/>
        </w:trPr>
        <w:tc>
          <w:tcPr>
            <w:tcW w:w="7111" w:type="dxa"/>
            <w:shd w:val="clear" w:color="auto" w:fill="auto"/>
            <w:vAlign w:val="center"/>
          </w:tcPr>
          <w:p w:rsidR="008A5116" w:rsidRDefault="007552EA">
            <w:pPr>
              <w:pStyle w:val="Text1"/>
              <w:numPr>
                <w:ilvl w:val="0"/>
                <w:numId w:val="2"/>
              </w:numPr>
              <w:rPr>
                <w:noProof/>
                <w:sz w:val="20"/>
              </w:rPr>
            </w:pPr>
            <w:r>
              <w:rPr>
                <w:noProof/>
                <w:sz w:val="20"/>
              </w:rPr>
              <w:t xml:space="preserve">Maßnahmen zur Harmonisierung unterschiedlicher regionaler Ansätze, insbesondere zur Definition des Ausmaßes von Belastungen im Zusammenhang mit der Wasserrahmenrichtlinie. </w:t>
            </w:r>
          </w:p>
        </w:tc>
        <w:tc>
          <w:tcPr>
            <w:tcW w:w="2357" w:type="dxa"/>
            <w:shd w:val="clear" w:color="auto" w:fill="auto"/>
            <w:vAlign w:val="center"/>
          </w:tcPr>
          <w:p w:rsidR="008A5116" w:rsidRDefault="007552EA">
            <w:pPr>
              <w:pStyle w:val="Text1"/>
              <w:ind w:left="0"/>
              <w:rPr>
                <w:noProof/>
                <w:sz w:val="20"/>
              </w:rPr>
            </w:pPr>
            <w:r>
              <w:rPr>
                <w:noProof/>
                <w:sz w:val="20"/>
              </w:rPr>
              <w:t>IT</w:t>
            </w:r>
          </w:p>
        </w:tc>
      </w:tr>
      <w:tr w:rsidR="008A5116">
        <w:trPr>
          <w:trHeight w:val="662"/>
        </w:trPr>
        <w:tc>
          <w:tcPr>
            <w:tcW w:w="7111" w:type="dxa"/>
            <w:shd w:val="clear" w:color="auto" w:fill="auto"/>
            <w:vAlign w:val="center"/>
          </w:tcPr>
          <w:p w:rsidR="008A5116" w:rsidRDefault="007552EA">
            <w:pPr>
              <w:pStyle w:val="Text1"/>
              <w:numPr>
                <w:ilvl w:val="0"/>
                <w:numId w:val="2"/>
              </w:numPr>
              <w:rPr>
                <w:noProof/>
                <w:sz w:val="20"/>
              </w:rPr>
            </w:pPr>
            <w:r>
              <w:rPr>
                <w:noProof/>
                <w:sz w:val="20"/>
              </w:rPr>
              <w:t xml:space="preserve">Maßnahmen, durch die sichergestellt wird, dass Vorhaben, die potenziell negative Auswirkungen auf den Zustand von Wasserkörpern haben können, gemäß Artikel 4 Absatz 7 der Wasserrahmenrichtlinie einer gründlichen Bewertung unterzogen und begründet werden. </w:t>
            </w:r>
          </w:p>
        </w:tc>
        <w:tc>
          <w:tcPr>
            <w:tcW w:w="2357" w:type="dxa"/>
            <w:shd w:val="clear" w:color="auto" w:fill="auto"/>
            <w:vAlign w:val="center"/>
          </w:tcPr>
          <w:p w:rsidR="008A5116" w:rsidRDefault="007552EA">
            <w:pPr>
              <w:pStyle w:val="Text1"/>
              <w:ind w:left="0"/>
              <w:rPr>
                <w:noProof/>
                <w:sz w:val="20"/>
                <w:lang w:val="fr-BE"/>
              </w:rPr>
            </w:pPr>
            <w:r>
              <w:rPr>
                <w:noProof/>
                <w:sz w:val="20"/>
                <w:lang w:val="fr-BE"/>
              </w:rPr>
              <w:t>BG, LU, PL, PT, RO, SE, SK</w:t>
            </w:r>
          </w:p>
        </w:tc>
      </w:tr>
      <w:tr w:rsidR="008A5116">
        <w:tc>
          <w:tcPr>
            <w:tcW w:w="7111" w:type="dxa"/>
            <w:shd w:val="clear" w:color="auto" w:fill="auto"/>
            <w:vAlign w:val="center"/>
          </w:tcPr>
          <w:p w:rsidR="008A5116" w:rsidRDefault="007552EA">
            <w:pPr>
              <w:pStyle w:val="Text1"/>
              <w:numPr>
                <w:ilvl w:val="0"/>
                <w:numId w:val="2"/>
              </w:numPr>
              <w:rPr>
                <w:noProof/>
                <w:sz w:val="20"/>
              </w:rPr>
            </w:pPr>
            <w:r>
              <w:rPr>
                <w:noProof/>
                <w:sz w:val="20"/>
              </w:rPr>
              <w:t>Maßnahmen, um den Aspekt der Bürgerbeteiligung und der aktiven Beteiligung aller interessierten Stellen zu stärken (Bewirtschaftungspläne für die Einzugsgebiete/Hochwasserrisikomanagementpläne).</w:t>
            </w:r>
          </w:p>
        </w:tc>
        <w:tc>
          <w:tcPr>
            <w:tcW w:w="2357" w:type="dxa"/>
            <w:shd w:val="clear" w:color="auto" w:fill="auto"/>
            <w:vAlign w:val="center"/>
          </w:tcPr>
          <w:p w:rsidR="008A5116" w:rsidRDefault="007552EA">
            <w:pPr>
              <w:pStyle w:val="Text1"/>
              <w:ind w:left="0"/>
              <w:rPr>
                <w:noProof/>
                <w:sz w:val="20"/>
              </w:rPr>
            </w:pPr>
            <w:r>
              <w:rPr>
                <w:noProof/>
                <w:sz w:val="20"/>
              </w:rPr>
              <w:t>NL, SI, SK, UK</w:t>
            </w:r>
          </w:p>
        </w:tc>
      </w:tr>
      <w:tr w:rsidR="008A5116" w:rsidRPr="007552EA">
        <w:tc>
          <w:tcPr>
            <w:tcW w:w="7111" w:type="dxa"/>
            <w:shd w:val="clear" w:color="auto" w:fill="auto"/>
            <w:vAlign w:val="center"/>
          </w:tcPr>
          <w:p w:rsidR="008A5116" w:rsidRDefault="007552EA">
            <w:pPr>
              <w:pStyle w:val="Text1"/>
              <w:numPr>
                <w:ilvl w:val="0"/>
                <w:numId w:val="2"/>
              </w:numPr>
              <w:rPr>
                <w:noProof/>
                <w:sz w:val="20"/>
              </w:rPr>
            </w:pPr>
            <w:r>
              <w:rPr>
                <w:noProof/>
                <w:sz w:val="20"/>
              </w:rPr>
              <w:t xml:space="preserve">Maßnahmen, um das Verfahren für die Priorisierung von Maßnahmen eindeutig festzulegen, einschließlich der Anwendung einer Kosten-Nutzen-Analyse bei den Hochwasserrisikomanagementplänen. </w:t>
            </w:r>
          </w:p>
        </w:tc>
        <w:tc>
          <w:tcPr>
            <w:tcW w:w="2357" w:type="dxa"/>
            <w:shd w:val="clear" w:color="auto" w:fill="auto"/>
            <w:vAlign w:val="center"/>
          </w:tcPr>
          <w:p w:rsidR="008A5116" w:rsidRDefault="007552EA">
            <w:pPr>
              <w:pStyle w:val="Text1"/>
              <w:ind w:left="0"/>
              <w:rPr>
                <w:noProof/>
                <w:sz w:val="20"/>
                <w:lang w:val="es-ES"/>
              </w:rPr>
            </w:pPr>
            <w:r>
              <w:rPr>
                <w:noProof/>
                <w:sz w:val="20"/>
                <w:lang w:val="es-ES"/>
              </w:rPr>
              <w:t>AT, BE, BG, CZ, DE, EE, ES, HR, HU, LU, LV, MT</w:t>
            </w:r>
          </w:p>
        </w:tc>
      </w:tr>
      <w:tr w:rsidR="008A5116">
        <w:tc>
          <w:tcPr>
            <w:tcW w:w="7111" w:type="dxa"/>
            <w:shd w:val="clear" w:color="auto" w:fill="auto"/>
            <w:vAlign w:val="center"/>
          </w:tcPr>
          <w:p w:rsidR="008A5116" w:rsidRDefault="007552EA">
            <w:pPr>
              <w:pStyle w:val="Text1"/>
              <w:numPr>
                <w:ilvl w:val="0"/>
                <w:numId w:val="2"/>
              </w:numPr>
              <w:rPr>
                <w:noProof/>
                <w:sz w:val="20"/>
              </w:rPr>
            </w:pPr>
            <w:r>
              <w:rPr>
                <w:noProof/>
                <w:sz w:val="20"/>
              </w:rPr>
              <w:t>Maßnahmen für eine sy</w:t>
            </w:r>
            <w:r>
              <w:rPr>
                <w:noProof/>
                <w:sz w:val="20"/>
              </w:rPr>
              <w:t xml:space="preserve">stematische Prüfung des Einsatzes natürlicher Lösungen, mit denen die Verringerung des Hochwasserrisikos unterstützt werden kann. </w:t>
            </w:r>
          </w:p>
        </w:tc>
        <w:tc>
          <w:tcPr>
            <w:tcW w:w="2357" w:type="dxa"/>
            <w:shd w:val="clear" w:color="auto" w:fill="auto"/>
            <w:vAlign w:val="center"/>
          </w:tcPr>
          <w:p w:rsidR="008A5116" w:rsidRDefault="007552EA">
            <w:pPr>
              <w:pStyle w:val="Text1"/>
              <w:ind w:left="0"/>
              <w:rPr>
                <w:noProof/>
                <w:sz w:val="20"/>
              </w:rPr>
            </w:pPr>
            <w:r>
              <w:rPr>
                <w:noProof/>
                <w:sz w:val="20"/>
              </w:rPr>
              <w:t>CY</w:t>
            </w:r>
          </w:p>
        </w:tc>
      </w:tr>
      <w:tr w:rsidR="008A5116">
        <w:tc>
          <w:tcPr>
            <w:tcW w:w="7111" w:type="dxa"/>
            <w:shd w:val="clear" w:color="auto" w:fill="auto"/>
            <w:vAlign w:val="center"/>
          </w:tcPr>
          <w:p w:rsidR="008A5116" w:rsidRDefault="007552EA">
            <w:pPr>
              <w:pStyle w:val="Text1"/>
              <w:numPr>
                <w:ilvl w:val="0"/>
                <w:numId w:val="2"/>
              </w:numPr>
              <w:rPr>
                <w:noProof/>
                <w:sz w:val="20"/>
              </w:rPr>
            </w:pPr>
            <w:r>
              <w:rPr>
                <w:noProof/>
                <w:sz w:val="20"/>
              </w:rPr>
              <w:t>Maßnahmen für eine verstärkte Berücksichtigung des Klimawandels in den Hochwasserrisikomanagementplänen, einschließlich d</w:t>
            </w:r>
            <w:r>
              <w:rPr>
                <w:noProof/>
                <w:sz w:val="20"/>
              </w:rPr>
              <w:t xml:space="preserve">er Abstimmung mit der nationalen Strategie zur Anpassung an den Klimawandel. </w:t>
            </w:r>
            <w:r>
              <w:rPr>
                <w:noProof/>
              </w:rPr>
              <w:t xml:space="preserve"> </w:t>
            </w:r>
          </w:p>
        </w:tc>
        <w:tc>
          <w:tcPr>
            <w:tcW w:w="2357" w:type="dxa"/>
            <w:shd w:val="clear" w:color="auto" w:fill="auto"/>
            <w:vAlign w:val="center"/>
          </w:tcPr>
          <w:p w:rsidR="008A5116" w:rsidRDefault="007552EA">
            <w:pPr>
              <w:pStyle w:val="Text1"/>
              <w:ind w:left="0"/>
              <w:rPr>
                <w:noProof/>
                <w:sz w:val="20"/>
              </w:rPr>
            </w:pPr>
            <w:r>
              <w:rPr>
                <w:noProof/>
                <w:sz w:val="20"/>
              </w:rPr>
              <w:t xml:space="preserve">FI, IT, LV </w:t>
            </w:r>
          </w:p>
        </w:tc>
      </w:tr>
      <w:tr w:rsidR="008A5116">
        <w:tc>
          <w:tcPr>
            <w:tcW w:w="7111" w:type="dxa"/>
            <w:shd w:val="clear" w:color="auto" w:fill="auto"/>
            <w:vAlign w:val="center"/>
          </w:tcPr>
          <w:p w:rsidR="008A5116" w:rsidRDefault="007552EA">
            <w:pPr>
              <w:pStyle w:val="Text1"/>
              <w:numPr>
                <w:ilvl w:val="0"/>
                <w:numId w:val="2"/>
              </w:numPr>
              <w:rPr>
                <w:noProof/>
                <w:sz w:val="20"/>
              </w:rPr>
            </w:pPr>
            <w:r>
              <w:rPr>
                <w:noProof/>
                <w:sz w:val="20"/>
              </w:rPr>
              <w:t>Maßnahmen, mit denen die Einbeziehung der aufeinander folgenden Schritte des Hochwasserrisikomanagementzyklus in den Hochwasserrisikomanagementplan verbessert wird.</w:t>
            </w:r>
          </w:p>
        </w:tc>
        <w:tc>
          <w:tcPr>
            <w:tcW w:w="2357" w:type="dxa"/>
            <w:shd w:val="clear" w:color="auto" w:fill="auto"/>
            <w:vAlign w:val="center"/>
          </w:tcPr>
          <w:p w:rsidR="008A5116" w:rsidRDefault="007552EA">
            <w:pPr>
              <w:pStyle w:val="Text1"/>
              <w:ind w:left="0"/>
              <w:rPr>
                <w:noProof/>
                <w:sz w:val="20"/>
              </w:rPr>
            </w:pPr>
            <w:r>
              <w:rPr>
                <w:noProof/>
                <w:sz w:val="20"/>
              </w:rPr>
              <w:t>DK, FR, PL, PT, RO</w:t>
            </w:r>
          </w:p>
        </w:tc>
      </w:tr>
      <w:tr w:rsidR="008A5116">
        <w:tc>
          <w:tcPr>
            <w:tcW w:w="7111" w:type="dxa"/>
            <w:shd w:val="clear" w:color="auto" w:fill="auto"/>
            <w:vAlign w:val="center"/>
          </w:tcPr>
          <w:p w:rsidR="008A5116" w:rsidRDefault="007552EA">
            <w:pPr>
              <w:pStyle w:val="Text1"/>
              <w:numPr>
                <w:ilvl w:val="0"/>
                <w:numId w:val="2"/>
              </w:numPr>
              <w:rPr>
                <w:noProof/>
                <w:sz w:val="20"/>
              </w:rPr>
            </w:pPr>
            <w:r>
              <w:rPr>
                <w:noProof/>
                <w:sz w:val="20"/>
              </w:rPr>
              <w:t xml:space="preserve">Maßnahmen für eine bessere Abstimmung zwischen Hochwasserrisikomanagementplänen und den Bewirtschaftungsplänen für die Einzugsgebiete. </w:t>
            </w:r>
          </w:p>
        </w:tc>
        <w:tc>
          <w:tcPr>
            <w:tcW w:w="2357" w:type="dxa"/>
            <w:shd w:val="clear" w:color="auto" w:fill="auto"/>
            <w:vAlign w:val="center"/>
          </w:tcPr>
          <w:p w:rsidR="008A5116" w:rsidRDefault="007552EA">
            <w:pPr>
              <w:pStyle w:val="Text1"/>
              <w:ind w:left="0"/>
              <w:rPr>
                <w:noProof/>
                <w:sz w:val="20"/>
              </w:rPr>
            </w:pPr>
            <w:r>
              <w:rPr>
                <w:noProof/>
                <w:sz w:val="20"/>
              </w:rPr>
              <w:t>SE</w:t>
            </w:r>
          </w:p>
        </w:tc>
      </w:tr>
      <w:tr w:rsidR="008A5116">
        <w:trPr>
          <w:trHeight w:val="180"/>
        </w:trPr>
        <w:tc>
          <w:tcPr>
            <w:tcW w:w="7111" w:type="dxa"/>
            <w:shd w:val="clear" w:color="auto" w:fill="auto"/>
            <w:vAlign w:val="center"/>
          </w:tcPr>
          <w:p w:rsidR="008A5116" w:rsidRDefault="007552EA">
            <w:pPr>
              <w:pStyle w:val="Text1"/>
              <w:numPr>
                <w:ilvl w:val="0"/>
                <w:numId w:val="2"/>
              </w:numPr>
              <w:rPr>
                <w:noProof/>
                <w:sz w:val="20"/>
              </w:rPr>
            </w:pPr>
            <w:r>
              <w:rPr>
                <w:noProof/>
                <w:sz w:val="20"/>
              </w:rPr>
              <w:t>Einleitung von Schritten zur Klärung des rechtlichen Status des Hochwasserrisikomanagementplans</w:t>
            </w:r>
            <w:r>
              <w:rPr>
                <w:noProof/>
                <w:sz w:val="20"/>
              </w:rPr>
              <w:t>.</w:t>
            </w:r>
          </w:p>
        </w:tc>
        <w:tc>
          <w:tcPr>
            <w:tcW w:w="2357" w:type="dxa"/>
            <w:shd w:val="clear" w:color="auto" w:fill="auto"/>
            <w:vAlign w:val="center"/>
          </w:tcPr>
          <w:p w:rsidR="008A5116" w:rsidRDefault="007552EA">
            <w:pPr>
              <w:pStyle w:val="Text1"/>
              <w:ind w:left="0"/>
              <w:rPr>
                <w:noProof/>
                <w:sz w:val="20"/>
              </w:rPr>
            </w:pPr>
            <w:r>
              <w:rPr>
                <w:noProof/>
                <w:sz w:val="20"/>
              </w:rPr>
              <w:t>LT</w:t>
            </w:r>
          </w:p>
        </w:tc>
      </w:tr>
      <w:tr w:rsidR="008A5116">
        <w:trPr>
          <w:trHeight w:val="180"/>
        </w:trPr>
        <w:tc>
          <w:tcPr>
            <w:tcW w:w="7111" w:type="dxa"/>
            <w:shd w:val="clear" w:color="auto" w:fill="auto"/>
            <w:vAlign w:val="center"/>
          </w:tcPr>
          <w:p w:rsidR="008A5116" w:rsidRDefault="007552EA">
            <w:pPr>
              <w:pStyle w:val="Text1"/>
              <w:numPr>
                <w:ilvl w:val="0"/>
                <w:numId w:val="2"/>
              </w:numPr>
              <w:rPr>
                <w:noProof/>
                <w:sz w:val="20"/>
              </w:rPr>
            </w:pPr>
            <w:r>
              <w:rPr>
                <w:noProof/>
                <w:sz w:val="20"/>
              </w:rPr>
              <w:t xml:space="preserve">Vordringlich die Richtlinie über die Behandlung von kommunalem Abwasser für alle Ballungsräume vollständig umsetzen. Weitere Priorisierung von Investitionen in Anlagen zur Behandlung von kommunalem Abwasser, unter anderem durch effizient eingesetzte </w:t>
            </w:r>
            <w:r>
              <w:rPr>
                <w:noProof/>
                <w:sz w:val="20"/>
              </w:rPr>
              <w:t>EU-Mittel, wenn eine solche Finanzierung möglich ist.</w:t>
            </w:r>
          </w:p>
        </w:tc>
        <w:tc>
          <w:tcPr>
            <w:tcW w:w="2357" w:type="dxa"/>
            <w:shd w:val="clear" w:color="auto" w:fill="auto"/>
            <w:vAlign w:val="center"/>
          </w:tcPr>
          <w:p w:rsidR="008A5116" w:rsidRDefault="007552EA">
            <w:pPr>
              <w:pStyle w:val="Text1"/>
              <w:ind w:left="0"/>
              <w:rPr>
                <w:noProof/>
                <w:sz w:val="20"/>
              </w:rPr>
            </w:pPr>
            <w:r>
              <w:rPr>
                <w:noProof/>
                <w:sz w:val="20"/>
              </w:rPr>
              <w:t>BG, CY, EL, ES, FR, HR, HU, IE, IT, LT, LU, LV, MT, PL, PT, RO, SI, SK</w:t>
            </w:r>
          </w:p>
        </w:tc>
      </w:tr>
      <w:tr w:rsidR="008A5116">
        <w:trPr>
          <w:cantSplit/>
        </w:trPr>
        <w:tc>
          <w:tcPr>
            <w:tcW w:w="9468" w:type="dxa"/>
            <w:gridSpan w:val="2"/>
            <w:shd w:val="clear" w:color="auto" w:fill="C6D9F1" w:themeFill="text2" w:themeFillTint="33"/>
            <w:vAlign w:val="center"/>
          </w:tcPr>
          <w:p w:rsidR="008A5116" w:rsidRDefault="007552EA">
            <w:pPr>
              <w:pStyle w:val="Text1"/>
              <w:keepLines/>
              <w:spacing w:after="0"/>
              <w:ind w:left="0"/>
              <w:rPr>
                <w:b/>
                <w:noProof/>
                <w:sz w:val="20"/>
              </w:rPr>
            </w:pPr>
            <w:r>
              <w:rPr>
                <w:b/>
                <w:noProof/>
                <w:sz w:val="20"/>
              </w:rPr>
              <w:t>Umweltfinanzierung und Umweltinvestitionen</w:t>
            </w:r>
          </w:p>
        </w:tc>
      </w:tr>
      <w:tr w:rsidR="008A5116" w:rsidRPr="007552EA">
        <w:trPr>
          <w:cantSplit/>
        </w:trPr>
        <w:tc>
          <w:tcPr>
            <w:tcW w:w="7111" w:type="dxa"/>
            <w:vAlign w:val="center"/>
          </w:tcPr>
          <w:p w:rsidR="008A5116" w:rsidRDefault="007552EA">
            <w:pPr>
              <w:pStyle w:val="Text1"/>
              <w:keepLines/>
              <w:numPr>
                <w:ilvl w:val="0"/>
                <w:numId w:val="2"/>
              </w:numPr>
              <w:rPr>
                <w:noProof/>
                <w:sz w:val="20"/>
              </w:rPr>
            </w:pPr>
            <w:r>
              <w:rPr>
                <w:noProof/>
                <w:sz w:val="20"/>
              </w:rPr>
              <w:t>Bereitstellung angemessener Mittel, unter anderem durch Mobilisierung von Investitione</w:t>
            </w:r>
            <w:r>
              <w:rPr>
                <w:noProof/>
                <w:sz w:val="20"/>
              </w:rPr>
              <w:t xml:space="preserve">n und den Einsatz von EU-Mitteln, für die Bekämpfung der vordringlichsten Umweltprobleme, die das Land betreffen. </w:t>
            </w:r>
          </w:p>
        </w:tc>
        <w:tc>
          <w:tcPr>
            <w:tcW w:w="2357" w:type="dxa"/>
            <w:vAlign w:val="center"/>
          </w:tcPr>
          <w:p w:rsidR="008A5116" w:rsidRDefault="007552EA">
            <w:pPr>
              <w:pStyle w:val="Text1"/>
              <w:ind w:left="0"/>
              <w:rPr>
                <w:noProof/>
                <w:sz w:val="20"/>
                <w:lang w:val="es-ES"/>
              </w:rPr>
            </w:pPr>
            <w:r>
              <w:rPr>
                <w:noProof/>
                <w:sz w:val="20"/>
                <w:lang w:val="es-ES"/>
              </w:rPr>
              <w:t>AT, BG, DE, EL, ES, FI, FR, HU, IT, LU, NL, PT, RO, SE, SI, UK</w:t>
            </w:r>
          </w:p>
        </w:tc>
      </w:tr>
      <w:tr w:rsidR="008A5116" w:rsidRPr="007552EA">
        <w:trPr>
          <w:cantSplit/>
        </w:trPr>
        <w:tc>
          <w:tcPr>
            <w:tcW w:w="7111" w:type="dxa"/>
            <w:vAlign w:val="center"/>
          </w:tcPr>
          <w:p w:rsidR="008A5116" w:rsidRDefault="007552EA">
            <w:pPr>
              <w:pStyle w:val="Text1"/>
              <w:keepLines/>
              <w:numPr>
                <w:ilvl w:val="0"/>
                <w:numId w:val="2"/>
              </w:numPr>
              <w:rPr>
                <w:noProof/>
                <w:sz w:val="20"/>
              </w:rPr>
            </w:pPr>
            <w:r>
              <w:rPr>
                <w:noProof/>
                <w:sz w:val="20"/>
              </w:rPr>
              <w:t xml:space="preserve">Verbesserung der Kapazitäten für die wirkungsvolle Verwendung von EU-Mitteln </w:t>
            </w:r>
            <w:r>
              <w:rPr>
                <w:noProof/>
                <w:sz w:val="20"/>
              </w:rPr>
              <w:t>für den Umweltschutz, unter anderem zur Vorbereitung auf den nächsten Finanzierungszeitraum 2021-2027.</w:t>
            </w:r>
          </w:p>
        </w:tc>
        <w:tc>
          <w:tcPr>
            <w:tcW w:w="2357" w:type="dxa"/>
            <w:vAlign w:val="center"/>
          </w:tcPr>
          <w:p w:rsidR="008A5116" w:rsidRDefault="007552EA">
            <w:pPr>
              <w:pStyle w:val="Text1"/>
              <w:ind w:left="0"/>
              <w:rPr>
                <w:noProof/>
                <w:sz w:val="20"/>
                <w:lang w:val="es-ES"/>
              </w:rPr>
            </w:pPr>
            <w:r>
              <w:rPr>
                <w:noProof/>
                <w:sz w:val="20"/>
                <w:lang w:val="es-ES"/>
              </w:rPr>
              <w:t>CZ, EE, EL, HR, LT, LV, PL, RO, SK</w:t>
            </w:r>
          </w:p>
        </w:tc>
      </w:tr>
      <w:tr w:rsidR="008A5116">
        <w:tc>
          <w:tcPr>
            <w:tcW w:w="9468" w:type="dxa"/>
            <w:gridSpan w:val="2"/>
            <w:shd w:val="clear" w:color="auto" w:fill="C6D9F1" w:themeFill="text2" w:themeFillTint="33"/>
            <w:vAlign w:val="center"/>
          </w:tcPr>
          <w:p w:rsidR="008A5116" w:rsidRDefault="007552EA">
            <w:pPr>
              <w:pStyle w:val="Text1"/>
              <w:spacing w:after="0"/>
              <w:ind w:left="0"/>
              <w:rPr>
                <w:noProof/>
                <w:sz w:val="20"/>
              </w:rPr>
            </w:pPr>
            <w:r>
              <w:rPr>
                <w:b/>
                <w:noProof/>
                <w:sz w:val="20"/>
              </w:rPr>
              <w:t>Information, Bürgerbeteiligung und Zugang zu Gerichten</w:t>
            </w:r>
          </w:p>
        </w:tc>
      </w:tr>
      <w:tr w:rsidR="008A5116">
        <w:tc>
          <w:tcPr>
            <w:tcW w:w="7111" w:type="dxa"/>
            <w:vAlign w:val="center"/>
          </w:tcPr>
          <w:p w:rsidR="008A5116" w:rsidRDefault="007552EA">
            <w:pPr>
              <w:pStyle w:val="ListParagraph"/>
              <w:widowControl w:val="0"/>
              <w:numPr>
                <w:ilvl w:val="0"/>
                <w:numId w:val="2"/>
              </w:numPr>
              <w:rPr>
                <w:noProof/>
                <w:sz w:val="20"/>
              </w:rPr>
            </w:pPr>
            <w:r>
              <w:rPr>
                <w:noProof/>
                <w:sz w:val="20"/>
              </w:rPr>
              <w:t>Verbesserung des Zugangs zu Geodaten und -diensten durch bess</w:t>
            </w:r>
            <w:r>
              <w:rPr>
                <w:noProof/>
                <w:sz w:val="20"/>
              </w:rPr>
              <w:t xml:space="preserve">ere Vernetzung der INSPIRE-Portale der Länder, Identifizierung und Dokumentation aller Geodatensätze, die für die Umsetzung des Umweltrechts benötigt werden, sowie Bereitstellung der Daten und der Dokumentation im „Ist-Zustand“ für andere Behörden und die </w:t>
            </w:r>
            <w:r>
              <w:rPr>
                <w:noProof/>
                <w:sz w:val="20"/>
              </w:rPr>
              <w:t>Öffentlichkeit durch die in der INSPIRE-Richtlinie vorgesehenen digitalen Dienste.</w:t>
            </w:r>
          </w:p>
        </w:tc>
        <w:tc>
          <w:tcPr>
            <w:tcW w:w="2357" w:type="dxa"/>
            <w:shd w:val="clear" w:color="auto" w:fill="auto"/>
            <w:vAlign w:val="center"/>
          </w:tcPr>
          <w:p w:rsidR="008A5116" w:rsidRDefault="007552EA">
            <w:pPr>
              <w:spacing w:after="120"/>
              <w:jc w:val="both"/>
              <w:rPr>
                <w:noProof/>
              </w:rPr>
            </w:pPr>
            <w:r>
              <w:rPr>
                <w:noProof/>
              </w:rPr>
              <w:t>Alle Mitgliedstaaten</w:t>
            </w:r>
          </w:p>
        </w:tc>
      </w:tr>
      <w:tr w:rsidR="008A5116">
        <w:tc>
          <w:tcPr>
            <w:tcW w:w="7111" w:type="dxa"/>
            <w:vAlign w:val="center"/>
          </w:tcPr>
          <w:p w:rsidR="008A5116" w:rsidRDefault="007552EA">
            <w:pPr>
              <w:pStyle w:val="ListParagraph"/>
              <w:widowControl w:val="0"/>
              <w:numPr>
                <w:ilvl w:val="0"/>
                <w:numId w:val="2"/>
              </w:numPr>
              <w:rPr>
                <w:noProof/>
                <w:sz w:val="20"/>
              </w:rPr>
            </w:pPr>
            <w:r>
              <w:rPr>
                <w:noProof/>
                <w:sz w:val="20"/>
              </w:rPr>
              <w:t>Erleichterung der Beteiligung der Öffentlichkeit an der Umsetzung der EU-Rechtsvorschriften für den Umweltbereich.</w:t>
            </w:r>
          </w:p>
        </w:tc>
        <w:tc>
          <w:tcPr>
            <w:tcW w:w="2357" w:type="dxa"/>
            <w:shd w:val="clear" w:color="auto" w:fill="auto"/>
            <w:vAlign w:val="center"/>
          </w:tcPr>
          <w:p w:rsidR="008A5116" w:rsidRDefault="007552EA">
            <w:pPr>
              <w:spacing w:after="120"/>
              <w:jc w:val="both"/>
              <w:rPr>
                <w:noProof/>
                <w:lang w:val="en-GB"/>
              </w:rPr>
            </w:pPr>
            <w:r>
              <w:rPr>
                <w:noProof/>
                <w:lang w:val="en-GB"/>
              </w:rPr>
              <w:t>BE, CZ, HU, LT, PL, RO, SI</w:t>
            </w:r>
          </w:p>
        </w:tc>
      </w:tr>
      <w:tr w:rsidR="008A5116">
        <w:tc>
          <w:tcPr>
            <w:tcW w:w="7111" w:type="dxa"/>
            <w:vAlign w:val="center"/>
          </w:tcPr>
          <w:p w:rsidR="008A5116" w:rsidRDefault="007552EA">
            <w:pPr>
              <w:pStyle w:val="ListParagraph"/>
              <w:widowControl w:val="0"/>
              <w:numPr>
                <w:ilvl w:val="0"/>
                <w:numId w:val="2"/>
              </w:numPr>
              <w:rPr>
                <w:noProof/>
                <w:sz w:val="20"/>
              </w:rPr>
            </w:pPr>
            <w:r>
              <w:rPr>
                <w:noProof/>
                <w:sz w:val="20"/>
              </w:rPr>
              <w:t xml:space="preserve">Maßnahmen, mit denen Umwelt-NRO rechtlich in die Lage versetzt werden, rechtliche Schritte in Umweltfragen einzuleiten, gegebenenfalls ohne dass sie mit unüberwindlich hohen Kosten rechnen müssen. </w:t>
            </w:r>
          </w:p>
        </w:tc>
        <w:tc>
          <w:tcPr>
            <w:tcW w:w="2357" w:type="dxa"/>
            <w:shd w:val="clear" w:color="auto" w:fill="auto"/>
            <w:vAlign w:val="center"/>
          </w:tcPr>
          <w:p w:rsidR="008A5116" w:rsidRDefault="007552EA">
            <w:pPr>
              <w:spacing w:after="120"/>
              <w:jc w:val="both"/>
              <w:rPr>
                <w:noProof/>
              </w:rPr>
            </w:pPr>
            <w:r>
              <w:rPr>
                <w:noProof/>
              </w:rPr>
              <w:t>BG, CY, FI, HR, HU, IE, LT, LU, MT, PL, RO</w:t>
            </w:r>
          </w:p>
        </w:tc>
      </w:tr>
      <w:tr w:rsidR="008A5116">
        <w:tc>
          <w:tcPr>
            <w:tcW w:w="7111" w:type="dxa"/>
            <w:vAlign w:val="center"/>
          </w:tcPr>
          <w:p w:rsidR="008A5116" w:rsidRDefault="007552EA">
            <w:pPr>
              <w:pStyle w:val="ListParagraph"/>
              <w:widowControl w:val="0"/>
              <w:numPr>
                <w:ilvl w:val="0"/>
                <w:numId w:val="2"/>
              </w:numPr>
              <w:rPr>
                <w:noProof/>
                <w:sz w:val="20"/>
              </w:rPr>
            </w:pPr>
            <w:r>
              <w:rPr>
                <w:noProof/>
                <w:sz w:val="20"/>
              </w:rPr>
              <w:t>Bessere Unterr</w:t>
            </w:r>
            <w:r>
              <w:rPr>
                <w:noProof/>
                <w:sz w:val="20"/>
              </w:rPr>
              <w:t>ichtung der Öffentlichkeit über ihre Rechte beim Zugang zur Justiz.</w:t>
            </w:r>
          </w:p>
        </w:tc>
        <w:tc>
          <w:tcPr>
            <w:tcW w:w="2357" w:type="dxa"/>
            <w:shd w:val="clear" w:color="auto" w:fill="auto"/>
            <w:vAlign w:val="center"/>
          </w:tcPr>
          <w:p w:rsidR="008A5116" w:rsidRDefault="007552EA">
            <w:pPr>
              <w:spacing w:after="120"/>
              <w:jc w:val="both"/>
              <w:rPr>
                <w:noProof/>
              </w:rPr>
            </w:pPr>
            <w:r>
              <w:rPr>
                <w:noProof/>
              </w:rPr>
              <w:t>AT, BE, CY, EE, EL, ES, FI, FR, HR, IE, IT, LU, LV, MT, NL, PT, RO, SE, SK, UK</w:t>
            </w:r>
          </w:p>
        </w:tc>
      </w:tr>
      <w:tr w:rsidR="008A5116">
        <w:tc>
          <w:tcPr>
            <w:tcW w:w="9468" w:type="dxa"/>
            <w:gridSpan w:val="2"/>
            <w:shd w:val="clear" w:color="auto" w:fill="C6D9F1" w:themeFill="text2" w:themeFillTint="33"/>
            <w:vAlign w:val="center"/>
          </w:tcPr>
          <w:p w:rsidR="008A5116" w:rsidRDefault="007552EA">
            <w:pPr>
              <w:pStyle w:val="Text1"/>
              <w:spacing w:after="0"/>
              <w:ind w:left="0"/>
              <w:rPr>
                <w:noProof/>
                <w:sz w:val="20"/>
              </w:rPr>
            </w:pPr>
            <w:r>
              <w:rPr>
                <w:b/>
                <w:noProof/>
                <w:sz w:val="20"/>
              </w:rPr>
              <w:t>Gewährleistung der Einhaltung der Vorschriften</w:t>
            </w:r>
          </w:p>
        </w:tc>
      </w:tr>
      <w:tr w:rsidR="008A5116">
        <w:tc>
          <w:tcPr>
            <w:tcW w:w="7111" w:type="dxa"/>
            <w:vAlign w:val="center"/>
          </w:tcPr>
          <w:p w:rsidR="008A5116" w:rsidRDefault="007552EA">
            <w:pPr>
              <w:pStyle w:val="ListParagraph"/>
              <w:widowControl w:val="0"/>
              <w:numPr>
                <w:ilvl w:val="0"/>
                <w:numId w:val="2"/>
              </w:numPr>
              <w:rPr>
                <w:noProof/>
                <w:sz w:val="20"/>
              </w:rPr>
            </w:pPr>
            <w:r>
              <w:rPr>
                <w:noProof/>
                <w:sz w:val="20"/>
              </w:rPr>
              <w:t>Bessere Unterrichtung der Öffentlichkeit über die Förderung,</w:t>
            </w:r>
            <w:r>
              <w:rPr>
                <w:noProof/>
                <w:sz w:val="20"/>
              </w:rPr>
              <w:t xml:space="preserve"> Überwachung und Durchsetzung der Einhaltung der Vorschriften.</w:t>
            </w:r>
          </w:p>
        </w:tc>
        <w:tc>
          <w:tcPr>
            <w:tcW w:w="2357" w:type="dxa"/>
            <w:shd w:val="clear" w:color="auto" w:fill="auto"/>
            <w:vAlign w:val="center"/>
          </w:tcPr>
          <w:p w:rsidR="008A5116" w:rsidRDefault="007552EA">
            <w:pPr>
              <w:spacing w:after="120"/>
              <w:jc w:val="both"/>
              <w:rPr>
                <w:noProof/>
              </w:rPr>
            </w:pPr>
            <w:r>
              <w:rPr>
                <w:noProof/>
              </w:rPr>
              <w:t>Alle Mitgliedstaaten</w:t>
            </w:r>
          </w:p>
        </w:tc>
      </w:tr>
      <w:tr w:rsidR="008A5116">
        <w:tc>
          <w:tcPr>
            <w:tcW w:w="7111" w:type="dxa"/>
            <w:vAlign w:val="center"/>
          </w:tcPr>
          <w:p w:rsidR="008A5116" w:rsidRDefault="007552EA">
            <w:pPr>
              <w:pStyle w:val="ListParagraph"/>
              <w:widowControl w:val="0"/>
              <w:numPr>
                <w:ilvl w:val="0"/>
                <w:numId w:val="2"/>
              </w:numPr>
              <w:rPr>
                <w:noProof/>
                <w:sz w:val="20"/>
              </w:rPr>
            </w:pPr>
            <w:r>
              <w:rPr>
                <w:noProof/>
                <w:sz w:val="20"/>
              </w:rPr>
              <w:t>Maßnahmen, mit denen ausführlicher darüber informiert wird, wie Experten für die Bekämpfung von Umweltkriminalität zusammenarbeiten.</w:t>
            </w:r>
          </w:p>
        </w:tc>
        <w:tc>
          <w:tcPr>
            <w:tcW w:w="2357" w:type="dxa"/>
            <w:vAlign w:val="center"/>
          </w:tcPr>
          <w:p w:rsidR="008A5116" w:rsidRDefault="007552EA">
            <w:pPr>
              <w:spacing w:after="120"/>
              <w:jc w:val="both"/>
              <w:rPr>
                <w:noProof/>
              </w:rPr>
            </w:pPr>
            <w:r>
              <w:rPr>
                <w:noProof/>
              </w:rPr>
              <w:t xml:space="preserve">AT, BE, BG, DK, EL, HR, HU, IE, LT, </w:t>
            </w:r>
            <w:r>
              <w:rPr>
                <w:noProof/>
              </w:rPr>
              <w:t>LU, LV, MT, NL, PL, SE, SI, SK, UK</w:t>
            </w:r>
          </w:p>
        </w:tc>
      </w:tr>
      <w:tr w:rsidR="008A5116">
        <w:tc>
          <w:tcPr>
            <w:tcW w:w="7111" w:type="dxa"/>
            <w:vAlign w:val="center"/>
          </w:tcPr>
          <w:p w:rsidR="008A5116" w:rsidRDefault="007552EA">
            <w:pPr>
              <w:pStyle w:val="ListParagraph"/>
              <w:numPr>
                <w:ilvl w:val="0"/>
                <w:numId w:val="2"/>
              </w:numPr>
              <w:rPr>
                <w:noProof/>
                <w:sz w:val="20"/>
              </w:rPr>
            </w:pPr>
            <w:r>
              <w:rPr>
                <w:noProof/>
                <w:sz w:val="20"/>
              </w:rPr>
              <w:t>Verbesserung der Deckungsvorsorge bei Haftungsfällen im Rahmen der Richtlinie über Umwelthaftung und/oder Leitlinien zur Richtlinie über Umwelthaftung und/oder Erfassung und Veröffentlichung von Informationen über Umwelt</w:t>
            </w:r>
            <w:r>
              <w:rPr>
                <w:noProof/>
                <w:sz w:val="20"/>
              </w:rPr>
              <w:t xml:space="preserve">schäden. </w:t>
            </w:r>
          </w:p>
        </w:tc>
        <w:tc>
          <w:tcPr>
            <w:tcW w:w="2357" w:type="dxa"/>
            <w:shd w:val="clear" w:color="auto" w:fill="auto"/>
            <w:vAlign w:val="center"/>
          </w:tcPr>
          <w:p w:rsidR="008A5116" w:rsidRDefault="007552EA">
            <w:pPr>
              <w:spacing w:after="120"/>
              <w:jc w:val="both"/>
              <w:rPr>
                <w:noProof/>
              </w:rPr>
            </w:pPr>
            <w:r>
              <w:rPr>
                <w:noProof/>
              </w:rPr>
              <w:t>AT, BE, BG, CY, CZ, DE, DK, EE, EL, FI, FR, HR, HU, IE, IT, LT, LU, LV, MT, NL, PL, RO, SE, SI, SK, UK</w:t>
            </w:r>
          </w:p>
        </w:tc>
      </w:tr>
      <w:tr w:rsidR="008A5116">
        <w:trPr>
          <w:trHeight w:val="1115"/>
        </w:trPr>
        <w:tc>
          <w:tcPr>
            <w:tcW w:w="7111" w:type="dxa"/>
            <w:shd w:val="clear" w:color="auto" w:fill="auto"/>
            <w:vAlign w:val="center"/>
          </w:tcPr>
          <w:p w:rsidR="008A5116" w:rsidRDefault="007552EA">
            <w:pPr>
              <w:pStyle w:val="ListParagraph"/>
              <w:numPr>
                <w:ilvl w:val="0"/>
                <w:numId w:val="2"/>
              </w:numPr>
              <w:rPr>
                <w:noProof/>
                <w:sz w:val="20"/>
              </w:rPr>
            </w:pPr>
            <w:r>
              <w:rPr>
                <w:noProof/>
                <w:sz w:val="20"/>
              </w:rPr>
              <w:t xml:space="preserve">Veröffentlichung von Informationen über das Ergebnis von Durchsetzungsmaßnahmen und die Weiterverfolgung von aufgedeckten Verstößen gegen die </w:t>
            </w:r>
            <w:r>
              <w:rPr>
                <w:noProof/>
                <w:sz w:val="20"/>
              </w:rPr>
              <w:t>Cross-Compliance-Verpflichtungen in Bezug auf Nitrate und Naturschutz.</w:t>
            </w:r>
          </w:p>
        </w:tc>
        <w:tc>
          <w:tcPr>
            <w:tcW w:w="2357" w:type="dxa"/>
            <w:shd w:val="clear" w:color="auto" w:fill="auto"/>
            <w:vAlign w:val="center"/>
          </w:tcPr>
          <w:p w:rsidR="008A5116" w:rsidRDefault="007552EA">
            <w:pPr>
              <w:pStyle w:val="Text1"/>
              <w:ind w:left="0"/>
              <w:rPr>
                <w:noProof/>
                <w:sz w:val="20"/>
              </w:rPr>
            </w:pPr>
            <w:r>
              <w:rPr>
                <w:noProof/>
                <w:sz w:val="20"/>
              </w:rPr>
              <w:t>AT, BE, BG, CY, DE, DK, EE, EL, ES, FI, FR, HR, IE, IT, LT, LU, LV, MT, NL, PL, PT, RO, SE, SK, SI, UK</w:t>
            </w:r>
          </w:p>
        </w:tc>
      </w:tr>
      <w:tr w:rsidR="008A5116">
        <w:tc>
          <w:tcPr>
            <w:tcW w:w="9468" w:type="dxa"/>
            <w:gridSpan w:val="2"/>
            <w:shd w:val="clear" w:color="auto" w:fill="C6D9F1" w:themeFill="text2" w:themeFillTint="33"/>
            <w:vAlign w:val="center"/>
          </w:tcPr>
          <w:p w:rsidR="008A5116" w:rsidRDefault="007552EA">
            <w:pPr>
              <w:pStyle w:val="Text1"/>
              <w:spacing w:after="0"/>
              <w:ind w:left="0"/>
              <w:rPr>
                <w:b/>
                <w:noProof/>
                <w:sz w:val="20"/>
              </w:rPr>
            </w:pPr>
            <w:r>
              <w:rPr>
                <w:b/>
                <w:noProof/>
                <w:sz w:val="20"/>
              </w:rPr>
              <w:t>Effektivität der Umweltbehörden</w:t>
            </w:r>
          </w:p>
        </w:tc>
      </w:tr>
      <w:tr w:rsidR="008A5116">
        <w:tc>
          <w:tcPr>
            <w:tcW w:w="7111" w:type="dxa"/>
            <w:vAlign w:val="center"/>
          </w:tcPr>
          <w:p w:rsidR="008A5116" w:rsidRDefault="007552EA">
            <w:pPr>
              <w:pStyle w:val="ListParagraph"/>
              <w:numPr>
                <w:ilvl w:val="0"/>
                <w:numId w:val="2"/>
              </w:numPr>
              <w:rPr>
                <w:noProof/>
                <w:sz w:val="20"/>
              </w:rPr>
            </w:pPr>
            <w:r>
              <w:rPr>
                <w:noProof/>
                <w:sz w:val="20"/>
              </w:rPr>
              <w:t xml:space="preserve">Weitere Verbesserung der Governance im </w:t>
            </w:r>
            <w:r>
              <w:rPr>
                <w:noProof/>
                <w:sz w:val="20"/>
              </w:rPr>
              <w:t>Umweltbereich insgesamt (z. B. Transparenz, Einbeziehung der Bürger, Einhaltung und Durchsetzung der Vorschriften sowie Verwaltungskapazitäten und Abstimmung).</w:t>
            </w:r>
          </w:p>
        </w:tc>
        <w:tc>
          <w:tcPr>
            <w:tcW w:w="2357" w:type="dxa"/>
            <w:shd w:val="clear" w:color="auto" w:fill="auto"/>
            <w:vAlign w:val="center"/>
          </w:tcPr>
          <w:p w:rsidR="008A5116" w:rsidRDefault="007552EA">
            <w:pPr>
              <w:pStyle w:val="Text1"/>
              <w:ind w:left="0"/>
              <w:rPr>
                <w:noProof/>
                <w:sz w:val="20"/>
              </w:rPr>
            </w:pPr>
            <w:r>
              <w:rPr>
                <w:noProof/>
                <w:sz w:val="20"/>
              </w:rPr>
              <w:t>Alle Mitgliedstaaten</w:t>
            </w:r>
          </w:p>
        </w:tc>
      </w:tr>
      <w:tr w:rsidR="008A5116">
        <w:tc>
          <w:tcPr>
            <w:tcW w:w="7111" w:type="dxa"/>
            <w:vAlign w:val="center"/>
          </w:tcPr>
          <w:p w:rsidR="008A5116" w:rsidRDefault="007552EA">
            <w:pPr>
              <w:pStyle w:val="ListParagraph"/>
              <w:numPr>
                <w:ilvl w:val="0"/>
                <w:numId w:val="2"/>
              </w:numPr>
              <w:rPr>
                <w:noProof/>
                <w:sz w:val="20"/>
              </w:rPr>
            </w:pPr>
            <w:r>
              <w:rPr>
                <w:noProof/>
                <w:sz w:val="20"/>
              </w:rPr>
              <w:t xml:space="preserve">Vollständige Umsetzung der geänderten Richtlinie über die </w:t>
            </w:r>
            <w:r>
              <w:rPr>
                <w:noProof/>
                <w:sz w:val="20"/>
              </w:rPr>
              <w:t>Umweltverträglichkeitsprüfung (UVP).</w:t>
            </w:r>
          </w:p>
        </w:tc>
        <w:tc>
          <w:tcPr>
            <w:tcW w:w="2357" w:type="dxa"/>
            <w:shd w:val="clear" w:color="auto" w:fill="auto"/>
            <w:vAlign w:val="center"/>
          </w:tcPr>
          <w:p w:rsidR="008A5116" w:rsidRDefault="007552EA">
            <w:pPr>
              <w:pStyle w:val="Text1"/>
              <w:ind w:left="0"/>
              <w:rPr>
                <w:noProof/>
                <w:sz w:val="20"/>
              </w:rPr>
            </w:pPr>
            <w:r>
              <w:rPr>
                <w:noProof/>
                <w:sz w:val="20"/>
              </w:rPr>
              <w:t>DE, LT</w:t>
            </w:r>
          </w:p>
        </w:tc>
      </w:tr>
      <w:tr w:rsidR="008A5116">
        <w:tc>
          <w:tcPr>
            <w:tcW w:w="7111" w:type="dxa"/>
            <w:vAlign w:val="center"/>
          </w:tcPr>
          <w:p w:rsidR="008A5116" w:rsidRDefault="007552EA">
            <w:pPr>
              <w:pStyle w:val="ListParagraph"/>
              <w:numPr>
                <w:ilvl w:val="0"/>
                <w:numId w:val="2"/>
              </w:numPr>
              <w:rPr>
                <w:noProof/>
                <w:sz w:val="20"/>
              </w:rPr>
            </w:pPr>
            <w:r>
              <w:rPr>
                <w:noProof/>
                <w:sz w:val="20"/>
              </w:rPr>
              <w:t xml:space="preserve">Beseitigung der Fragmentierung auf regionaler und lokaler Ebene durch die Entwicklung besserer Koordinierungsinstrumente für den Umweltbereich. </w:t>
            </w:r>
          </w:p>
        </w:tc>
        <w:tc>
          <w:tcPr>
            <w:tcW w:w="2357" w:type="dxa"/>
            <w:shd w:val="clear" w:color="auto" w:fill="auto"/>
            <w:vAlign w:val="center"/>
          </w:tcPr>
          <w:p w:rsidR="008A5116" w:rsidRDefault="007552EA">
            <w:pPr>
              <w:pStyle w:val="Text1"/>
              <w:ind w:left="0"/>
              <w:rPr>
                <w:noProof/>
                <w:sz w:val="20"/>
              </w:rPr>
            </w:pPr>
            <w:r>
              <w:rPr>
                <w:noProof/>
                <w:sz w:val="20"/>
              </w:rPr>
              <w:t>EL, ES, IT</w:t>
            </w:r>
          </w:p>
        </w:tc>
      </w:tr>
      <w:tr w:rsidR="008A5116">
        <w:tc>
          <w:tcPr>
            <w:tcW w:w="7111" w:type="dxa"/>
            <w:vAlign w:val="center"/>
          </w:tcPr>
          <w:p w:rsidR="008A5116" w:rsidRDefault="007552EA">
            <w:pPr>
              <w:pStyle w:val="ListParagraph"/>
              <w:numPr>
                <w:ilvl w:val="0"/>
                <w:numId w:val="2"/>
              </w:numPr>
              <w:rPr>
                <w:noProof/>
                <w:sz w:val="20"/>
              </w:rPr>
            </w:pPr>
            <w:r>
              <w:rPr>
                <w:noProof/>
                <w:sz w:val="20"/>
              </w:rPr>
              <w:t xml:space="preserve">Fortführung der Anstrengungen zur Vereinfachung der Verfahren für die Umweltprüfung. </w:t>
            </w:r>
          </w:p>
        </w:tc>
        <w:tc>
          <w:tcPr>
            <w:tcW w:w="2357" w:type="dxa"/>
            <w:shd w:val="clear" w:color="auto" w:fill="auto"/>
            <w:vAlign w:val="center"/>
          </w:tcPr>
          <w:p w:rsidR="008A5116" w:rsidRDefault="007552EA">
            <w:pPr>
              <w:pStyle w:val="Text1"/>
              <w:ind w:left="0"/>
              <w:rPr>
                <w:noProof/>
                <w:sz w:val="20"/>
              </w:rPr>
            </w:pPr>
            <w:r>
              <w:rPr>
                <w:noProof/>
                <w:sz w:val="20"/>
              </w:rPr>
              <w:t>BE, CZ, HR</w:t>
            </w:r>
          </w:p>
        </w:tc>
      </w:tr>
      <w:tr w:rsidR="008A5116">
        <w:tc>
          <w:tcPr>
            <w:tcW w:w="9468" w:type="dxa"/>
            <w:gridSpan w:val="2"/>
            <w:shd w:val="clear" w:color="auto" w:fill="C6D9F1" w:themeFill="text2" w:themeFillTint="33"/>
            <w:vAlign w:val="center"/>
          </w:tcPr>
          <w:p w:rsidR="008A5116" w:rsidRDefault="007552EA">
            <w:pPr>
              <w:pStyle w:val="Text1"/>
              <w:spacing w:after="0"/>
              <w:ind w:left="0"/>
              <w:rPr>
                <w:b/>
                <w:noProof/>
                <w:sz w:val="20"/>
              </w:rPr>
            </w:pPr>
            <w:r>
              <w:rPr>
                <w:b/>
                <w:noProof/>
                <w:sz w:val="20"/>
              </w:rPr>
              <w:t>Internationale Abkommen</w:t>
            </w:r>
          </w:p>
        </w:tc>
      </w:tr>
      <w:tr w:rsidR="008A5116">
        <w:tc>
          <w:tcPr>
            <w:tcW w:w="7111" w:type="dxa"/>
            <w:vAlign w:val="center"/>
          </w:tcPr>
          <w:p w:rsidR="008A5116" w:rsidRDefault="007552EA">
            <w:pPr>
              <w:pStyle w:val="Text1"/>
              <w:numPr>
                <w:ilvl w:val="0"/>
                <w:numId w:val="2"/>
              </w:numPr>
              <w:rPr>
                <w:noProof/>
                <w:sz w:val="20"/>
              </w:rPr>
            </w:pPr>
            <w:r>
              <w:rPr>
                <w:noProof/>
                <w:sz w:val="20"/>
              </w:rPr>
              <w:t>Beteiligung an einschlägigen multilateralen Umweltabkommen durch Unterzeichnung und Ratifizierung der verbleibenden Abkommen.</w:t>
            </w:r>
          </w:p>
        </w:tc>
        <w:tc>
          <w:tcPr>
            <w:tcW w:w="2357" w:type="dxa"/>
            <w:vAlign w:val="center"/>
          </w:tcPr>
          <w:p w:rsidR="008A5116" w:rsidRDefault="007552EA">
            <w:pPr>
              <w:pStyle w:val="Text1"/>
              <w:ind w:left="0"/>
              <w:rPr>
                <w:noProof/>
                <w:sz w:val="20"/>
              </w:rPr>
            </w:pPr>
            <w:r>
              <w:rPr>
                <w:noProof/>
                <w:sz w:val="20"/>
              </w:rPr>
              <w:t>AT, BE,</w:t>
            </w:r>
            <w:r>
              <w:rPr>
                <w:noProof/>
                <w:sz w:val="20"/>
              </w:rPr>
              <w:t xml:space="preserve"> CY, CZ, EL, ES, FR, IE, IT, LT, LV, MT, PL, PT, RO, SI, SK</w:t>
            </w:r>
          </w:p>
        </w:tc>
      </w:tr>
    </w:tbl>
    <w:p w:rsidR="008A5116" w:rsidRDefault="008A5116">
      <w:pPr>
        <w:jc w:val="both"/>
        <w:rPr>
          <w:noProof/>
        </w:rPr>
      </w:pPr>
    </w:p>
    <w:sectPr w:rsidR="008A5116">
      <w:headerReference w:type="even" r:id="rId18"/>
      <w:headerReference w:type="default" r:id="rId19"/>
      <w:footerReference w:type="even" r:id="rId20"/>
      <w:footerReference w:type="default" r:id="rId21"/>
      <w:headerReference w:type="first" r:id="rId22"/>
      <w:footerReference w:type="first" r:id="rId23"/>
      <w:pgSz w:w="11906" w:h="16838"/>
      <w:pgMar w:top="1134" w:right="1417" w:bottom="851" w:left="1417"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116" w:rsidRDefault="007552EA">
      <w:pPr>
        <w:spacing w:after="0" w:line="240" w:lineRule="auto"/>
      </w:pPr>
      <w:r>
        <w:separator/>
      </w:r>
    </w:p>
  </w:endnote>
  <w:endnote w:type="continuationSeparator" w:id="0">
    <w:p w:rsidR="008A5116" w:rsidRDefault="007552EA">
      <w:pPr>
        <w:spacing w:after="0" w:line="240" w:lineRule="auto"/>
      </w:pPr>
      <w:r>
        <w:continuationSeparator/>
      </w:r>
    </w:p>
  </w:endnote>
  <w:endnote w:type="continuationNotice" w:id="1">
    <w:p w:rsidR="008A5116" w:rsidRDefault="008A51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2EA" w:rsidRPr="007552EA" w:rsidRDefault="007552EA" w:rsidP="00755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2EA" w:rsidRPr="007552EA" w:rsidRDefault="007552EA" w:rsidP="007552EA">
    <w:pPr>
      <w:pStyle w:val="FooterCoverPage"/>
      <w:rPr>
        <w:rFonts w:ascii="Arial" w:hAnsi="Arial" w:cs="Arial"/>
        <w:b/>
        <w:sz w:val="48"/>
      </w:rPr>
    </w:pPr>
    <w:r w:rsidRPr="007552EA">
      <w:rPr>
        <w:rFonts w:ascii="Arial" w:hAnsi="Arial" w:cs="Arial"/>
        <w:b/>
        <w:sz w:val="48"/>
      </w:rPr>
      <w:t>DE</w:t>
    </w:r>
    <w:r w:rsidRPr="007552EA">
      <w:rPr>
        <w:rFonts w:ascii="Arial" w:hAnsi="Arial" w:cs="Arial"/>
        <w:b/>
        <w:sz w:val="48"/>
      </w:rPr>
      <w:tab/>
    </w:r>
    <w:r w:rsidRPr="007552EA">
      <w:rPr>
        <w:rFonts w:ascii="Arial" w:hAnsi="Arial" w:cs="Arial"/>
        <w:b/>
        <w:sz w:val="48"/>
      </w:rPr>
      <w:tab/>
    </w:r>
    <w:r w:rsidRPr="007552EA">
      <w:tab/>
    </w:r>
    <w:r w:rsidRPr="007552EA">
      <w:rPr>
        <w:rFonts w:ascii="Arial" w:hAnsi="Arial" w:cs="Arial"/>
        <w:b/>
        <w:sz w:val="48"/>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2EA" w:rsidRPr="007552EA" w:rsidRDefault="007552EA" w:rsidP="007552EA">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116" w:rsidRDefault="008A51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749879"/>
      <w:docPartObj>
        <w:docPartGallery w:val="Page Numbers (Bottom of Page)"/>
        <w:docPartUnique/>
      </w:docPartObj>
    </w:sdtPr>
    <w:sdtEndPr>
      <w:rPr>
        <w:noProof/>
      </w:rPr>
    </w:sdtEndPr>
    <w:sdtContent>
      <w:p w:rsidR="008A5116" w:rsidRDefault="007552EA">
        <w:pPr>
          <w:pStyle w:val="Footer"/>
          <w:jc w:val="center"/>
        </w:pPr>
        <w:r>
          <w:fldChar w:fldCharType="begin"/>
        </w:r>
        <w:r>
          <w:instrText xml:space="preserve"> PAGE   \* MERGEFORMAT </w:instrText>
        </w:r>
        <w:r>
          <w:fldChar w:fldCharType="separate"/>
        </w:r>
        <w:r>
          <w:rPr>
            <w:noProof/>
          </w:rPr>
          <w:t>2</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78988"/>
      <w:docPartObj>
        <w:docPartGallery w:val="Page Numbers (Bottom of Page)"/>
        <w:docPartUnique/>
      </w:docPartObj>
    </w:sdtPr>
    <w:sdtEndPr>
      <w:rPr>
        <w:noProof/>
      </w:rPr>
    </w:sdtEndPr>
    <w:sdtContent>
      <w:p w:rsidR="008A5116" w:rsidRDefault="007552EA">
        <w:pPr>
          <w:pStyle w:val="Footer"/>
          <w:jc w:val="center"/>
        </w:pPr>
        <w:r>
          <w:fldChar w:fldCharType="begin"/>
        </w:r>
        <w:r>
          <w:instrText xml:space="preserve"> PAGE   \* MERGEFORMAT </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116" w:rsidRDefault="007552EA">
      <w:pPr>
        <w:spacing w:after="0" w:line="240" w:lineRule="auto"/>
      </w:pPr>
      <w:r>
        <w:separator/>
      </w:r>
    </w:p>
  </w:footnote>
  <w:footnote w:type="continuationSeparator" w:id="0">
    <w:p w:rsidR="008A5116" w:rsidRDefault="007552EA">
      <w:pPr>
        <w:spacing w:after="0" w:line="240" w:lineRule="auto"/>
      </w:pPr>
      <w:r>
        <w:continuationSeparator/>
      </w:r>
    </w:p>
  </w:footnote>
  <w:footnote w:type="continuationNotice" w:id="1">
    <w:p w:rsidR="008A5116" w:rsidRDefault="008A5116">
      <w:pPr>
        <w:spacing w:after="0" w:line="240" w:lineRule="auto"/>
      </w:pPr>
    </w:p>
  </w:footnote>
  <w:footnote w:id="2">
    <w:p w:rsidR="008A5116" w:rsidRDefault="007552EA">
      <w:pPr>
        <w:pStyle w:val="FootnoteText"/>
        <w:tabs>
          <w:tab w:val="left" w:pos="2552"/>
        </w:tabs>
        <w:jc w:val="left"/>
        <w:rPr>
          <w:sz w:val="16"/>
          <w:szCs w:val="16"/>
        </w:rPr>
      </w:pPr>
      <w:r>
        <w:rPr>
          <w:vertAlign w:val="superscript"/>
        </w:rPr>
        <w:footnoteRef/>
      </w:r>
      <w:r>
        <w:t xml:space="preserve"> </w:t>
      </w:r>
      <w:r>
        <w:rPr>
          <w:sz w:val="16"/>
        </w:rPr>
        <w:tab/>
      </w:r>
      <w:r>
        <w:rPr>
          <w:sz w:val="16"/>
          <w:szCs w:val="16"/>
        </w:rPr>
        <w:t xml:space="preserve">Die vorrangigen Maßnahmen wurden auf der Grundlage der der Europäischen Kommission zur Verfügung stehenden Informationen </w:t>
      </w:r>
      <w:r>
        <w:rPr>
          <w:sz w:val="16"/>
          <w:szCs w:val="16"/>
        </w:rPr>
        <w:t>in die einzelnen Länderberichte aufgenommen, um die Gleichbehandlung aller Mitgliedstaaten sicherzustellen. Um bestmögliche Vergleichbarkeit zu erreichen, wurden in diesem Anhang alle vorrangigen Maßnahmen nach Gruppen von Mitgliedstaaten zusammengestellt,</w:t>
      </w:r>
      <w:r>
        <w:rPr>
          <w:sz w:val="16"/>
          <w:szCs w:val="16"/>
        </w:rPr>
        <w:t xml:space="preserve"> für die ähnliche Empfehlungen ausgesprochen wurden. Gegebenenfalls sind daher die Formulierungen im Anhang weniger spezifisch als in den Länderberichten. </w:t>
      </w:r>
    </w:p>
  </w:footnote>
  <w:footnote w:id="3">
    <w:p w:rsidR="008A5116" w:rsidRDefault="007552EA">
      <w:pPr>
        <w:pStyle w:val="FootnoteText"/>
        <w:jc w:val="left"/>
      </w:pPr>
      <w:r>
        <w:rPr>
          <w:sz w:val="16"/>
        </w:rPr>
        <w:footnoteRef/>
      </w:r>
      <w:r>
        <w:rPr>
          <w:sz w:val="16"/>
        </w:rPr>
        <w:t xml:space="preserve"> </w:t>
      </w:r>
      <w:r>
        <w:rPr>
          <w:sz w:val="16"/>
        </w:rPr>
        <w:tab/>
        <w:t>Die Berichte über die eingeleiteten Maßnahmen zur Einhaltung der Meeresstrategie-Rahmenrichtlinie</w:t>
      </w:r>
      <w:r>
        <w:rPr>
          <w:sz w:val="16"/>
        </w:rPr>
        <w:t xml:space="preserve"> wurden von mehreren Mitgliedstaaten nicht fristgerecht übermittelt. Für diese Länder gilt nur die erste vorrangige Maßnahme, da die Daten nicht ausreichen, um die Fortschritte seit 2017 zu bewerten und neue Probleme darzustellen.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2EA" w:rsidRPr="007552EA" w:rsidRDefault="007552EA" w:rsidP="00755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2EA" w:rsidRPr="007552EA" w:rsidRDefault="007552EA" w:rsidP="007552EA">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2EA" w:rsidRPr="007552EA" w:rsidRDefault="007552EA" w:rsidP="007552EA">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116" w:rsidRDefault="008A51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116" w:rsidRDefault="008A51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116" w:rsidRDefault="008A5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0in;height:810pt;visibility:visible;mso-wrap-style:square" o:bullet="t">
        <v:imagedata r:id="rId1" o:title="" croptop="42983f" cropbottom="21645f" cropleft="54648f" cropright="10334f"/>
      </v:shape>
    </w:pict>
  </w:numPicBullet>
  <w:abstractNum w:abstractNumId="0" w15:restartNumberingAfterBreak="0">
    <w:nsid w:val="02E6737D"/>
    <w:multiLevelType w:val="hybridMultilevel"/>
    <w:tmpl w:val="349E1EDA"/>
    <w:lvl w:ilvl="0" w:tplc="E8BADAE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32A5D"/>
    <w:multiLevelType w:val="hybridMultilevel"/>
    <w:tmpl w:val="EA9ABA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3893E2D"/>
    <w:multiLevelType w:val="hybridMultilevel"/>
    <w:tmpl w:val="2D72C25A"/>
    <w:lvl w:ilvl="0" w:tplc="08090001">
      <w:start w:val="1"/>
      <w:numFmt w:val="bullet"/>
      <w:lvlText w:val=""/>
      <w:lvlJc w:val="left"/>
      <w:pPr>
        <w:ind w:left="389" w:hanging="360"/>
      </w:pPr>
      <w:rPr>
        <w:rFonts w:ascii="Symbol" w:hAnsi="Symbol"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3" w15:restartNumberingAfterBreak="0">
    <w:nsid w:val="04E20BC9"/>
    <w:multiLevelType w:val="hybridMultilevel"/>
    <w:tmpl w:val="19345C86"/>
    <w:lvl w:ilvl="0" w:tplc="0EBCA6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909C5"/>
    <w:multiLevelType w:val="hybridMultilevel"/>
    <w:tmpl w:val="956A9F1E"/>
    <w:lvl w:ilvl="0" w:tplc="D8BE8D1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0C77D0"/>
    <w:multiLevelType w:val="hybridMultilevel"/>
    <w:tmpl w:val="F4A88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261607"/>
    <w:multiLevelType w:val="hybridMultilevel"/>
    <w:tmpl w:val="34EA3B38"/>
    <w:lvl w:ilvl="0" w:tplc="52A4E736">
      <w:start w:val="1"/>
      <w:numFmt w:val="bullet"/>
      <w:pStyle w:val="SuggAction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A0660"/>
    <w:multiLevelType w:val="hybridMultilevel"/>
    <w:tmpl w:val="5E462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F92763"/>
    <w:multiLevelType w:val="hybridMultilevel"/>
    <w:tmpl w:val="8752D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284FFD"/>
    <w:multiLevelType w:val="hybridMultilevel"/>
    <w:tmpl w:val="D29A1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734306"/>
    <w:multiLevelType w:val="multilevel"/>
    <w:tmpl w:val="C53E7C98"/>
    <w:lvl w:ilvl="0">
      <w:start w:val="1"/>
      <w:numFmt w:val="decimal"/>
      <w:pStyle w:val="Heading1"/>
      <w:lvlText w:val="%1."/>
      <w:lvlJc w:val="left"/>
      <w:pPr>
        <w:tabs>
          <w:tab w:val="num" w:pos="480"/>
        </w:tabs>
        <w:ind w:left="480" w:hanging="480"/>
      </w:pPr>
      <w:rPr>
        <w:b/>
      </w:r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4A3347"/>
    <w:multiLevelType w:val="hybridMultilevel"/>
    <w:tmpl w:val="AAEEFE7E"/>
    <w:lvl w:ilvl="0" w:tplc="AEBE3BF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3047D"/>
    <w:multiLevelType w:val="hybridMultilevel"/>
    <w:tmpl w:val="86D03B10"/>
    <w:lvl w:ilvl="0" w:tplc="2ABA73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6B0E92"/>
    <w:multiLevelType w:val="hybridMultilevel"/>
    <w:tmpl w:val="6E18F87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88E4C1A"/>
    <w:multiLevelType w:val="hybridMultilevel"/>
    <w:tmpl w:val="7898E29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5" w15:restartNumberingAfterBreak="0">
    <w:nsid w:val="43461292"/>
    <w:multiLevelType w:val="hybridMultilevel"/>
    <w:tmpl w:val="AFE0C6AA"/>
    <w:lvl w:ilvl="0" w:tplc="EAD0B41A">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4AE14F91"/>
    <w:multiLevelType w:val="hybridMultilevel"/>
    <w:tmpl w:val="5EAEC9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AF43FC2"/>
    <w:multiLevelType w:val="hybridMultilevel"/>
    <w:tmpl w:val="5F8CE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4C31F5"/>
    <w:multiLevelType w:val="hybridMultilevel"/>
    <w:tmpl w:val="2A046A92"/>
    <w:lvl w:ilvl="0" w:tplc="DFA6A5D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5B7D40"/>
    <w:multiLevelType w:val="hybridMultilevel"/>
    <w:tmpl w:val="E35E4F5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3A486770">
      <w:numFmt w:val="bullet"/>
      <w:lvlText w:val="•"/>
      <w:lvlJc w:val="left"/>
      <w:pPr>
        <w:ind w:left="1800" w:hanging="360"/>
      </w:pPr>
      <w:rPr>
        <w:rFonts w:ascii="Times New Roman" w:eastAsiaTheme="minorHAnsi"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A1692A"/>
    <w:multiLevelType w:val="hybridMultilevel"/>
    <w:tmpl w:val="E522F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5D7940"/>
    <w:multiLevelType w:val="hybridMultilevel"/>
    <w:tmpl w:val="A28C8044"/>
    <w:lvl w:ilvl="0" w:tplc="CF3A71A8">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6C2864"/>
    <w:multiLevelType w:val="hybridMultilevel"/>
    <w:tmpl w:val="7D5CAB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9342455"/>
    <w:multiLevelType w:val="hybridMultilevel"/>
    <w:tmpl w:val="289E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4318C0"/>
    <w:multiLevelType w:val="hybridMultilevel"/>
    <w:tmpl w:val="526C4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246BB3"/>
    <w:multiLevelType w:val="hybridMultilevel"/>
    <w:tmpl w:val="F6523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0"/>
  </w:num>
  <w:num w:numId="3">
    <w:abstractNumId w:val="5"/>
  </w:num>
  <w:num w:numId="4">
    <w:abstractNumId w:val="10"/>
  </w:num>
  <w:num w:numId="5">
    <w:abstractNumId w:val="1"/>
  </w:num>
  <w:num w:numId="6">
    <w:abstractNumId w:val="21"/>
  </w:num>
  <w:num w:numId="7">
    <w:abstractNumId w:val="6"/>
  </w:num>
  <w:num w:numId="8">
    <w:abstractNumId w:val="6"/>
  </w:num>
  <w:num w:numId="9">
    <w:abstractNumId w:val="16"/>
  </w:num>
  <w:num w:numId="10">
    <w:abstractNumId w:val="6"/>
  </w:num>
  <w:num w:numId="11">
    <w:abstractNumId w:val="22"/>
  </w:num>
  <w:num w:numId="12">
    <w:abstractNumId w:val="3"/>
  </w:num>
  <w:num w:numId="13">
    <w:abstractNumId w:val="6"/>
  </w:num>
  <w:num w:numId="14">
    <w:abstractNumId w:val="13"/>
  </w:num>
  <w:num w:numId="15">
    <w:abstractNumId w:val="17"/>
  </w:num>
  <w:num w:numId="16">
    <w:abstractNumId w:val="9"/>
  </w:num>
  <w:num w:numId="17">
    <w:abstractNumId w:val="18"/>
  </w:num>
  <w:num w:numId="18">
    <w:abstractNumId w:val="7"/>
  </w:num>
  <w:num w:numId="19">
    <w:abstractNumId w:val="19"/>
  </w:num>
  <w:num w:numId="20">
    <w:abstractNumId w:val="4"/>
  </w:num>
  <w:num w:numId="21">
    <w:abstractNumId w:val="0"/>
  </w:num>
  <w:num w:numId="22">
    <w:abstractNumId w:val="8"/>
  </w:num>
  <w:num w:numId="23">
    <w:abstractNumId w:val="11"/>
  </w:num>
  <w:num w:numId="24">
    <w:abstractNumId w:val="15"/>
  </w:num>
  <w:num w:numId="25">
    <w:abstractNumId w:val="14"/>
  </w:num>
  <w:num w:numId="26">
    <w:abstractNumId w:val="12"/>
  </w:num>
  <w:num w:numId="27">
    <w:abstractNumId w:val="24"/>
  </w:num>
  <w:num w:numId="28">
    <w:abstractNumId w:val="2"/>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de-DE" w:vendorID="64" w:dllVersion="131078" w:nlCheck="1" w:checkStyle="0"/>
  <w:activeWritingStyle w:appName="MSWord" w:lang="nb-NO" w:vendorID="64" w:dllVersion="131078" w:nlCheck="1" w:checkStyle="0"/>
  <w:activeWritingStyle w:appName="MSWord" w:lang="it-IT" w:vendorID="64" w:dllVersion="131078" w:nlCheck="1" w:checkStyle="0"/>
  <w:activeWritingStyle w:appName="MSWord" w:lang="en-IE" w:vendorID="64" w:dllVersion="131078" w:nlCheck="1" w:checkStyle="1"/>
  <w:activeWritingStyle w:appName="MSWord" w:lang="da-DK" w:vendorID="64" w:dllVersion="131078" w:nlCheck="1" w:checkStyle="0"/>
  <w:activeWritingStyle w:appName="MSWord" w:lang="en-US" w:vendorID="64" w:dllVersion="131078" w:nlCheck="1" w:checkStyle="1"/>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er"/>
    <w:docVar w:name="LW_ANNEX_NBR_FIRST" w:val="1"/>
    <w:docVar w:name="LW_ANNEX_NBR_LAST" w:val="1"/>
    <w:docVar w:name="LW_ANNEX_UNIQUE" w:val="1"/>
    <w:docVar w:name="LW_CORRIGENDUM" w:val="&lt;UNUSED&gt;"/>
    <w:docVar w:name="LW_COVERPAGE_EXISTS" w:val="True"/>
    <w:docVar w:name="LW_COVERPAGE_GUID" w:val="9F963935-2C79-4D13-A3EC-4F771C0C0AF9"/>
    <w:docVar w:name="LW_COVERPAGE_TYPE" w:val="1"/>
    <w:docVar w:name="LW_CROSSREFERENCE" w:val="{SWD(2019) 111 final} - {SWD(2019) 112 final} - {SWD(2019) 113 final} - {SWD(2019) 114 final} - {SWD(2019) 115 final} - {SWD(2019) 116 final} - {SWD(2019) 117 final} - {SWD(2019) 118 final} - {SWD(2019) 119 final} - {SWD(2019) 120 final} - {SWD(2019) 121 final} - {SWD(2019) 122 final} - {SWD(2019) 123 final} - {SWD(2019) 124 final} - {SWD(2019) 125 final} - {SWD(2019) 126 final} - {SWD(2019) 127 final} - {SWD(2019) 128 final} - {SWD(2019) 129 final} - {SWD(2019) 130 final} - {SWD(2019) 131 final} - {SWD(2019) 132 final} - {SWD(2019) 133 final} - {SWD(2019) 134 final} - {SWD(2019) 135 final} - {SWD(2019) 136 final} - {SWD(2019) 137 final} - {SWD(2019) 138 final} - {SWD(2019) 139 final}"/>
    <w:docVar w:name="LW_DocType" w:val="NORMAL"/>
    <w:docVar w:name="LW_EMISSION" w:val="4.4.2019"/>
    <w:docVar w:name="LW_EMISSION_ISODATE" w:val="2019-04-04"/>
    <w:docVar w:name="LW_EMISSION_LOCATION" w:val="BRX"/>
    <w:docVar w:name="LW_EMISSION_PREFIX" w:val="Brüssel, den "/>
    <w:docVar w:name="LW_EMISSION_SUFFIX" w:val=" "/>
    <w:docVar w:name="LW_ID_DOCTYPE_NONLW" w:val="CP-039"/>
    <w:docVar w:name="LW_LANGUE" w:val="DE"/>
    <w:docVar w:name="LW_LEVEL_OF_SENSITIVITY" w:val="Standard treatment"/>
    <w:docVar w:name="LW_NOM.INST" w:val="EUROPÄISCHE KOMMISSION"/>
    <w:docVar w:name="LW_NOM.INST_JOINTDOC" w:val="&lt;EMPTY&gt;"/>
    <w:docVar w:name="LW_OBJETACTEPRINCIPAL.CP" w:val="Überprüfung der Umsetzung der Umweltpolitik 2019:_x000b_Ein Europa, das seine Bürgerinnen und Bürger schützt und ihre Lebensqualität verbessert"/>
    <w:docVar w:name="LW_PART_NBR" w:val="1"/>
    <w:docVar w:name="LW_PART_NBR_TOTAL" w:val="1"/>
    <w:docVar w:name="LW_REF.INST.NEW" w:val="COM"/>
    <w:docVar w:name="LW_REF.INST.NEW_ADOPTED" w:val="final"/>
    <w:docVar w:name="LW_REF.INST.NEW_TEXT" w:val="(2019) 1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HANG_x000b_"/>
    <w:docVar w:name="LW_TYPEACTEPRINCIPAL.CP" w:val="MITTEILUNG DER KOMMISSION AN DAS EUROPÄISCHE PARLAMENT, DEN RAT, DEN EUROPÄISCHEN WIRTSCHAFTS- UND SOZIALAUSSCHUSS UND DEN AUSSCHUSS DER REGIONEN"/>
  </w:docVars>
  <w:rsids>
    <w:rsidRoot w:val="008A5116"/>
    <w:rsid w:val="007552EA"/>
    <w:rsid w:val="008A511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F9AAD7-FAFD-4274-B52A-13796DED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numPr>
        <w:numId w:val="1"/>
      </w:numPr>
      <w:suppressAutoHyphens/>
      <w:autoSpaceDN w:val="0"/>
      <w:spacing w:before="240" w:line="240" w:lineRule="auto"/>
      <w:jc w:val="both"/>
      <w:textAlignment w:val="baseline"/>
      <w:outlineLvl w:val="0"/>
    </w:pPr>
    <w:rPr>
      <w:rFonts w:ascii="Times New Roman" w:eastAsia="Calibri" w:hAnsi="Times New Roman" w:cs="Times New Roman"/>
      <w:b/>
      <w:bCs/>
      <w:smallCaps/>
      <w:sz w:val="24"/>
      <w:szCs w:val="24"/>
    </w:rPr>
  </w:style>
  <w:style w:type="paragraph" w:styleId="Heading2">
    <w:name w:val="heading 2"/>
    <w:basedOn w:val="Normal"/>
    <w:next w:val="Normal"/>
    <w:link w:val="Heading2Char"/>
    <w:qFormat/>
    <w:pPr>
      <w:keepNext/>
      <w:numPr>
        <w:ilvl w:val="1"/>
        <w:numId w:val="1"/>
      </w:numPr>
      <w:suppressAutoHyphens/>
      <w:autoSpaceDN w:val="0"/>
      <w:spacing w:after="120" w:line="240" w:lineRule="auto"/>
      <w:jc w:val="both"/>
      <w:textAlignment w:val="baseline"/>
      <w:outlineLvl w:val="1"/>
    </w:pPr>
    <w:rPr>
      <w:rFonts w:ascii="Times New Roman" w:eastAsia="Calibri" w:hAnsi="Times New Roman" w:cs="Times New Roman"/>
      <w:b/>
      <w:sz w:val="24"/>
    </w:rPr>
  </w:style>
  <w:style w:type="paragraph" w:styleId="Heading3">
    <w:name w:val="heading 3"/>
    <w:basedOn w:val="Normal"/>
    <w:next w:val="Normal"/>
    <w:link w:val="Heading3Char"/>
    <w:qFormat/>
    <w:pPr>
      <w:keepNext/>
      <w:numPr>
        <w:ilvl w:val="2"/>
        <w:numId w:val="1"/>
      </w:numPr>
      <w:suppressAutoHyphens/>
      <w:autoSpaceDN w:val="0"/>
      <w:spacing w:after="120" w:line="240" w:lineRule="auto"/>
      <w:jc w:val="both"/>
      <w:textAlignment w:val="baseline"/>
      <w:outlineLvl w:val="2"/>
    </w:pPr>
    <w:rPr>
      <w:rFonts w:ascii="Times New Roman" w:eastAsia="Calibri" w:hAnsi="Times New Roman" w:cs="Times New Roman"/>
      <w:b/>
      <w:sz w:val="24"/>
    </w:rPr>
  </w:style>
  <w:style w:type="paragraph" w:styleId="Heading4">
    <w:name w:val="heading 4"/>
    <w:basedOn w:val="Normal"/>
    <w:next w:val="Normal"/>
    <w:link w:val="Heading4Char"/>
    <w:qFormat/>
    <w:pPr>
      <w:keepNext/>
      <w:numPr>
        <w:ilvl w:val="3"/>
        <w:numId w:val="1"/>
      </w:numPr>
      <w:suppressAutoHyphens/>
      <w:autoSpaceDN w:val="0"/>
      <w:spacing w:after="120" w:line="240" w:lineRule="auto"/>
      <w:jc w:val="both"/>
      <w:textAlignment w:val="baseline"/>
      <w:outlineLvl w:val="3"/>
    </w:pPr>
    <w:rPr>
      <w:rFonts w:ascii="Times New Roman" w:eastAsia="Calibri"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Calibri" w:hAnsi="Times New Roman" w:cs="Times New Roman"/>
      <w:b/>
      <w:bCs/>
      <w:smallCaps/>
      <w:sz w:val="24"/>
      <w:szCs w:val="24"/>
    </w:rPr>
  </w:style>
  <w:style w:type="character" w:customStyle="1" w:styleId="Heading2Char">
    <w:name w:val="Heading 2 Char"/>
    <w:basedOn w:val="DefaultParagraphFont"/>
    <w:link w:val="Heading2"/>
    <w:rPr>
      <w:rFonts w:ascii="Times New Roman" w:eastAsia="Calibri" w:hAnsi="Times New Roman" w:cs="Times New Roman"/>
      <w:b/>
      <w:sz w:val="24"/>
    </w:rPr>
  </w:style>
  <w:style w:type="character" w:customStyle="1" w:styleId="Heading3Char">
    <w:name w:val="Heading 3 Char"/>
    <w:basedOn w:val="DefaultParagraphFont"/>
    <w:link w:val="Heading3"/>
    <w:rPr>
      <w:rFonts w:ascii="Times New Roman" w:eastAsia="Calibri" w:hAnsi="Times New Roman" w:cs="Times New Roman"/>
      <w:b/>
      <w:sz w:val="24"/>
    </w:rPr>
  </w:style>
  <w:style w:type="character" w:customStyle="1" w:styleId="Heading4Char">
    <w:name w:val="Heading 4 Char"/>
    <w:basedOn w:val="DefaultParagraphFont"/>
    <w:link w:val="Heading4"/>
    <w:rPr>
      <w:rFonts w:ascii="Times New Roman" w:eastAsia="Calibri" w:hAnsi="Times New Roman" w:cs="Times New Roman"/>
      <w:sz w:val="24"/>
    </w:rPr>
  </w:style>
  <w:style w:type="paragraph" w:customStyle="1" w:styleId="Text1">
    <w:name w:val="Text 1"/>
    <w:basedOn w:val="Normal"/>
    <w:pPr>
      <w:suppressAutoHyphens/>
      <w:autoSpaceDN w:val="0"/>
      <w:spacing w:after="120" w:line="240" w:lineRule="auto"/>
      <w:ind w:left="482"/>
      <w:jc w:val="both"/>
      <w:textAlignment w:val="baseline"/>
    </w:pPr>
    <w:rPr>
      <w:rFonts w:ascii="Times New Roman" w:eastAsia="Calibri" w:hAnsi="Times New Roman" w:cs="Times New Roman"/>
      <w:sz w:val="24"/>
    </w:rPr>
  </w:style>
  <w:style w:type="paragraph" w:styleId="FootnoteText">
    <w:name w:val="footnote text"/>
    <w:aliases w:val="Footnote Text Char Char,Footnote Text Char Char Char Char,Footnote Text1 Char,Footnote Text1,Footnote Text Char Char Char,Footnote Text1 Char Char Char,Footnote Text1 Char Char Char Char Char Char Char Char,Char Char Char,Footnote Text Ch"/>
    <w:basedOn w:val="Normal"/>
    <w:link w:val="FootnoteTextChar"/>
    <w:uiPriority w:val="99"/>
    <w:qFormat/>
    <w:pPr>
      <w:suppressAutoHyphens/>
      <w:autoSpaceDN w:val="0"/>
      <w:spacing w:after="60" w:line="240" w:lineRule="auto"/>
      <w:ind w:left="357" w:hanging="357"/>
      <w:jc w:val="both"/>
      <w:textAlignment w:val="baseline"/>
    </w:pPr>
    <w:rPr>
      <w:rFonts w:ascii="Times New Roman" w:eastAsia="Calibri" w:hAnsi="Times New Roman" w:cs="Times New Roman"/>
      <w:sz w:val="18"/>
    </w:rPr>
  </w:style>
  <w:style w:type="character" w:customStyle="1" w:styleId="FootnoteTextChar">
    <w:name w:val="Footnote Text Char"/>
    <w:aliases w:val="Footnote Text Char Char Char1,Footnote Text Char Char Char Char Char,Footnote Text1 Char Char,Footnote Text1 Char1,Footnote Text Char Char Char Char1,Footnote Text1 Char Char Char Char,Char Char Char Char,Footnote Text Ch Char"/>
    <w:basedOn w:val="DefaultParagraphFont"/>
    <w:link w:val="FootnoteText"/>
    <w:uiPriority w:val="99"/>
    <w:rPr>
      <w:rFonts w:ascii="Times New Roman" w:eastAsia="Calibri" w:hAnsi="Times New Roman" w:cs="Times New Roman"/>
      <w:sz w:val="18"/>
    </w:rPr>
  </w:style>
  <w:style w:type="paragraph" w:styleId="ListParagraph">
    <w:name w:val="List Paragraph"/>
    <w:aliases w:val="Heading 2_sj,List Paragraph1,Bullet List Paragraph"/>
    <w:basedOn w:val="Normal"/>
    <w:link w:val="ListParagraphChar"/>
    <w:uiPriority w:val="34"/>
    <w:qFormat/>
    <w:pPr>
      <w:suppressAutoHyphens/>
      <w:autoSpaceDN w:val="0"/>
      <w:spacing w:after="120" w:line="240" w:lineRule="auto"/>
      <w:ind w:left="720"/>
      <w:jc w:val="both"/>
      <w:textAlignment w:val="baseline"/>
    </w:pPr>
    <w:rPr>
      <w:rFonts w:ascii="Times New Roman" w:eastAsia="Calibri" w:hAnsi="Times New Roman" w:cs="Times New Roman"/>
      <w:sz w:val="24"/>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SA"/>
    <w:uiPriority w:val="1"/>
    <w:qFormat/>
    <w:pPr>
      <w:numPr>
        <w:numId w:val="6"/>
      </w:numPr>
      <w:spacing w:after="0" w:line="240" w:lineRule="auto"/>
      <w:ind w:left="170" w:hanging="170"/>
      <w:jc w:val="both"/>
    </w:pPr>
    <w:rPr>
      <w:rFonts w:ascii="Calibri" w:eastAsia="Calibri" w:hAnsi="Calibri" w:cs="Times New Roman"/>
      <w:sz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uggActions">
    <w:name w:val="SuggActions"/>
    <w:basedOn w:val="ListParagraph"/>
    <w:link w:val="SuggActionsChar"/>
    <w:autoRedefine/>
    <w:qFormat/>
    <w:pPr>
      <w:widowControl w:val="0"/>
      <w:numPr>
        <w:numId w:val="7"/>
      </w:numPr>
      <w:suppressAutoHyphens w:val="0"/>
      <w:autoSpaceDN/>
      <w:spacing w:after="0"/>
      <w:textAlignment w:val="auto"/>
    </w:pPr>
    <w:rPr>
      <w:rFonts w:asciiTheme="minorHAnsi" w:hAnsiTheme="minorHAnsi" w:cstheme="minorBidi"/>
      <w:noProof/>
      <w:sz w:val="20"/>
      <w:szCs w:val="20"/>
      <w:lang w:eastAsia="en-GB"/>
    </w:rPr>
  </w:style>
  <w:style w:type="character" w:customStyle="1" w:styleId="SuggActionsChar">
    <w:name w:val="SuggActions Char"/>
    <w:basedOn w:val="DefaultParagraphFont"/>
    <w:link w:val="SuggActions"/>
    <w:rPr>
      <w:rFonts w:eastAsia="Calibri"/>
      <w:noProof/>
      <w:sz w:val="20"/>
      <w:szCs w:val="20"/>
      <w:lang w:eastAsia="en-GB"/>
    </w:rPr>
  </w:style>
  <w:style w:type="character" w:customStyle="1" w:styleId="ListParagraphChar">
    <w:name w:val="List Paragraph Char"/>
    <w:aliases w:val="Heading 2_sj Char,List Paragraph1 Char,Bullet List Paragraph Char"/>
    <w:link w:val="ListParagraph"/>
    <w:uiPriority w:val="34"/>
    <w:locked/>
    <w:rPr>
      <w:rFonts w:ascii="Times New Roman" w:eastAsia="Calibri" w:hAnsi="Times New Roman" w:cs="Times New Roman"/>
      <w:sz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06784">
      <w:bodyDiv w:val="1"/>
      <w:marLeft w:val="0"/>
      <w:marRight w:val="0"/>
      <w:marTop w:val="0"/>
      <w:marBottom w:val="0"/>
      <w:divBdr>
        <w:top w:val="none" w:sz="0" w:space="0" w:color="auto"/>
        <w:left w:val="none" w:sz="0" w:space="0" w:color="auto"/>
        <w:bottom w:val="none" w:sz="0" w:space="0" w:color="auto"/>
        <w:right w:val="none" w:sz="0" w:space="0" w:color="auto"/>
      </w:divBdr>
    </w:div>
    <w:div w:id="940458629">
      <w:bodyDiv w:val="1"/>
      <w:marLeft w:val="0"/>
      <w:marRight w:val="0"/>
      <w:marTop w:val="0"/>
      <w:marBottom w:val="0"/>
      <w:divBdr>
        <w:top w:val="none" w:sz="0" w:space="0" w:color="auto"/>
        <w:left w:val="none" w:sz="0" w:space="0" w:color="auto"/>
        <w:bottom w:val="none" w:sz="0" w:space="0" w:color="auto"/>
        <w:right w:val="none" w:sz="0" w:space="0" w:color="auto"/>
      </w:divBdr>
    </w:div>
    <w:div w:id="1553341951">
      <w:bodyDiv w:val="1"/>
      <w:marLeft w:val="0"/>
      <w:marRight w:val="0"/>
      <w:marTop w:val="0"/>
      <w:marBottom w:val="0"/>
      <w:divBdr>
        <w:top w:val="none" w:sz="0" w:space="0" w:color="auto"/>
        <w:left w:val="none" w:sz="0" w:space="0" w:color="auto"/>
        <w:bottom w:val="none" w:sz="0" w:space="0" w:color="auto"/>
        <w:right w:val="none" w:sz="0" w:space="0" w:color="auto"/>
      </w:divBdr>
    </w:div>
    <w:div w:id="1795060304">
      <w:bodyDiv w:val="1"/>
      <w:marLeft w:val="0"/>
      <w:marRight w:val="0"/>
      <w:marTop w:val="0"/>
      <w:marBottom w:val="0"/>
      <w:divBdr>
        <w:top w:val="none" w:sz="0" w:space="0" w:color="auto"/>
        <w:left w:val="none" w:sz="0" w:space="0" w:color="auto"/>
        <w:bottom w:val="none" w:sz="0" w:space="0" w:color="auto"/>
        <w:right w:val="none" w:sz="0" w:space="0" w:color="auto"/>
      </w:divBdr>
    </w:div>
    <w:div w:id="1984307438">
      <w:bodyDiv w:val="1"/>
      <w:marLeft w:val="0"/>
      <w:marRight w:val="0"/>
      <w:marTop w:val="0"/>
      <w:marBottom w:val="0"/>
      <w:divBdr>
        <w:top w:val="none" w:sz="0" w:space="0" w:color="auto"/>
        <w:left w:val="none" w:sz="0" w:space="0" w:color="auto"/>
        <w:bottom w:val="none" w:sz="0" w:space="0" w:color="auto"/>
        <w:right w:val="none" w:sz="0" w:space="0" w:color="auto"/>
      </w:divBdr>
    </w:div>
    <w:div w:id="2103793265">
      <w:bodyDiv w:val="1"/>
      <w:marLeft w:val="0"/>
      <w:marRight w:val="0"/>
      <w:marTop w:val="0"/>
      <w:marBottom w:val="0"/>
      <w:divBdr>
        <w:top w:val="none" w:sz="0" w:space="0" w:color="auto"/>
        <w:left w:val="none" w:sz="0" w:space="0" w:color="auto"/>
        <w:bottom w:val="none" w:sz="0" w:space="0" w:color="auto"/>
        <w:right w:val="none" w:sz="0" w:space="0" w:color="auto"/>
      </w:divBdr>
      <w:divsChild>
        <w:div w:id="1170949558">
          <w:marLeft w:val="0"/>
          <w:marRight w:val="0"/>
          <w:marTop w:val="0"/>
          <w:marBottom w:val="0"/>
          <w:divBdr>
            <w:top w:val="none" w:sz="0" w:space="0" w:color="auto"/>
            <w:left w:val="none" w:sz="0" w:space="0" w:color="auto"/>
            <w:bottom w:val="none" w:sz="0" w:space="0" w:color="auto"/>
            <w:right w:val="none" w:sz="0" w:space="0" w:color="auto"/>
          </w:divBdr>
        </w:div>
        <w:div w:id="25837807">
          <w:marLeft w:val="0"/>
          <w:marRight w:val="0"/>
          <w:marTop w:val="0"/>
          <w:marBottom w:val="0"/>
          <w:divBdr>
            <w:top w:val="none" w:sz="0" w:space="0" w:color="auto"/>
            <w:left w:val="none" w:sz="0" w:space="0" w:color="auto"/>
            <w:bottom w:val="none" w:sz="0" w:space="0" w:color="auto"/>
            <w:right w:val="none" w:sz="0" w:space="0" w:color="auto"/>
          </w:divBdr>
        </w:div>
        <w:div w:id="65077605">
          <w:marLeft w:val="0"/>
          <w:marRight w:val="0"/>
          <w:marTop w:val="0"/>
          <w:marBottom w:val="0"/>
          <w:divBdr>
            <w:top w:val="none" w:sz="0" w:space="0" w:color="auto"/>
            <w:left w:val="none" w:sz="0" w:space="0" w:color="auto"/>
            <w:bottom w:val="none" w:sz="0" w:space="0" w:color="auto"/>
            <w:right w:val="none" w:sz="0" w:space="0" w:color="auto"/>
          </w:divBdr>
          <w:divsChild>
            <w:div w:id="650988474">
              <w:marLeft w:val="0"/>
              <w:marRight w:val="0"/>
              <w:marTop w:val="0"/>
              <w:marBottom w:val="0"/>
              <w:divBdr>
                <w:top w:val="none" w:sz="0" w:space="0" w:color="auto"/>
                <w:left w:val="none" w:sz="0" w:space="0" w:color="auto"/>
                <w:bottom w:val="none" w:sz="0" w:space="0" w:color="auto"/>
                <w:right w:val="none" w:sz="0" w:space="0" w:color="auto"/>
              </w:divBdr>
            </w:div>
            <w:div w:id="855267574">
              <w:marLeft w:val="0"/>
              <w:marRight w:val="0"/>
              <w:marTop w:val="0"/>
              <w:marBottom w:val="0"/>
              <w:divBdr>
                <w:top w:val="none" w:sz="0" w:space="0" w:color="auto"/>
                <w:left w:val="none" w:sz="0" w:space="0" w:color="auto"/>
                <w:bottom w:val="none" w:sz="0" w:space="0" w:color="auto"/>
                <w:right w:val="none" w:sz="0" w:space="0" w:color="auto"/>
              </w:divBdr>
            </w:div>
            <w:div w:id="2109351880">
              <w:marLeft w:val="0"/>
              <w:marRight w:val="0"/>
              <w:marTop w:val="0"/>
              <w:marBottom w:val="0"/>
              <w:divBdr>
                <w:top w:val="none" w:sz="0" w:space="0" w:color="auto"/>
                <w:left w:val="none" w:sz="0" w:space="0" w:color="auto"/>
                <w:bottom w:val="none" w:sz="0" w:space="0" w:color="auto"/>
                <w:right w:val="none" w:sz="0" w:space="0" w:color="auto"/>
              </w:divBdr>
            </w:div>
            <w:div w:id="1023242132">
              <w:marLeft w:val="0"/>
              <w:marRight w:val="0"/>
              <w:marTop w:val="0"/>
              <w:marBottom w:val="0"/>
              <w:divBdr>
                <w:top w:val="none" w:sz="0" w:space="0" w:color="auto"/>
                <w:left w:val="none" w:sz="0" w:space="0" w:color="auto"/>
                <w:bottom w:val="none" w:sz="0" w:space="0" w:color="auto"/>
                <w:right w:val="none" w:sz="0" w:space="0" w:color="auto"/>
              </w:divBdr>
            </w:div>
            <w:div w:id="57817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E97EA221F96E4B9233A8505060E8B9" ma:contentTypeVersion="0" ma:contentTypeDescription="Create a new document." ma:contentTypeScope="" ma:versionID="dbda434071fed551bc7965c9517226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28ED5-D2FD-4BE5-9E09-6AC5D854D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88B671F-52B5-4A57-8188-E23ED74EA8B4}">
  <ds:schemaRefs>
    <ds:schemaRef ds:uri="http://schemas.microsoft.com/sharepoint/v3/contenttype/forms"/>
  </ds:schemaRefs>
</ds:datastoreItem>
</file>

<file path=customXml/itemProps3.xml><?xml version="1.0" encoding="utf-8"?>
<ds:datastoreItem xmlns:ds="http://schemas.openxmlformats.org/officeDocument/2006/customXml" ds:itemID="{53659AAF-45E9-48C6-AAFF-51F5B367CD34}">
  <ds:schemaRefs>
    <ds:schemaRef ds:uri="http://purl.org/dc/elements/1.1/"/>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D74B922-6430-483E-84F3-75635E7B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2243</Words>
  <Characters>14811</Characters>
  <Application>Microsoft Office Word</Application>
  <DocSecurity>0</DocSecurity>
  <Lines>400</Lines>
  <Paragraphs>179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CODESCU Ion (ENV)</dc:creator>
  <cp:lastModifiedBy>LAGES CARVALHO Patrick (SG)</cp:lastModifiedBy>
  <cp:revision>13</cp:revision>
  <cp:lastPrinted>2019-01-23T10:05:00Z</cp:lastPrinted>
  <dcterms:created xsi:type="dcterms:W3CDTF">2019-03-07T09:42:00Z</dcterms:created>
  <dcterms:modified xsi:type="dcterms:W3CDTF">2019-03-25T10:51:00Z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ontentTypeId">
    <vt:lpwstr>0x01010078E97EA221F96E4B9233A8505060E8B9</vt:lpwstr>
  </property>
  <property fmtid="{D5CDD505-2E9C-101B-9397-08002B2CF9AE}" pid="8" name="Offisync_UpdateToken">
    <vt:lpwstr>13</vt:lpwstr>
  </property>
  <property fmtid="{D5CDD505-2E9C-101B-9397-08002B2CF9AE}" pid="9" name="Offisync_UniqueId">
    <vt:lpwstr>181497</vt:lpwstr>
  </property>
  <property fmtid="{D5CDD505-2E9C-101B-9397-08002B2CF9AE}" pid="10" name="Jive_VersionGuid">
    <vt:lpwstr>f1562e83-4210-4c4a-b4c2-f5df04ff6de0</vt:lpwstr>
  </property>
  <property fmtid="{D5CDD505-2E9C-101B-9397-08002B2CF9AE}" pid="11" name="Offisync_ProviderInitializationData">
    <vt:lpwstr>https://connected.cnect.cec.eu.int</vt:lpwstr>
  </property>
  <property fmtid="{D5CDD505-2E9C-101B-9397-08002B2CF9AE}" pid="12" name="Jive_LatestUserAccountName">
    <vt:lpwstr>dalgaka</vt:lpwstr>
  </property>
  <property fmtid="{D5CDD505-2E9C-101B-9397-08002B2CF9AE}" pid="13" name="Offisync_ServerID">
    <vt:lpwstr>0d3b22a6-6203-4efc-8e8e-b5279256493b</vt:lpwstr>
  </property>
  <property fmtid="{D5CDD505-2E9C-101B-9397-08002B2CF9AE}" pid="14" name="Level of sensitivity">
    <vt:lpwstr>Standard treatment</vt:lpwstr>
  </property>
  <property fmtid="{D5CDD505-2E9C-101B-9397-08002B2CF9AE}" pid="15" name="Last edited using">
    <vt:lpwstr>LW 6.0.1, Build 20180503</vt:lpwstr>
  </property>
  <property fmtid="{D5CDD505-2E9C-101B-9397-08002B2CF9AE}" pid="16" name="Unique annex">
    <vt:lpwstr>1</vt:lpwstr>
  </property>
  <property fmtid="{D5CDD505-2E9C-101B-9397-08002B2CF9AE}" pid="17" name="Created using">
    <vt:lpwstr>LW 6.0.1, Build 20180503</vt:lpwstr>
  </property>
</Properties>
</file>