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87" w:rsidRDefault="0000622C" w:rsidP="0000622C">
      <w:pPr>
        <w:pStyle w:val="Pagedecouverture"/>
        <w:rPr>
          <w:noProof/>
        </w:rPr>
      </w:pPr>
      <w:bookmarkStart w:id="0" w:name="LW_BM_COVERPAGE"/>
      <w:r>
        <w:rPr>
          <w:noProof/>
        </w:rPr>
        <w:pict>
          <v:shape id="_x0000_i1033" type="#_x0000_t75" alt="E94D7AA4-13DF-4558-A37D-693DD89D72A0" style="width:450.75pt;height:557.25pt">
            <v:imagedata r:id="rId11" o:title=""/>
          </v:shape>
        </w:pict>
      </w:r>
    </w:p>
    <w:bookmarkEnd w:id="0"/>
    <w:p w:rsidR="00A10D87" w:rsidRDefault="00A10D87">
      <w:pPr>
        <w:rPr>
          <w:noProof/>
        </w:rPr>
        <w:sectPr w:rsidR="00A10D87" w:rsidSect="0000622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A10D87" w:rsidRDefault="0000622C">
      <w:pPr>
        <w:pStyle w:val="Heading1"/>
        <w:numPr>
          <w:ilvl w:val="0"/>
          <w:numId w:val="0"/>
        </w:numPr>
        <w:spacing w:before="120" w:after="360"/>
        <w:jc w:val="center"/>
        <w:rPr>
          <w:noProof/>
        </w:rPr>
      </w:pPr>
      <w:bookmarkStart w:id="1" w:name="_GoBack"/>
      <w:bookmarkEnd w:id="1"/>
      <w:r>
        <w:rPr>
          <w:noProof/>
        </w:rPr>
        <w:lastRenderedPageBreak/>
        <w:t>ACȚIUNI PRIORITARE CU PRIVIRE LA O MAI BUNĂ PUNERE ÎN APLICARE A POLITICILOR DE MEDIU</w:t>
      </w:r>
    </w:p>
    <w:p w:rsidR="00A10D87" w:rsidRDefault="0000622C">
      <w:pPr>
        <w:jc w:val="center"/>
        <w:rPr>
          <w:rFonts w:ascii="Times New Roman" w:hAnsi="Times New Roman" w:cs="Times New Roman"/>
          <w:noProof/>
        </w:rPr>
      </w:pPr>
      <w:r>
        <w:rPr>
          <w:rFonts w:ascii="Times New Roman" w:hAnsi="Times New Roman"/>
          <w:noProof/>
        </w:rPr>
        <w:t xml:space="preserve">Prezenta anexă rezumă acțiunile prioritare cuprinse în cele </w:t>
      </w:r>
      <w:r>
        <w:rPr>
          <w:rFonts w:ascii="Times New Roman" w:hAnsi="Times New Roman"/>
          <w:noProof/>
        </w:rPr>
        <w:t>28 de rapoarte de țară elaborate în cadrul EIR</w:t>
      </w:r>
      <w:r>
        <w:rPr>
          <w:rFonts w:ascii="Times New Roman" w:hAnsi="Times New Roman"/>
          <w:noProof/>
        </w:rPr>
        <w:footnoteReference w:id="2"/>
      </w:r>
    </w:p>
    <w:tbl>
      <w:tblPr>
        <w:tblStyle w:val="TableGrid"/>
        <w:tblW w:w="9468" w:type="dxa"/>
        <w:tblLayout w:type="fixed"/>
        <w:tblLook w:val="04A0" w:firstRow="1" w:lastRow="0" w:firstColumn="1" w:lastColumn="0" w:noHBand="0" w:noVBand="1"/>
      </w:tblPr>
      <w:tblGrid>
        <w:gridCol w:w="7111"/>
        <w:gridCol w:w="2357"/>
      </w:tblGrid>
      <w:tr w:rsidR="00A10D87">
        <w:tc>
          <w:tcPr>
            <w:tcW w:w="7111" w:type="dxa"/>
            <w:shd w:val="clear" w:color="auto" w:fill="auto"/>
            <w:vAlign w:val="center"/>
          </w:tcPr>
          <w:p w:rsidR="00A10D87" w:rsidRDefault="0000622C">
            <w:pPr>
              <w:pStyle w:val="Text1"/>
              <w:ind w:left="0"/>
              <w:jc w:val="left"/>
              <w:rPr>
                <w:i/>
                <w:noProof/>
                <w:sz w:val="20"/>
              </w:rPr>
            </w:pPr>
            <w:r>
              <w:rPr>
                <w:i/>
                <w:noProof/>
                <w:sz w:val="20"/>
              </w:rPr>
              <w:t>Acțiuni prioritare</w:t>
            </w:r>
          </w:p>
        </w:tc>
        <w:tc>
          <w:tcPr>
            <w:tcW w:w="2357" w:type="dxa"/>
            <w:shd w:val="clear" w:color="auto" w:fill="auto"/>
            <w:vAlign w:val="center"/>
          </w:tcPr>
          <w:p w:rsidR="00A10D87" w:rsidRDefault="0000622C">
            <w:pPr>
              <w:pStyle w:val="Text1"/>
              <w:ind w:left="0"/>
              <w:jc w:val="left"/>
              <w:rPr>
                <w:i/>
                <w:noProof/>
                <w:sz w:val="20"/>
              </w:rPr>
            </w:pPr>
            <w:r>
              <w:rPr>
                <w:i/>
                <w:noProof/>
                <w:sz w:val="20"/>
              </w:rPr>
              <w:t xml:space="preserve">Stat membru (state membre) </w:t>
            </w:r>
          </w:p>
        </w:tc>
      </w:tr>
      <w:tr w:rsidR="00A10D87">
        <w:tc>
          <w:tcPr>
            <w:tcW w:w="9468" w:type="dxa"/>
            <w:gridSpan w:val="2"/>
            <w:shd w:val="clear" w:color="auto" w:fill="C6D9F1" w:themeFill="text2" w:themeFillTint="33"/>
            <w:vAlign w:val="center"/>
          </w:tcPr>
          <w:p w:rsidR="00A10D87" w:rsidRDefault="0000622C">
            <w:pPr>
              <w:pStyle w:val="Text1"/>
              <w:spacing w:after="0"/>
              <w:ind w:left="0"/>
              <w:rPr>
                <w:noProof/>
                <w:sz w:val="20"/>
              </w:rPr>
            </w:pPr>
            <w:r>
              <w:rPr>
                <w:b/>
                <w:noProof/>
                <w:sz w:val="20"/>
              </w:rPr>
              <w:t>Măsuri pentru o economie circulară</w:t>
            </w:r>
          </w:p>
        </w:tc>
      </w:tr>
      <w:tr w:rsidR="00A10D87">
        <w:tc>
          <w:tcPr>
            <w:tcW w:w="7111" w:type="dxa"/>
            <w:shd w:val="clear" w:color="auto" w:fill="auto"/>
            <w:vAlign w:val="center"/>
          </w:tcPr>
          <w:p w:rsidR="00A10D87" w:rsidRDefault="0000622C">
            <w:pPr>
              <w:pStyle w:val="ListParagraph"/>
              <w:numPr>
                <w:ilvl w:val="0"/>
                <w:numId w:val="3"/>
              </w:numPr>
              <w:rPr>
                <w:noProof/>
                <w:sz w:val="20"/>
              </w:rPr>
            </w:pPr>
            <w:r>
              <w:rPr>
                <w:noProof/>
                <w:sz w:val="20"/>
              </w:rPr>
              <w:t>Consolidarea cadrului de politică în vederea accelerării tranziției spre economia circulară în toate sectoarele economice, de exemplu în ceea ce privește economisirea energiei și a apei, reducerea deșeurilor, reciclarea materialelor și/sau promovarea piețe</w:t>
            </w:r>
            <w:r>
              <w:rPr>
                <w:noProof/>
                <w:sz w:val="20"/>
              </w:rPr>
              <w:t xml:space="preserve">i materiilor prime secundare reciclate. </w:t>
            </w:r>
          </w:p>
        </w:tc>
        <w:tc>
          <w:tcPr>
            <w:tcW w:w="2357" w:type="dxa"/>
            <w:shd w:val="clear" w:color="auto" w:fill="auto"/>
            <w:vAlign w:val="center"/>
          </w:tcPr>
          <w:p w:rsidR="00A10D87" w:rsidRDefault="0000622C">
            <w:pPr>
              <w:spacing w:after="120"/>
              <w:jc w:val="both"/>
              <w:rPr>
                <w:noProof/>
              </w:rPr>
            </w:pPr>
            <w:r>
              <w:rPr>
                <w:noProof/>
              </w:rPr>
              <w:t>AT, BG, CY, CZ, DE, EL, EE, ES, HR, HU, IE, LV, MT, PL, PT, RO, SK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Adoptarea unor principii ale economiei circulare care să acționeze ca stimulente pentru măsurile de utilizare eficientă a resurselor și pentru o re</w:t>
            </w:r>
            <w:r>
              <w:rPr>
                <w:noProof/>
                <w:sz w:val="20"/>
              </w:rPr>
              <w:t>ciclare sporită, pentru performanța în domeniul ecoinovării și pentru investițiile în produse și servicii ecologice.</w:t>
            </w:r>
          </w:p>
        </w:tc>
        <w:tc>
          <w:tcPr>
            <w:tcW w:w="2357" w:type="dxa"/>
            <w:shd w:val="clear" w:color="auto" w:fill="auto"/>
            <w:vAlign w:val="center"/>
          </w:tcPr>
          <w:p w:rsidR="00A10D87" w:rsidRDefault="0000622C">
            <w:pPr>
              <w:pStyle w:val="Text1"/>
              <w:ind w:left="0"/>
              <w:rPr>
                <w:noProof/>
                <w:sz w:val="20"/>
              </w:rPr>
            </w:pPr>
            <w:r>
              <w:rPr>
                <w:noProof/>
                <w:sz w:val="20"/>
              </w:rPr>
              <w:t>AT, CY, EL, HU, IT, MT, NL, RO, SK</w:t>
            </w:r>
          </w:p>
        </w:tc>
      </w:tr>
      <w:tr w:rsidR="00A10D87">
        <w:tc>
          <w:tcPr>
            <w:tcW w:w="9468" w:type="dxa"/>
            <w:gridSpan w:val="2"/>
            <w:shd w:val="clear" w:color="auto" w:fill="C6D9F1" w:themeFill="text2" w:themeFillTint="33"/>
            <w:vAlign w:val="center"/>
          </w:tcPr>
          <w:p w:rsidR="00A10D87" w:rsidRDefault="0000622C">
            <w:pPr>
              <w:pStyle w:val="Text1"/>
              <w:spacing w:after="0"/>
              <w:ind w:left="0"/>
              <w:rPr>
                <w:b/>
                <w:noProof/>
                <w:sz w:val="20"/>
              </w:rPr>
            </w:pPr>
            <w:r>
              <w:rPr>
                <w:b/>
                <w:noProof/>
                <w:sz w:val="20"/>
              </w:rPr>
              <w:t xml:space="preserve">Gestionarea deșeurilor </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Introducerea de politici noi, implicând inclusiv instrumente economice, pentru</w:t>
            </w:r>
            <w:r>
              <w:rPr>
                <w:noProof/>
                <w:sz w:val="20"/>
              </w:rPr>
              <w:t xml:space="preserve"> a pune în aplicare în continuare ierarhia deșeurilor, și anume prin promovarea prevenirii, și pentru a face reutilizarea și reciclarea mai atractive din punct de vedere economic, și/sau punerea în aplicare a politicilor care sunt deja în vigoare.</w:t>
            </w:r>
          </w:p>
        </w:tc>
        <w:tc>
          <w:tcPr>
            <w:tcW w:w="2357" w:type="dxa"/>
            <w:shd w:val="clear" w:color="auto" w:fill="auto"/>
            <w:vAlign w:val="center"/>
          </w:tcPr>
          <w:p w:rsidR="00A10D87" w:rsidRDefault="0000622C">
            <w:pPr>
              <w:pStyle w:val="Text1"/>
              <w:ind w:left="0"/>
              <w:rPr>
                <w:noProof/>
                <w:sz w:val="20"/>
              </w:rPr>
            </w:pPr>
            <w:r>
              <w:rPr>
                <w:noProof/>
                <w:sz w:val="20"/>
              </w:rPr>
              <w:t xml:space="preserve">AT, BG, </w:t>
            </w:r>
            <w:r>
              <w:rPr>
                <w:noProof/>
                <w:sz w:val="20"/>
              </w:rPr>
              <w:t>CY, DE, DK, EE, FI, IE, IT, LT, LU, LV, NL, PL, PT, RO, SE, SI, UK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Îmbunătățirea funcționării sistemelor de răspundere extinsă a producătorilor, în conformitate cu cerințele minime generale stabilite în Directiva-cadru privind deșeurile.</w:t>
            </w:r>
          </w:p>
        </w:tc>
        <w:tc>
          <w:tcPr>
            <w:tcW w:w="2357" w:type="dxa"/>
            <w:shd w:val="clear" w:color="auto" w:fill="auto"/>
            <w:vAlign w:val="center"/>
          </w:tcPr>
          <w:p w:rsidR="00A10D87" w:rsidRDefault="0000622C">
            <w:pPr>
              <w:pStyle w:val="Text1"/>
              <w:ind w:left="0"/>
              <w:rPr>
                <w:noProof/>
                <w:sz w:val="20"/>
              </w:rPr>
            </w:pPr>
            <w:r>
              <w:rPr>
                <w:noProof/>
                <w:sz w:val="20"/>
              </w:rPr>
              <w:t>AT, CY, CZ, EE, E</w:t>
            </w:r>
            <w:r>
              <w:rPr>
                <w:noProof/>
                <w:sz w:val="20"/>
              </w:rPr>
              <w:t>L, ES, HR, HU, IT, LT, LV, MT, PL, RO, SI, SK, UK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Renunțarea la incinerarea deșeurilor reutilizabile sau reciclabile prin eliminarea treptată a subvențiilor pentru incinerare sau prin introducerea unei taxe de incinerare. Canalizarea acestor venituri cătr</w:t>
            </w:r>
            <w:r>
              <w:rPr>
                <w:noProof/>
                <w:sz w:val="20"/>
              </w:rPr>
              <w:t>e măsuri de îmbunătățire a gestionării deșeurilor, în conformitate cu ierarhia deșeurilor.</w:t>
            </w:r>
          </w:p>
        </w:tc>
        <w:tc>
          <w:tcPr>
            <w:tcW w:w="2357" w:type="dxa"/>
            <w:shd w:val="clear" w:color="auto" w:fill="auto"/>
            <w:vAlign w:val="center"/>
          </w:tcPr>
          <w:p w:rsidR="00A10D87" w:rsidRDefault="0000622C">
            <w:pPr>
              <w:pStyle w:val="Text1"/>
              <w:ind w:left="0"/>
              <w:rPr>
                <w:noProof/>
                <w:sz w:val="20"/>
              </w:rPr>
            </w:pPr>
            <w:r>
              <w:rPr>
                <w:noProof/>
                <w:sz w:val="20"/>
              </w:rPr>
              <w:t>AT, BE, CZ, DE, DK, EE, FI, IE, LT, LU, NL, PL, PT, SE</w:t>
            </w:r>
          </w:p>
        </w:tc>
      </w:tr>
      <w:tr w:rsidR="00A10D87">
        <w:tc>
          <w:tcPr>
            <w:tcW w:w="7111" w:type="dxa"/>
            <w:shd w:val="clear" w:color="auto" w:fill="auto"/>
            <w:vAlign w:val="center"/>
          </w:tcPr>
          <w:p w:rsidR="00A10D87" w:rsidRDefault="0000622C">
            <w:pPr>
              <w:pStyle w:val="Text1"/>
              <w:numPr>
                <w:ilvl w:val="0"/>
                <w:numId w:val="2"/>
              </w:numPr>
              <w:rPr>
                <w:noProof/>
                <w:spacing w:val="-2"/>
                <w:sz w:val="20"/>
              </w:rPr>
            </w:pPr>
            <w:r>
              <w:rPr>
                <w:noProof/>
                <w:spacing w:val="-2"/>
                <w:sz w:val="20"/>
              </w:rPr>
              <w:t xml:space="preserve">Introducerea și/sau creșterea treptată a taxelor de depozitare a deșeurilor în vederea eliminării treptate a </w:t>
            </w:r>
            <w:r>
              <w:rPr>
                <w:noProof/>
                <w:spacing w:val="-2"/>
                <w:sz w:val="20"/>
              </w:rPr>
              <w:t>depozitării deșeurilor reciclabile și recuperabile. Armonizarea taxelor de depozitare regionale. Canalizarea veniturilor către măsuri de îmbunătățire a gestionării deșeurilor, în conformitate cu ierarhia deșeurilor.</w:t>
            </w:r>
          </w:p>
        </w:tc>
        <w:tc>
          <w:tcPr>
            <w:tcW w:w="2357" w:type="dxa"/>
            <w:shd w:val="clear" w:color="auto" w:fill="auto"/>
            <w:vAlign w:val="center"/>
          </w:tcPr>
          <w:p w:rsidR="00A10D87" w:rsidRDefault="0000622C">
            <w:pPr>
              <w:pStyle w:val="Text1"/>
              <w:ind w:left="0"/>
              <w:rPr>
                <w:noProof/>
                <w:sz w:val="20"/>
              </w:rPr>
            </w:pPr>
            <w:r>
              <w:rPr>
                <w:noProof/>
                <w:sz w:val="20"/>
              </w:rPr>
              <w:t xml:space="preserve">CY, CZ, EL, ES, HR, HU, IT, LT, LV, MT, </w:t>
            </w:r>
            <w:r>
              <w:rPr>
                <w:noProof/>
                <w:sz w:val="20"/>
              </w:rPr>
              <w:t>RO, SI, SK, UK</w:t>
            </w:r>
          </w:p>
        </w:tc>
      </w:tr>
      <w:tr w:rsidR="00A10D87">
        <w:tc>
          <w:tcPr>
            <w:tcW w:w="7111" w:type="dxa"/>
            <w:shd w:val="clear" w:color="auto" w:fill="auto"/>
            <w:vAlign w:val="center"/>
          </w:tcPr>
          <w:p w:rsidR="00A10D87" w:rsidRDefault="0000622C">
            <w:pPr>
              <w:pStyle w:val="ListParagraph"/>
              <w:numPr>
                <w:ilvl w:val="0"/>
                <w:numId w:val="2"/>
              </w:numPr>
              <w:rPr>
                <w:noProof/>
                <w:sz w:val="20"/>
              </w:rPr>
            </w:pPr>
            <w:r>
              <w:rPr>
                <w:noProof/>
                <w:sz w:val="20"/>
              </w:rPr>
              <w:t xml:space="preserve">Axarea pe punerea în aplicare a obligației de colectare selectivă pentru a crește ratele de reciclare, inclusiv colectarea deșeurilor biologice. Elaborarea și punerea în aplicare a standardelor minime de servicii și/sau a programelor de </w:t>
            </w:r>
            <w:r>
              <w:rPr>
                <w:noProof/>
                <w:sz w:val="20"/>
              </w:rPr>
              <w:t>sprijin pentru municipalități.</w:t>
            </w:r>
          </w:p>
        </w:tc>
        <w:tc>
          <w:tcPr>
            <w:tcW w:w="2357" w:type="dxa"/>
            <w:shd w:val="clear" w:color="auto" w:fill="auto"/>
            <w:vAlign w:val="center"/>
          </w:tcPr>
          <w:p w:rsidR="00A10D87" w:rsidRDefault="0000622C">
            <w:pPr>
              <w:spacing w:after="120"/>
              <w:jc w:val="both"/>
              <w:rPr>
                <w:noProof/>
              </w:rPr>
            </w:pPr>
            <w:r>
              <w:rPr>
                <w:noProof/>
              </w:rPr>
              <w:t>BG, CY, CZ, EE, EL, ES, FI, FR, HR, HU, IE, IT, LT, LV, MT, PL, PT, RO, SI, SK, UK</w:t>
            </w:r>
          </w:p>
        </w:tc>
      </w:tr>
      <w:tr w:rsidR="00A10D87">
        <w:tc>
          <w:tcPr>
            <w:tcW w:w="7111" w:type="dxa"/>
            <w:shd w:val="clear" w:color="auto" w:fill="auto"/>
            <w:vAlign w:val="center"/>
          </w:tcPr>
          <w:p w:rsidR="00A10D87" w:rsidRDefault="0000622C">
            <w:pPr>
              <w:pStyle w:val="ListParagraph"/>
              <w:numPr>
                <w:ilvl w:val="0"/>
                <w:numId w:val="2"/>
              </w:numPr>
              <w:rPr>
                <w:noProof/>
                <w:sz w:val="20"/>
              </w:rPr>
            </w:pPr>
            <w:r>
              <w:rPr>
                <w:noProof/>
                <w:sz w:val="20"/>
              </w:rPr>
              <w:t>Completarea și actualizarea planului (planurilor) de gestionare a deșeurilor și/sau a programului (programelor) de prevenire a generării de d</w:t>
            </w:r>
            <w:r>
              <w:rPr>
                <w:noProof/>
                <w:sz w:val="20"/>
              </w:rPr>
              <w:t>eșeuri.</w:t>
            </w:r>
          </w:p>
        </w:tc>
        <w:tc>
          <w:tcPr>
            <w:tcW w:w="2357" w:type="dxa"/>
            <w:shd w:val="clear" w:color="auto" w:fill="auto"/>
            <w:vAlign w:val="center"/>
          </w:tcPr>
          <w:p w:rsidR="00A10D87" w:rsidRDefault="0000622C">
            <w:pPr>
              <w:pStyle w:val="Text1"/>
              <w:ind w:left="0"/>
              <w:rPr>
                <w:noProof/>
                <w:sz w:val="20"/>
              </w:rPr>
            </w:pPr>
            <w:r>
              <w:rPr>
                <w:noProof/>
                <w:sz w:val="20"/>
              </w:rPr>
              <w:t>ES, FR</w:t>
            </w:r>
          </w:p>
        </w:tc>
      </w:tr>
      <w:tr w:rsidR="00A10D87">
        <w:tc>
          <w:tcPr>
            <w:tcW w:w="7111" w:type="dxa"/>
            <w:shd w:val="clear" w:color="auto" w:fill="auto"/>
            <w:vAlign w:val="center"/>
          </w:tcPr>
          <w:p w:rsidR="00A10D87" w:rsidRDefault="0000622C">
            <w:pPr>
              <w:pStyle w:val="ListParagraph"/>
              <w:numPr>
                <w:ilvl w:val="0"/>
                <w:numId w:val="2"/>
              </w:numPr>
              <w:rPr>
                <w:noProof/>
                <w:sz w:val="20"/>
              </w:rPr>
            </w:pPr>
            <w:r>
              <w:rPr>
                <w:noProof/>
                <w:sz w:val="20"/>
              </w:rPr>
              <w:t xml:space="preserve">Închiderea și reabilitarea depozitelor de deșeuri care nu respectă în mod prioritar cerințele. </w:t>
            </w:r>
          </w:p>
        </w:tc>
        <w:tc>
          <w:tcPr>
            <w:tcW w:w="2357" w:type="dxa"/>
            <w:shd w:val="clear" w:color="auto" w:fill="auto"/>
            <w:vAlign w:val="center"/>
          </w:tcPr>
          <w:p w:rsidR="00A10D87" w:rsidRDefault="0000622C">
            <w:pPr>
              <w:pStyle w:val="Text1"/>
              <w:ind w:left="0"/>
              <w:rPr>
                <w:noProof/>
                <w:sz w:val="20"/>
              </w:rPr>
            </w:pPr>
            <w:r>
              <w:rPr>
                <w:noProof/>
                <w:sz w:val="20"/>
              </w:rPr>
              <w:t>BG, CY, EL, ES, IT, PL, RO, SI, SK</w:t>
            </w:r>
          </w:p>
        </w:tc>
      </w:tr>
      <w:tr w:rsidR="00A10D87">
        <w:tc>
          <w:tcPr>
            <w:tcW w:w="7111" w:type="dxa"/>
            <w:shd w:val="clear" w:color="auto" w:fill="auto"/>
            <w:vAlign w:val="center"/>
          </w:tcPr>
          <w:p w:rsidR="00A10D87" w:rsidRDefault="0000622C">
            <w:pPr>
              <w:pStyle w:val="ListParagraph"/>
              <w:numPr>
                <w:ilvl w:val="0"/>
                <w:numId w:val="2"/>
              </w:numPr>
              <w:rPr>
                <w:noProof/>
                <w:sz w:val="20"/>
              </w:rPr>
            </w:pPr>
            <w:r>
              <w:rPr>
                <w:noProof/>
                <w:sz w:val="20"/>
              </w:rPr>
              <w:t>Evitarea construirii unei capacități excesive de infrastructură pentru tratarea deșeurilor reziduale, cum ar</w:t>
            </w:r>
            <w:r>
              <w:rPr>
                <w:noProof/>
                <w:sz w:val="20"/>
              </w:rPr>
              <w:t xml:space="preserve"> fi stațiile de tratare mecano-biologică, incineratoarele și depozitele de deșeuri.</w:t>
            </w:r>
          </w:p>
        </w:tc>
        <w:tc>
          <w:tcPr>
            <w:tcW w:w="2357" w:type="dxa"/>
            <w:shd w:val="clear" w:color="auto" w:fill="auto"/>
            <w:vAlign w:val="center"/>
          </w:tcPr>
          <w:p w:rsidR="00A10D87" w:rsidRDefault="0000622C">
            <w:pPr>
              <w:pStyle w:val="Text1"/>
              <w:ind w:left="0"/>
              <w:rPr>
                <w:noProof/>
                <w:sz w:val="20"/>
              </w:rPr>
            </w:pPr>
            <w:r>
              <w:rPr>
                <w:noProof/>
                <w:sz w:val="20"/>
              </w:rPr>
              <w:t>CZ, EL, LT, PL, SK</w:t>
            </w:r>
          </w:p>
        </w:tc>
      </w:tr>
      <w:tr w:rsidR="00A10D87">
        <w:tc>
          <w:tcPr>
            <w:tcW w:w="7111" w:type="dxa"/>
            <w:shd w:val="clear" w:color="auto" w:fill="auto"/>
            <w:vAlign w:val="center"/>
          </w:tcPr>
          <w:p w:rsidR="00A10D87" w:rsidRDefault="0000622C">
            <w:pPr>
              <w:pStyle w:val="ListParagraph"/>
              <w:numPr>
                <w:ilvl w:val="0"/>
                <w:numId w:val="2"/>
              </w:numPr>
              <w:rPr>
                <w:noProof/>
                <w:sz w:val="20"/>
              </w:rPr>
            </w:pPr>
            <w:r>
              <w:rPr>
                <w:noProof/>
                <w:sz w:val="20"/>
              </w:rPr>
              <w:t>Asigurarea faptului că statisticile privind deșeurile sunt compatibile cu orientările Eurostat. Furnizarea de date de gestionare a deșeurilor actualizat</w:t>
            </w:r>
            <w:r>
              <w:rPr>
                <w:noProof/>
                <w:sz w:val="20"/>
              </w:rPr>
              <w:t>e și îmbunătățirea coerenței acestora.</w:t>
            </w:r>
          </w:p>
        </w:tc>
        <w:tc>
          <w:tcPr>
            <w:tcW w:w="2357" w:type="dxa"/>
            <w:shd w:val="clear" w:color="auto" w:fill="auto"/>
            <w:vAlign w:val="center"/>
          </w:tcPr>
          <w:p w:rsidR="00A10D87" w:rsidRDefault="0000622C">
            <w:pPr>
              <w:pStyle w:val="Text1"/>
              <w:ind w:left="0"/>
              <w:rPr>
                <w:noProof/>
                <w:sz w:val="20"/>
              </w:rPr>
            </w:pPr>
            <w:r>
              <w:rPr>
                <w:noProof/>
                <w:sz w:val="20"/>
              </w:rPr>
              <w:t>CZ, IE, SI</w:t>
            </w:r>
          </w:p>
        </w:tc>
      </w:tr>
      <w:tr w:rsidR="00A10D87">
        <w:tc>
          <w:tcPr>
            <w:tcW w:w="9468" w:type="dxa"/>
            <w:gridSpan w:val="2"/>
            <w:shd w:val="clear" w:color="auto" w:fill="C6D9F1" w:themeFill="text2" w:themeFillTint="33"/>
            <w:vAlign w:val="center"/>
          </w:tcPr>
          <w:p w:rsidR="00A10D87" w:rsidRDefault="0000622C">
            <w:pPr>
              <w:pStyle w:val="Text1"/>
              <w:pageBreakBefore/>
              <w:spacing w:after="0"/>
              <w:ind w:left="0"/>
              <w:rPr>
                <w:b/>
                <w:noProof/>
                <w:sz w:val="20"/>
              </w:rPr>
            </w:pPr>
            <w:bookmarkStart w:id="2" w:name="_Toc433296160"/>
            <w:bookmarkStart w:id="3" w:name="_Toc439678149"/>
            <w:r>
              <w:rPr>
                <w:b/>
                <w:noProof/>
                <w:sz w:val="20"/>
              </w:rPr>
              <w:t>Natura și biodiversitatea</w:t>
            </w:r>
            <w:bookmarkEnd w:id="2"/>
            <w:bookmarkEnd w:id="3"/>
          </w:p>
        </w:tc>
      </w:tr>
      <w:tr w:rsidR="00A10D87">
        <w:trPr>
          <w:trHeight w:val="1076"/>
        </w:trPr>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Finalizarea procesului de desemnare a siturilor Natura 2000, inclusiv în partea marină, și/sau punerea în aplicare a obiectivelor de conservare clar definite și a măsurilor de </w:t>
            </w:r>
            <w:r>
              <w:rPr>
                <w:noProof/>
                <w:sz w:val="20"/>
              </w:rPr>
              <w:t>conservare necesare pentru toate siturile Natura 2000, în mod ideal în cadrul planurilor de gestionare a siturilor sau al instrumentelor echivalente.</w:t>
            </w:r>
          </w:p>
        </w:tc>
        <w:tc>
          <w:tcPr>
            <w:tcW w:w="2357" w:type="dxa"/>
            <w:shd w:val="clear" w:color="auto" w:fill="auto"/>
            <w:vAlign w:val="center"/>
          </w:tcPr>
          <w:p w:rsidR="00A10D87" w:rsidRDefault="0000622C">
            <w:pPr>
              <w:pStyle w:val="Text1"/>
              <w:ind w:left="0"/>
              <w:rPr>
                <w:noProof/>
                <w:sz w:val="20"/>
              </w:rPr>
            </w:pPr>
            <w:r>
              <w:rPr>
                <w:noProof/>
                <w:sz w:val="20"/>
              </w:rPr>
              <w:t>AT, BE, BG, CY, CZ, DE, DK, EE, EL, ES, FI, HR, HU, IE, IT, LT, LV, MT, NL, PL, PT, RO, SE, SI, SK, UK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As</w:t>
            </w:r>
            <w:r>
              <w:rPr>
                <w:noProof/>
                <w:sz w:val="20"/>
              </w:rPr>
              <w:t xml:space="preserve">igurarea faptului că planurile de gestionare Natura 2000 sunt puse în aplicare în mod eficace cu o capacitate administrativă și o finanțare suficiente. </w:t>
            </w:r>
          </w:p>
        </w:tc>
        <w:tc>
          <w:tcPr>
            <w:tcW w:w="2357" w:type="dxa"/>
            <w:shd w:val="clear" w:color="auto" w:fill="auto"/>
            <w:vAlign w:val="center"/>
          </w:tcPr>
          <w:p w:rsidR="00A10D87" w:rsidRDefault="0000622C">
            <w:pPr>
              <w:pStyle w:val="Text1"/>
              <w:ind w:left="0"/>
              <w:rPr>
                <w:noProof/>
                <w:sz w:val="20"/>
              </w:rPr>
            </w:pPr>
            <w:r>
              <w:rPr>
                <w:noProof/>
                <w:sz w:val="20"/>
              </w:rPr>
              <w:t xml:space="preserve">BG, EE, ES, EL, FR, HR, HU, IE, IT, LT, LU, MT, RO, SI, SK </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Dezvoltarea și promovarea unor abordări de</w:t>
            </w:r>
            <w:r>
              <w:rPr>
                <w:noProof/>
                <w:sz w:val="20"/>
              </w:rPr>
              <w:t xml:space="preserve"> punere în aplicare inteligente și raționalizate, în special în ceea ce privește procedurile de evaluare corespunzătoare și procedurile de autorizare a speciilor, asigurând disponibilitatea cunoștințelor și a datelor necesare, precum și consolidarea comuni</w:t>
            </w:r>
            <w:r>
              <w:rPr>
                <w:noProof/>
                <w:sz w:val="20"/>
              </w:rPr>
              <w:t xml:space="preserve">cării cu părțile interesate. </w:t>
            </w:r>
          </w:p>
        </w:tc>
        <w:tc>
          <w:tcPr>
            <w:tcW w:w="2357" w:type="dxa"/>
            <w:shd w:val="clear" w:color="auto" w:fill="auto"/>
            <w:vAlign w:val="center"/>
          </w:tcPr>
          <w:p w:rsidR="00A10D87" w:rsidRDefault="0000622C">
            <w:pPr>
              <w:pStyle w:val="Text1"/>
              <w:ind w:left="0"/>
              <w:rPr>
                <w:noProof/>
                <w:sz w:val="20"/>
              </w:rPr>
            </w:pPr>
            <w:r>
              <w:rPr>
                <w:noProof/>
                <w:sz w:val="20"/>
              </w:rPr>
              <w:t>BG, CY, EE, EL, HU, IT, LT, PT, RO, SI</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Asigurarea respectării în mod adecvat a interdicțiilor de vânătoare și/sau de punere de capcane pentru speciile de păsări protejate.</w:t>
            </w:r>
          </w:p>
        </w:tc>
        <w:tc>
          <w:tcPr>
            <w:tcW w:w="2357" w:type="dxa"/>
            <w:shd w:val="clear" w:color="auto" w:fill="auto"/>
            <w:vAlign w:val="center"/>
          </w:tcPr>
          <w:p w:rsidR="00A10D87" w:rsidRDefault="0000622C">
            <w:pPr>
              <w:pStyle w:val="Text1"/>
              <w:ind w:left="0"/>
              <w:rPr>
                <w:noProof/>
                <w:sz w:val="20"/>
              </w:rPr>
            </w:pPr>
            <w:r>
              <w:rPr>
                <w:noProof/>
                <w:sz w:val="20"/>
              </w:rPr>
              <w:t>CY, ES, IT, MT</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O mai bună integrare a preocupărilor </w:t>
            </w:r>
            <w:r>
              <w:rPr>
                <w:noProof/>
                <w:sz w:val="20"/>
              </w:rPr>
              <w:t>legate de biodiversitate în alte politici (în special în agricultură, dar și în pescuit, planificarea urbană și a infrastructurii și turismul durabil), precum și promovarea unei comunicări mai bune între actori. Acolo unde este relevant, evitarea fragmentă</w:t>
            </w:r>
            <w:r>
              <w:rPr>
                <w:noProof/>
                <w:sz w:val="20"/>
              </w:rPr>
              <w:t>rii și mai mari a habitatelor și luarea de măsuri suplimentare în vederea restabilirii conectivității.</w:t>
            </w:r>
          </w:p>
        </w:tc>
        <w:tc>
          <w:tcPr>
            <w:tcW w:w="2357" w:type="dxa"/>
            <w:shd w:val="clear" w:color="auto" w:fill="auto"/>
            <w:vAlign w:val="center"/>
          </w:tcPr>
          <w:p w:rsidR="00A10D87" w:rsidRDefault="0000622C">
            <w:pPr>
              <w:pStyle w:val="Text1"/>
              <w:ind w:left="0"/>
              <w:rPr>
                <w:noProof/>
                <w:sz w:val="20"/>
              </w:rPr>
            </w:pPr>
            <w:r>
              <w:rPr>
                <w:noProof/>
                <w:sz w:val="20"/>
              </w:rPr>
              <w:t>CZ, DE, DK, EL, ES, FI, FR, HR, LU, NL, PT, SK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Îmbunătățirea stimulentelor pentru silvicultori și agricultori în scopul de a proteja mai bine habitatul </w:t>
            </w:r>
            <w:r>
              <w:rPr>
                <w:noProof/>
                <w:sz w:val="20"/>
              </w:rPr>
              <w:t>pădurilor și al pășunilor. Asigurarea gestionării durabile a pădurilor și promovarea utilizării eficiente a biomasei.</w:t>
            </w:r>
          </w:p>
        </w:tc>
        <w:tc>
          <w:tcPr>
            <w:tcW w:w="2357" w:type="dxa"/>
            <w:shd w:val="clear" w:color="auto" w:fill="auto"/>
            <w:vAlign w:val="center"/>
          </w:tcPr>
          <w:p w:rsidR="00A10D87" w:rsidRDefault="0000622C">
            <w:pPr>
              <w:pStyle w:val="Text1"/>
              <w:ind w:left="0"/>
              <w:rPr>
                <w:noProof/>
                <w:sz w:val="20"/>
              </w:rPr>
            </w:pPr>
            <w:r>
              <w:rPr>
                <w:noProof/>
                <w:sz w:val="20"/>
              </w:rPr>
              <w:t>FI, LT, LV, PL, SE, SK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Sprijinirea în continuare a activităților în curs cu privire la un parteneriat durabil pentru protejarea </w:t>
            </w:r>
            <w:r>
              <w:rPr>
                <w:noProof/>
                <w:sz w:val="20"/>
              </w:rPr>
              <w:t>biodiversității, dezvoltarea durabilă, adaptarea la schimbările climatice și măsurile de atenuare în unele regiuni ultraperiferice și în țările și teritoriile de peste mări.</w:t>
            </w:r>
          </w:p>
        </w:tc>
        <w:tc>
          <w:tcPr>
            <w:tcW w:w="2357" w:type="dxa"/>
            <w:shd w:val="clear" w:color="auto" w:fill="auto"/>
            <w:vAlign w:val="center"/>
          </w:tcPr>
          <w:p w:rsidR="00A10D87" w:rsidRDefault="0000622C">
            <w:pPr>
              <w:pStyle w:val="Text1"/>
              <w:ind w:left="0"/>
              <w:rPr>
                <w:noProof/>
                <w:sz w:val="20"/>
              </w:rPr>
            </w:pPr>
            <w:r>
              <w:rPr>
                <w:noProof/>
                <w:sz w:val="20"/>
              </w:rPr>
              <w:t>FR, UK</w:t>
            </w:r>
          </w:p>
        </w:tc>
      </w:tr>
      <w:tr w:rsidR="00A10D87">
        <w:tc>
          <w:tcPr>
            <w:tcW w:w="7111" w:type="dxa"/>
            <w:shd w:val="clear" w:color="auto" w:fill="auto"/>
            <w:vAlign w:val="center"/>
          </w:tcPr>
          <w:p w:rsidR="00A10D87" w:rsidRDefault="0000622C">
            <w:pPr>
              <w:pStyle w:val="Text1"/>
              <w:numPr>
                <w:ilvl w:val="0"/>
                <w:numId w:val="2"/>
              </w:numPr>
              <w:rPr>
                <w:noProof/>
                <w:spacing w:val="-2"/>
                <w:sz w:val="20"/>
              </w:rPr>
            </w:pPr>
            <w:r>
              <w:rPr>
                <w:noProof/>
                <w:spacing w:val="-2"/>
                <w:sz w:val="20"/>
              </w:rPr>
              <w:t>Sprijinirea în continuare a cartografierii și a evaluării ecosistemelor și</w:t>
            </w:r>
            <w:r>
              <w:rPr>
                <w:noProof/>
                <w:spacing w:val="-2"/>
                <w:sz w:val="20"/>
              </w:rPr>
              <w:t xml:space="preserve"> serviciilor acestora, evaluarea și dezvoltarea sistemelor de contabilizare a capitalului natural.</w:t>
            </w:r>
          </w:p>
        </w:tc>
        <w:tc>
          <w:tcPr>
            <w:tcW w:w="2357" w:type="dxa"/>
            <w:shd w:val="clear" w:color="auto" w:fill="auto"/>
            <w:vAlign w:val="center"/>
          </w:tcPr>
          <w:p w:rsidR="00A10D87" w:rsidRDefault="0000622C">
            <w:pPr>
              <w:pStyle w:val="Text1"/>
              <w:ind w:left="0"/>
              <w:rPr>
                <w:noProof/>
                <w:sz w:val="20"/>
              </w:rPr>
            </w:pPr>
            <w:r>
              <w:rPr>
                <w:noProof/>
                <w:sz w:val="20"/>
              </w:rPr>
              <w:t>AT, BE, CZ, DK, EE, HU, PT, SE, SK</w:t>
            </w:r>
          </w:p>
        </w:tc>
      </w:tr>
      <w:tr w:rsidR="00A10D87">
        <w:tc>
          <w:tcPr>
            <w:tcW w:w="9468" w:type="dxa"/>
            <w:gridSpan w:val="2"/>
            <w:shd w:val="clear" w:color="auto" w:fill="B8CCE4" w:themeFill="accent1" w:themeFillTint="66"/>
            <w:vAlign w:val="center"/>
          </w:tcPr>
          <w:p w:rsidR="00A10D87" w:rsidRDefault="0000622C">
            <w:pPr>
              <w:pStyle w:val="Text1"/>
              <w:spacing w:after="0"/>
              <w:ind w:left="0"/>
              <w:rPr>
                <w:b/>
                <w:noProof/>
                <w:sz w:val="20"/>
              </w:rPr>
            </w:pPr>
            <w:r>
              <w:rPr>
                <w:b/>
                <w:noProof/>
                <w:sz w:val="20"/>
              </w:rPr>
              <w:t>Speciile alogene invazive</w:t>
            </w:r>
          </w:p>
        </w:tc>
      </w:tr>
      <w:tr w:rsidR="00A10D87">
        <w:tc>
          <w:tcPr>
            <w:tcW w:w="7111" w:type="dxa"/>
            <w:shd w:val="clear" w:color="auto" w:fill="auto"/>
            <w:vAlign w:val="center"/>
          </w:tcPr>
          <w:p w:rsidR="00A10D87" w:rsidRDefault="0000622C">
            <w:pPr>
              <w:pStyle w:val="Text1"/>
              <w:numPr>
                <w:ilvl w:val="0"/>
                <w:numId w:val="2"/>
              </w:numPr>
              <w:rPr>
                <w:noProof/>
                <w:spacing w:val="-2"/>
                <w:sz w:val="20"/>
              </w:rPr>
            </w:pPr>
            <w:r>
              <w:rPr>
                <w:noProof/>
                <w:spacing w:val="-2"/>
                <w:sz w:val="20"/>
              </w:rPr>
              <w:t xml:space="preserve">Adoptarea legislației naționale care să respecte obligațiile impuse de Regulamentul SAI și notificarea Comisiei în acest sens. Furnizarea de date adecvate. </w:t>
            </w:r>
          </w:p>
        </w:tc>
        <w:tc>
          <w:tcPr>
            <w:tcW w:w="2357" w:type="dxa"/>
            <w:shd w:val="clear" w:color="auto" w:fill="auto"/>
            <w:vAlign w:val="center"/>
          </w:tcPr>
          <w:p w:rsidR="00A10D87" w:rsidRDefault="0000622C">
            <w:pPr>
              <w:pStyle w:val="Text1"/>
              <w:ind w:left="0"/>
              <w:rPr>
                <w:noProof/>
                <w:sz w:val="20"/>
              </w:rPr>
            </w:pPr>
            <w:r>
              <w:rPr>
                <w:noProof/>
                <w:sz w:val="20"/>
              </w:rPr>
              <w:t>AT, BE, CZ, EL, IE, PT, RO, SE, SK, UK</w:t>
            </w:r>
          </w:p>
        </w:tc>
      </w:tr>
      <w:tr w:rsidR="00A10D87">
        <w:trPr>
          <w:trHeight w:val="978"/>
        </w:trPr>
        <w:tc>
          <w:tcPr>
            <w:tcW w:w="7111" w:type="dxa"/>
            <w:shd w:val="clear" w:color="auto" w:fill="auto"/>
            <w:vAlign w:val="center"/>
          </w:tcPr>
          <w:p w:rsidR="00A10D87" w:rsidRDefault="0000622C">
            <w:pPr>
              <w:pStyle w:val="Text1"/>
              <w:numPr>
                <w:ilvl w:val="0"/>
                <w:numId w:val="2"/>
              </w:numPr>
              <w:rPr>
                <w:noProof/>
                <w:sz w:val="20"/>
              </w:rPr>
            </w:pPr>
            <w:r>
              <w:rPr>
                <w:noProof/>
                <w:sz w:val="20"/>
              </w:rPr>
              <w:t>Notificarea listei cu specii alogene invazive și/sau a măsu</w:t>
            </w:r>
            <w:r>
              <w:rPr>
                <w:noProof/>
                <w:sz w:val="20"/>
              </w:rPr>
              <w:t>rilor de eradicare planificate în țara în cauză. Introducerea măsurilor în cazul în care nu există. Unde este cazul, investigarea lipsei aparente a datelor și căutarea de modalități de îmbunătățire a sistemului de supraveghere.</w:t>
            </w:r>
          </w:p>
        </w:tc>
        <w:tc>
          <w:tcPr>
            <w:tcW w:w="2357" w:type="dxa"/>
            <w:shd w:val="clear" w:color="auto" w:fill="auto"/>
            <w:vAlign w:val="center"/>
          </w:tcPr>
          <w:p w:rsidR="00A10D87" w:rsidRDefault="0000622C">
            <w:pPr>
              <w:pStyle w:val="Text1"/>
              <w:spacing w:after="0"/>
              <w:ind w:left="0"/>
              <w:rPr>
                <w:noProof/>
                <w:sz w:val="20"/>
              </w:rPr>
            </w:pPr>
            <w:r>
              <w:rPr>
                <w:noProof/>
                <w:sz w:val="20"/>
              </w:rPr>
              <w:t xml:space="preserve">CZ, DE, DK, EL, ES, FR, HU, </w:t>
            </w:r>
            <w:r>
              <w:rPr>
                <w:noProof/>
                <w:sz w:val="20"/>
              </w:rPr>
              <w:t>PT</w:t>
            </w:r>
          </w:p>
        </w:tc>
      </w:tr>
      <w:tr w:rsidR="00A10D87">
        <w:trPr>
          <w:cantSplit/>
        </w:trPr>
        <w:tc>
          <w:tcPr>
            <w:tcW w:w="9468" w:type="dxa"/>
            <w:gridSpan w:val="2"/>
            <w:shd w:val="clear" w:color="auto" w:fill="C6D9F1" w:themeFill="text2" w:themeFillTint="33"/>
            <w:vAlign w:val="center"/>
          </w:tcPr>
          <w:p w:rsidR="00A10D87" w:rsidRDefault="0000622C">
            <w:pPr>
              <w:pStyle w:val="Text1"/>
              <w:keepLines/>
              <w:spacing w:after="0"/>
              <w:ind w:left="0"/>
              <w:rPr>
                <w:b/>
                <w:noProof/>
                <w:sz w:val="20"/>
              </w:rPr>
            </w:pPr>
            <w:r>
              <w:rPr>
                <w:b/>
                <w:noProof/>
                <w:sz w:val="20"/>
              </w:rPr>
              <w:t>Protecția mediului marin</w:t>
            </w:r>
            <w:r>
              <w:rPr>
                <w:b/>
                <w:noProof/>
                <w:sz w:val="20"/>
              </w:rPr>
              <w:footnoteReference w:id="3"/>
            </w:r>
          </w:p>
        </w:tc>
      </w:tr>
      <w:tr w:rsidR="00A10D87">
        <w:trPr>
          <w:trHeight w:val="728"/>
        </w:trPr>
        <w:tc>
          <w:tcPr>
            <w:tcW w:w="7111" w:type="dxa"/>
            <w:vAlign w:val="center"/>
          </w:tcPr>
          <w:p w:rsidR="00A10D87" w:rsidRDefault="0000622C">
            <w:pPr>
              <w:pStyle w:val="ListParagraph"/>
              <w:keepLines/>
              <w:widowControl w:val="0"/>
              <w:numPr>
                <w:ilvl w:val="0"/>
                <w:numId w:val="2"/>
              </w:numPr>
              <w:rPr>
                <w:noProof/>
                <w:sz w:val="20"/>
              </w:rPr>
            </w:pPr>
            <w:r>
              <w:rPr>
                <w:noProof/>
                <w:sz w:val="20"/>
              </w:rPr>
              <w:t>Asigurarea raportării în timp util a diferitelor elemente ale Directivei-cadru „Strategia pentru mediul marin” care urmează să facă parte din evaluările viitoare ale Comisiei.</w:t>
            </w:r>
          </w:p>
        </w:tc>
        <w:tc>
          <w:tcPr>
            <w:tcW w:w="2357" w:type="dxa"/>
            <w:shd w:val="clear" w:color="auto" w:fill="auto"/>
            <w:vAlign w:val="center"/>
          </w:tcPr>
          <w:p w:rsidR="00A10D87" w:rsidRDefault="0000622C">
            <w:pPr>
              <w:pStyle w:val="Text1"/>
              <w:keepLines/>
              <w:ind w:left="0"/>
              <w:rPr>
                <w:noProof/>
                <w:sz w:val="20"/>
              </w:rPr>
            </w:pPr>
            <w:r>
              <w:rPr>
                <w:noProof/>
                <w:sz w:val="20"/>
              </w:rPr>
              <w:t>DK, EE, EL, HR, LT, RO, SI</w:t>
            </w:r>
          </w:p>
        </w:tc>
      </w:tr>
      <w:tr w:rsidR="00A10D87">
        <w:trPr>
          <w:cantSplit/>
        </w:trPr>
        <w:tc>
          <w:tcPr>
            <w:tcW w:w="7111" w:type="dxa"/>
            <w:vAlign w:val="center"/>
          </w:tcPr>
          <w:p w:rsidR="00A10D87" w:rsidRDefault="0000622C">
            <w:pPr>
              <w:pStyle w:val="ListParagraph"/>
              <w:keepLines/>
              <w:widowControl w:val="0"/>
              <w:numPr>
                <w:ilvl w:val="0"/>
                <w:numId w:val="2"/>
              </w:numPr>
              <w:rPr>
                <w:noProof/>
                <w:sz w:val="20"/>
              </w:rPr>
            </w:pPr>
            <w:r>
              <w:rPr>
                <w:noProof/>
                <w:sz w:val="20"/>
              </w:rPr>
              <w:t xml:space="preserve">Definirea unei stări </w:t>
            </w:r>
            <w:r>
              <w:rPr>
                <w:noProof/>
                <w:sz w:val="20"/>
              </w:rPr>
              <w:t>ecologice bune și/sau stabilirea termenelor pentru atingerea unei stări ecologice bune. Stabilirea de obiective acolo unde nu există.</w:t>
            </w:r>
          </w:p>
        </w:tc>
        <w:tc>
          <w:tcPr>
            <w:tcW w:w="2357" w:type="dxa"/>
            <w:shd w:val="clear" w:color="auto" w:fill="auto"/>
            <w:vAlign w:val="center"/>
          </w:tcPr>
          <w:p w:rsidR="00A10D87" w:rsidRDefault="0000622C">
            <w:pPr>
              <w:pStyle w:val="Text1"/>
              <w:keepLines/>
              <w:ind w:left="0"/>
              <w:rPr>
                <w:noProof/>
                <w:sz w:val="20"/>
              </w:rPr>
            </w:pPr>
            <w:r>
              <w:rPr>
                <w:noProof/>
                <w:sz w:val="20"/>
              </w:rPr>
              <w:t>BG, DE, ES, FI, IE, IT, LV, MT, NL, PL, PT, SE, UK</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 xml:space="preserve">Furnizarea de mai multe informații cu privire la măsurile de atingere </w:t>
            </w:r>
            <w:r>
              <w:rPr>
                <w:noProof/>
                <w:sz w:val="20"/>
              </w:rPr>
              <w:t>a unei stări ecologice bune, stabilirea mai multor măsuri cu impact direct asupra presiunilor și cuantificarea rezultatului în ceea ce privește reducerea preconizată a presiunii.</w:t>
            </w:r>
          </w:p>
        </w:tc>
        <w:tc>
          <w:tcPr>
            <w:tcW w:w="2357" w:type="dxa"/>
            <w:shd w:val="clear" w:color="auto" w:fill="auto"/>
            <w:vAlign w:val="center"/>
          </w:tcPr>
          <w:p w:rsidR="00A10D87" w:rsidRDefault="0000622C">
            <w:pPr>
              <w:pStyle w:val="Text1"/>
              <w:ind w:left="0"/>
              <w:rPr>
                <w:noProof/>
                <w:sz w:val="20"/>
              </w:rPr>
            </w:pPr>
            <w:r>
              <w:rPr>
                <w:noProof/>
                <w:sz w:val="20"/>
              </w:rPr>
              <w:t>BE, BG, CY, DE, ES, FR, IE, IT, LV, MT, NL, PL, PT, SE, UK</w:t>
            </w:r>
          </w:p>
        </w:tc>
      </w:tr>
      <w:tr w:rsidR="00A10D87">
        <w:tc>
          <w:tcPr>
            <w:tcW w:w="7111" w:type="dxa"/>
            <w:vAlign w:val="center"/>
          </w:tcPr>
          <w:p w:rsidR="00A10D87" w:rsidRDefault="0000622C">
            <w:pPr>
              <w:pStyle w:val="ListParagraph"/>
              <w:pageBreakBefore/>
              <w:numPr>
                <w:ilvl w:val="0"/>
                <w:numId w:val="2"/>
              </w:numPr>
              <w:rPr>
                <w:noProof/>
                <w:sz w:val="20"/>
              </w:rPr>
            </w:pPr>
            <w:r>
              <w:rPr>
                <w:noProof/>
                <w:sz w:val="20"/>
              </w:rPr>
              <w:t>Asigurarea cooper</w:t>
            </w:r>
            <w:r>
              <w:rPr>
                <w:noProof/>
                <w:sz w:val="20"/>
              </w:rPr>
              <w:t>ării regionale cu statele membre care partajează aceeași (sub)regiune marină în vederea abordării presiunilor predominante.</w:t>
            </w:r>
          </w:p>
        </w:tc>
        <w:tc>
          <w:tcPr>
            <w:tcW w:w="2357" w:type="dxa"/>
            <w:shd w:val="clear" w:color="auto" w:fill="auto"/>
            <w:vAlign w:val="center"/>
          </w:tcPr>
          <w:p w:rsidR="00A10D87" w:rsidRDefault="0000622C">
            <w:pPr>
              <w:spacing w:after="120"/>
              <w:jc w:val="both"/>
              <w:rPr>
                <w:noProof/>
              </w:rPr>
            </w:pPr>
            <w:r>
              <w:rPr>
                <w:noProof/>
              </w:rPr>
              <w:t>BE, BG, CY, DE, ES, FI, IE, IT, LV, PT, SE, UK</w:t>
            </w:r>
          </w:p>
        </w:tc>
      </w:tr>
    </w:tbl>
    <w:p w:rsidR="00A10D87" w:rsidRDefault="00A10D87">
      <w:pPr>
        <w:pStyle w:val="ListParagraph"/>
        <w:widowControl w:val="0"/>
        <w:numPr>
          <w:ilvl w:val="0"/>
          <w:numId w:val="2"/>
        </w:numPr>
        <w:rPr>
          <w:noProof/>
          <w:sz w:val="20"/>
        </w:rPr>
        <w:sectPr w:rsidR="00A10D87">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851" w:left="1417" w:header="709" w:footer="709" w:gutter="0"/>
          <w:pgNumType w:start="1"/>
          <w:cols w:space="720"/>
          <w:titlePg/>
          <w:docGrid w:linePitch="360"/>
        </w:sectPr>
      </w:pPr>
    </w:p>
    <w:tbl>
      <w:tblPr>
        <w:tblStyle w:val="TableGrid"/>
        <w:tblW w:w="9468" w:type="dxa"/>
        <w:tblLayout w:type="fixed"/>
        <w:tblLook w:val="04A0" w:firstRow="1" w:lastRow="0" w:firstColumn="1" w:lastColumn="0" w:noHBand="0" w:noVBand="1"/>
      </w:tblPr>
      <w:tblGrid>
        <w:gridCol w:w="7111"/>
        <w:gridCol w:w="2357"/>
      </w:tblGrid>
      <w:tr w:rsidR="00A10D87">
        <w:tc>
          <w:tcPr>
            <w:tcW w:w="7111" w:type="dxa"/>
            <w:vAlign w:val="center"/>
          </w:tcPr>
          <w:p w:rsidR="00A10D87" w:rsidRDefault="0000622C">
            <w:pPr>
              <w:pStyle w:val="ListParagraph"/>
              <w:widowControl w:val="0"/>
              <w:numPr>
                <w:ilvl w:val="0"/>
                <w:numId w:val="2"/>
              </w:numPr>
              <w:rPr>
                <w:noProof/>
                <w:sz w:val="20"/>
              </w:rPr>
            </w:pPr>
            <w:r>
              <w:rPr>
                <w:noProof/>
                <w:sz w:val="20"/>
              </w:rPr>
              <w:t>Asigurarea faptului că programul de monitorizare al statului membru este pus în aplicare fără întârziere și că acesta este raportat înainte de termenul stabilit.</w:t>
            </w:r>
          </w:p>
        </w:tc>
        <w:tc>
          <w:tcPr>
            <w:tcW w:w="2357" w:type="dxa"/>
            <w:shd w:val="clear" w:color="auto" w:fill="auto"/>
            <w:vAlign w:val="center"/>
          </w:tcPr>
          <w:p w:rsidR="00A10D87" w:rsidRDefault="0000622C">
            <w:pPr>
              <w:pStyle w:val="Text1"/>
              <w:ind w:left="0"/>
              <w:rPr>
                <w:noProof/>
                <w:sz w:val="20"/>
              </w:rPr>
            </w:pPr>
            <w:r>
              <w:rPr>
                <w:noProof/>
                <w:sz w:val="20"/>
              </w:rPr>
              <w:t>BG, CY, ES, FR, IE, IT, LV, MT, PL, UK</w:t>
            </w:r>
          </w:p>
        </w:tc>
      </w:tr>
      <w:tr w:rsidR="00A10D87">
        <w:tc>
          <w:tcPr>
            <w:tcW w:w="9468" w:type="dxa"/>
            <w:gridSpan w:val="2"/>
            <w:shd w:val="clear" w:color="auto" w:fill="C6D9F1" w:themeFill="text2" w:themeFillTint="33"/>
            <w:vAlign w:val="center"/>
          </w:tcPr>
          <w:p w:rsidR="00A10D87" w:rsidRDefault="0000622C">
            <w:pPr>
              <w:pStyle w:val="Text1"/>
              <w:spacing w:after="0"/>
              <w:ind w:left="0"/>
              <w:rPr>
                <w:noProof/>
                <w:sz w:val="20"/>
              </w:rPr>
            </w:pPr>
            <w:bookmarkStart w:id="4" w:name="_Toc433296166"/>
            <w:bookmarkStart w:id="5" w:name="_Toc439678155"/>
            <w:r>
              <w:rPr>
                <w:b/>
                <w:noProof/>
                <w:sz w:val="20"/>
              </w:rPr>
              <w:t>Calitatea aerului</w:t>
            </w:r>
            <w:bookmarkEnd w:id="4"/>
            <w:bookmarkEnd w:id="5"/>
          </w:p>
        </w:tc>
      </w:tr>
      <w:tr w:rsidR="00A10D87">
        <w:tc>
          <w:tcPr>
            <w:tcW w:w="7111" w:type="dxa"/>
            <w:tcBorders>
              <w:right w:val="single" w:sz="4" w:space="0" w:color="auto"/>
            </w:tcBorders>
            <w:vAlign w:val="center"/>
          </w:tcPr>
          <w:p w:rsidR="00A10D87" w:rsidRDefault="0000622C">
            <w:pPr>
              <w:pStyle w:val="ListParagraph"/>
              <w:numPr>
                <w:ilvl w:val="0"/>
                <w:numId w:val="2"/>
              </w:numPr>
              <w:rPr>
                <w:rFonts w:eastAsia="Times New Roman"/>
                <w:noProof/>
                <w:sz w:val="20"/>
              </w:rPr>
            </w:pPr>
            <w:r>
              <w:rPr>
                <w:noProof/>
                <w:sz w:val="20"/>
              </w:rPr>
              <w:t xml:space="preserve">În </w:t>
            </w:r>
            <w:r>
              <w:rPr>
                <w:noProof/>
                <w:sz w:val="20"/>
              </w:rPr>
              <w:t>ceea ce privește elaborarea programelor naționale adecvate de control al poluării atmosferice, întreprinderea de acțiuni în vederea reducerii principalelor surse de emisii; și respectarea tuturor standardelor de calitate a aerului.</w:t>
            </w:r>
          </w:p>
        </w:tc>
        <w:tc>
          <w:tcPr>
            <w:tcW w:w="2357" w:type="dxa"/>
            <w:tcBorders>
              <w:left w:val="single" w:sz="4" w:space="0" w:color="auto"/>
            </w:tcBorders>
            <w:shd w:val="clear" w:color="auto" w:fill="auto"/>
            <w:vAlign w:val="center"/>
          </w:tcPr>
          <w:p w:rsidR="00A10D87" w:rsidRDefault="0000622C">
            <w:pPr>
              <w:spacing w:after="120"/>
              <w:ind w:left="720" w:hanging="720"/>
              <w:jc w:val="both"/>
              <w:rPr>
                <w:noProof/>
              </w:rPr>
            </w:pPr>
            <w:r>
              <w:rPr>
                <w:noProof/>
              </w:rPr>
              <w:t>Toate statele membre</w:t>
            </w:r>
          </w:p>
        </w:tc>
      </w:tr>
      <w:tr w:rsidR="00A10D87">
        <w:tc>
          <w:tcPr>
            <w:tcW w:w="7111" w:type="dxa"/>
            <w:tcBorders>
              <w:right w:val="single" w:sz="4" w:space="0" w:color="auto"/>
            </w:tcBorders>
            <w:vAlign w:val="center"/>
          </w:tcPr>
          <w:p w:rsidR="00A10D87" w:rsidRDefault="0000622C">
            <w:pPr>
              <w:pStyle w:val="ListParagraph"/>
              <w:numPr>
                <w:ilvl w:val="0"/>
                <w:numId w:val="2"/>
              </w:numPr>
              <w:rPr>
                <w:rFonts w:eastAsia="Times New Roman"/>
                <w:noProof/>
                <w:sz w:val="20"/>
              </w:rPr>
            </w:pPr>
            <w:r>
              <w:rPr>
                <w:noProof/>
                <w:sz w:val="20"/>
              </w:rPr>
              <w:t>Ac</w:t>
            </w:r>
            <w:r>
              <w:rPr>
                <w:noProof/>
                <w:sz w:val="20"/>
              </w:rPr>
              <w:t>celerarea reducerilor de emisii și a concentrațiilor de particule în suspensie (PM</w:t>
            </w:r>
            <w:r>
              <w:rPr>
                <w:noProof/>
                <w:sz w:val="20"/>
                <w:vertAlign w:val="subscript"/>
              </w:rPr>
              <w:t>2.5</w:t>
            </w:r>
            <w:r>
              <w:rPr>
                <w:noProof/>
                <w:sz w:val="20"/>
              </w:rPr>
              <w:t xml:space="preserve"> și PM</w:t>
            </w:r>
            <w:r>
              <w:rPr>
                <w:noProof/>
                <w:sz w:val="20"/>
                <w:vertAlign w:val="subscript"/>
              </w:rPr>
              <w:t>10</w:t>
            </w:r>
            <w:r>
              <w:rPr>
                <w:noProof/>
                <w:sz w:val="20"/>
              </w:rPr>
              <w:t>) prin reducerea emisiilor provenite din producerea de energie și din generarea de căldură utilizând combustibili solizi. Promovarea unor sisteme de termoficare ef</w:t>
            </w:r>
            <w:r>
              <w:rPr>
                <w:noProof/>
                <w:sz w:val="20"/>
              </w:rPr>
              <w:t>iciente și curate și a unui mediu construit eficient din punct de vedere energetic.</w:t>
            </w:r>
          </w:p>
        </w:tc>
        <w:tc>
          <w:tcPr>
            <w:tcW w:w="2357" w:type="dxa"/>
            <w:tcBorders>
              <w:left w:val="single" w:sz="4" w:space="0" w:color="auto"/>
            </w:tcBorders>
            <w:shd w:val="clear" w:color="auto" w:fill="auto"/>
            <w:vAlign w:val="center"/>
          </w:tcPr>
          <w:p w:rsidR="00A10D87" w:rsidRDefault="0000622C">
            <w:pPr>
              <w:spacing w:after="120"/>
              <w:jc w:val="both"/>
              <w:rPr>
                <w:noProof/>
              </w:rPr>
            </w:pPr>
            <w:r>
              <w:rPr>
                <w:noProof/>
              </w:rPr>
              <w:t xml:space="preserve">AT, BG, CZ, DE, EL, ES, FR, HR, HU, IT, PL, RO, SE, SI, SK </w:t>
            </w:r>
          </w:p>
        </w:tc>
      </w:tr>
      <w:tr w:rsidR="00A10D87">
        <w:tc>
          <w:tcPr>
            <w:tcW w:w="7111" w:type="dxa"/>
            <w:tcBorders>
              <w:right w:val="single" w:sz="4" w:space="0" w:color="auto"/>
            </w:tcBorders>
            <w:vAlign w:val="center"/>
          </w:tcPr>
          <w:p w:rsidR="00A10D87" w:rsidRDefault="0000622C">
            <w:pPr>
              <w:pStyle w:val="ListParagraph"/>
              <w:numPr>
                <w:ilvl w:val="0"/>
                <w:numId w:val="2"/>
              </w:numPr>
              <w:rPr>
                <w:noProof/>
                <w:sz w:val="20"/>
              </w:rPr>
            </w:pPr>
            <w:r>
              <w:rPr>
                <w:noProof/>
                <w:sz w:val="20"/>
              </w:rPr>
              <w:t>Reducerea utilizării cărbunelui pentru încălzirea locuințelor cu scopul de a limita emisiile de poluanți atmosf</w:t>
            </w:r>
            <w:r>
              <w:rPr>
                <w:noProof/>
                <w:sz w:val="20"/>
              </w:rPr>
              <w:t>erici, de exemplu prin concretizarea inițiativei „Regiunile carbonifere în tranziție”.</w:t>
            </w:r>
          </w:p>
        </w:tc>
        <w:tc>
          <w:tcPr>
            <w:tcW w:w="2357" w:type="dxa"/>
            <w:tcBorders>
              <w:left w:val="single" w:sz="4" w:space="0" w:color="auto"/>
            </w:tcBorders>
            <w:shd w:val="clear" w:color="auto" w:fill="auto"/>
            <w:vAlign w:val="center"/>
          </w:tcPr>
          <w:p w:rsidR="00A10D87" w:rsidRDefault="0000622C">
            <w:pPr>
              <w:spacing w:after="120"/>
              <w:jc w:val="both"/>
              <w:rPr>
                <w:noProof/>
              </w:rPr>
            </w:pPr>
            <w:r>
              <w:rPr>
                <w:noProof/>
              </w:rPr>
              <w:t>BG, CZ, EL, HU, PL, RO, SK</w:t>
            </w:r>
          </w:p>
        </w:tc>
      </w:tr>
      <w:tr w:rsidR="00A10D87">
        <w:tc>
          <w:tcPr>
            <w:tcW w:w="7111" w:type="dxa"/>
            <w:vAlign w:val="center"/>
          </w:tcPr>
          <w:p w:rsidR="00A10D87" w:rsidRDefault="0000622C">
            <w:pPr>
              <w:pStyle w:val="ListParagraph"/>
              <w:numPr>
                <w:ilvl w:val="0"/>
                <w:numId w:val="2"/>
              </w:numPr>
              <w:rPr>
                <w:noProof/>
                <w:sz w:val="20"/>
              </w:rPr>
            </w:pPr>
            <w:r>
              <w:rPr>
                <w:noProof/>
                <w:sz w:val="20"/>
              </w:rPr>
              <w:t>Accelerarea reducerilor concentrațiilor de emisii de oxid de azot (NO</w:t>
            </w:r>
            <w:r>
              <w:rPr>
                <w:noProof/>
                <w:sz w:val="20"/>
                <w:vertAlign w:val="subscript"/>
              </w:rPr>
              <w:t>x</w:t>
            </w:r>
            <w:r>
              <w:rPr>
                <w:noProof/>
                <w:sz w:val="20"/>
              </w:rPr>
              <w:t>) și de dioxid de azot (NO</w:t>
            </w:r>
            <w:r>
              <w:rPr>
                <w:noProof/>
                <w:sz w:val="20"/>
                <w:vertAlign w:val="subscript"/>
              </w:rPr>
              <w:t>2</w:t>
            </w:r>
            <w:r>
              <w:rPr>
                <w:noProof/>
                <w:sz w:val="20"/>
              </w:rPr>
              <w:t>) prin reducerea suplimentară a emisiilor di</w:t>
            </w:r>
            <w:r>
              <w:rPr>
                <w:noProof/>
                <w:sz w:val="20"/>
              </w:rPr>
              <w:t>n transport, în special în zonele urbane. Acest lucru poate necesita, de asemenea, restricții proporționale și specifice privind accesul vehiculelor în zonele urbane și/sau stimulente fiscale.</w:t>
            </w:r>
          </w:p>
        </w:tc>
        <w:tc>
          <w:tcPr>
            <w:tcW w:w="2357" w:type="dxa"/>
            <w:shd w:val="clear" w:color="auto" w:fill="auto"/>
            <w:vAlign w:val="center"/>
          </w:tcPr>
          <w:p w:rsidR="00A10D87" w:rsidRDefault="0000622C">
            <w:pPr>
              <w:spacing w:after="120"/>
              <w:jc w:val="both"/>
              <w:rPr>
                <w:noProof/>
              </w:rPr>
            </w:pPr>
            <w:r>
              <w:rPr>
                <w:noProof/>
              </w:rPr>
              <w:t>AT, BE, BG, CZ, DE, EL, ES, FR, HR, HU, IE, IT, LU, NL, PL, PT,</w:t>
            </w:r>
            <w:r>
              <w:rPr>
                <w:noProof/>
              </w:rPr>
              <w:t xml:space="preserve"> RO, UK </w:t>
            </w:r>
          </w:p>
        </w:tc>
      </w:tr>
      <w:tr w:rsidR="00A10D87">
        <w:tc>
          <w:tcPr>
            <w:tcW w:w="7111" w:type="dxa"/>
            <w:vAlign w:val="center"/>
          </w:tcPr>
          <w:p w:rsidR="00A10D87" w:rsidRDefault="0000622C">
            <w:pPr>
              <w:pStyle w:val="ListParagraph"/>
              <w:numPr>
                <w:ilvl w:val="0"/>
                <w:numId w:val="2"/>
              </w:numPr>
              <w:rPr>
                <w:noProof/>
                <w:sz w:val="20"/>
              </w:rPr>
            </w:pPr>
            <w:r>
              <w:rPr>
                <w:noProof/>
                <w:sz w:val="20"/>
              </w:rPr>
              <w:t>Reducerea emisiilor de amoniac (NH</w:t>
            </w:r>
            <w:r>
              <w:rPr>
                <w:noProof/>
                <w:sz w:val="20"/>
                <w:vertAlign w:val="subscript"/>
              </w:rPr>
              <w:t>3</w:t>
            </w:r>
            <w:r>
              <w:rPr>
                <w:noProof/>
                <w:sz w:val="20"/>
              </w:rPr>
              <w:t>), de exemplu prin introducerea sau extinderea utilizării tehnicilor agricole cu emisii reduse de dioxid de carbon.</w:t>
            </w:r>
          </w:p>
        </w:tc>
        <w:tc>
          <w:tcPr>
            <w:tcW w:w="2357" w:type="dxa"/>
            <w:shd w:val="clear" w:color="auto" w:fill="auto"/>
            <w:vAlign w:val="center"/>
          </w:tcPr>
          <w:p w:rsidR="00A10D87" w:rsidRDefault="0000622C">
            <w:pPr>
              <w:spacing w:after="120"/>
              <w:jc w:val="both"/>
              <w:rPr>
                <w:noProof/>
              </w:rPr>
            </w:pPr>
            <w:r>
              <w:rPr>
                <w:noProof/>
              </w:rPr>
              <w:t xml:space="preserve">AT, DE, DK, ES, HR, IE </w:t>
            </w:r>
          </w:p>
        </w:tc>
      </w:tr>
      <w:tr w:rsidR="00A10D87">
        <w:tc>
          <w:tcPr>
            <w:tcW w:w="7111" w:type="dxa"/>
            <w:vAlign w:val="center"/>
          </w:tcPr>
          <w:p w:rsidR="00A10D87" w:rsidRDefault="0000622C">
            <w:pPr>
              <w:pStyle w:val="ListParagraph"/>
              <w:numPr>
                <w:ilvl w:val="0"/>
                <w:numId w:val="2"/>
              </w:numPr>
              <w:tabs>
                <w:tab w:val="left" w:pos="1392"/>
              </w:tabs>
              <w:rPr>
                <w:noProof/>
                <w:sz w:val="20"/>
              </w:rPr>
            </w:pPr>
            <w:r>
              <w:rPr>
                <w:noProof/>
                <w:sz w:val="20"/>
              </w:rPr>
              <w:t xml:space="preserve">Reducerea emisiilor de compuși organici volatili nemetanici NMVOC </w:t>
            </w:r>
            <w:r>
              <w:rPr>
                <w:noProof/>
                <w:sz w:val="20"/>
              </w:rPr>
              <w:t>(acolo unde este cazul, în vederea respectării plafoanelor naționale de emisie aplicabile în prezent).</w:t>
            </w:r>
          </w:p>
        </w:tc>
        <w:tc>
          <w:tcPr>
            <w:tcW w:w="2357" w:type="dxa"/>
            <w:shd w:val="clear" w:color="auto" w:fill="auto"/>
            <w:vAlign w:val="center"/>
          </w:tcPr>
          <w:p w:rsidR="00A10D87" w:rsidRDefault="0000622C">
            <w:pPr>
              <w:spacing w:after="120"/>
              <w:jc w:val="both"/>
              <w:rPr>
                <w:noProof/>
              </w:rPr>
            </w:pPr>
            <w:r>
              <w:rPr>
                <w:noProof/>
              </w:rPr>
              <w:t>DE, HU, IE, LU</w:t>
            </w:r>
          </w:p>
        </w:tc>
      </w:tr>
      <w:tr w:rsidR="00A10D87">
        <w:tc>
          <w:tcPr>
            <w:tcW w:w="7111" w:type="dxa"/>
            <w:vAlign w:val="center"/>
          </w:tcPr>
          <w:p w:rsidR="00A10D87" w:rsidRDefault="0000622C">
            <w:pPr>
              <w:pStyle w:val="ListParagraph"/>
              <w:keepNext/>
              <w:keepLines/>
              <w:numPr>
                <w:ilvl w:val="0"/>
                <w:numId w:val="2"/>
              </w:numPr>
              <w:tabs>
                <w:tab w:val="left" w:pos="4744"/>
              </w:tabs>
              <w:rPr>
                <w:noProof/>
                <w:sz w:val="20"/>
              </w:rPr>
            </w:pPr>
            <w:r>
              <w:rPr>
                <w:noProof/>
                <w:sz w:val="20"/>
              </w:rPr>
              <w:t>Actualizarea și îmbunătățirea rețelei de monitorizare a calității aerului și asigurarea raportării la timp a datelor privind calitatea ae</w:t>
            </w:r>
            <w:r>
              <w:rPr>
                <w:noProof/>
                <w:sz w:val="20"/>
              </w:rPr>
              <w:t>rului.</w:t>
            </w:r>
          </w:p>
        </w:tc>
        <w:tc>
          <w:tcPr>
            <w:tcW w:w="2357" w:type="dxa"/>
            <w:shd w:val="clear" w:color="auto" w:fill="auto"/>
            <w:vAlign w:val="center"/>
          </w:tcPr>
          <w:p w:rsidR="00A10D87" w:rsidRDefault="0000622C">
            <w:pPr>
              <w:keepNext/>
              <w:keepLines/>
              <w:spacing w:after="120"/>
              <w:jc w:val="both"/>
              <w:rPr>
                <w:noProof/>
              </w:rPr>
            </w:pPr>
            <w:r>
              <w:rPr>
                <w:noProof/>
              </w:rPr>
              <w:t>BE, BG, EL, IT, LU, RO, SI, SK</w:t>
            </w:r>
          </w:p>
        </w:tc>
      </w:tr>
      <w:tr w:rsidR="00A10D87">
        <w:tc>
          <w:tcPr>
            <w:tcW w:w="9468" w:type="dxa"/>
            <w:gridSpan w:val="2"/>
            <w:shd w:val="clear" w:color="auto" w:fill="C6D9F1" w:themeFill="text2" w:themeFillTint="33"/>
            <w:vAlign w:val="center"/>
          </w:tcPr>
          <w:p w:rsidR="00A10D87" w:rsidRDefault="0000622C">
            <w:pPr>
              <w:pStyle w:val="Text1"/>
              <w:keepLines/>
              <w:spacing w:after="0"/>
              <w:ind w:left="0"/>
              <w:rPr>
                <w:noProof/>
              </w:rPr>
            </w:pPr>
            <w:r>
              <w:rPr>
                <w:b/>
                <w:noProof/>
                <w:sz w:val="20"/>
              </w:rPr>
              <w:t>Emisiile industriale</w:t>
            </w:r>
          </w:p>
        </w:tc>
      </w:tr>
      <w:tr w:rsidR="00A10D87">
        <w:tc>
          <w:tcPr>
            <w:tcW w:w="7111" w:type="dxa"/>
            <w:shd w:val="clear" w:color="auto" w:fill="auto"/>
            <w:vAlign w:val="center"/>
          </w:tcPr>
          <w:p w:rsidR="00A10D87" w:rsidRDefault="0000622C">
            <w:pPr>
              <w:pStyle w:val="ListParagraph"/>
              <w:keepLines/>
              <w:numPr>
                <w:ilvl w:val="0"/>
                <w:numId w:val="2"/>
              </w:numPr>
              <w:tabs>
                <w:tab w:val="left" w:pos="4744"/>
              </w:tabs>
              <w:rPr>
                <w:noProof/>
                <w:sz w:val="20"/>
              </w:rPr>
            </w:pPr>
            <w:r>
              <w:rPr>
                <w:noProof/>
                <w:sz w:val="20"/>
              </w:rPr>
              <w:t xml:space="preserve">Revizuirea autorizațiilor și întărirea controlului și/sau a punerii în aplicare a legislației astfel încât statele membre să se conformeze noilor concluzii adoptate cu privire la cele mai bune tehnici disponibile. </w:t>
            </w:r>
          </w:p>
        </w:tc>
        <w:tc>
          <w:tcPr>
            <w:tcW w:w="2357" w:type="dxa"/>
            <w:shd w:val="clear" w:color="auto" w:fill="auto"/>
            <w:vAlign w:val="center"/>
          </w:tcPr>
          <w:p w:rsidR="00A10D87" w:rsidRDefault="0000622C">
            <w:pPr>
              <w:keepLines/>
              <w:spacing w:after="120"/>
              <w:jc w:val="both"/>
              <w:rPr>
                <w:noProof/>
              </w:rPr>
            </w:pPr>
            <w:r>
              <w:rPr>
                <w:noProof/>
              </w:rPr>
              <w:t>Toate statele membre</w:t>
            </w:r>
          </w:p>
        </w:tc>
      </w:tr>
      <w:tr w:rsidR="00A10D87">
        <w:trPr>
          <w:trHeight w:val="902"/>
        </w:trPr>
        <w:tc>
          <w:tcPr>
            <w:tcW w:w="7111" w:type="dxa"/>
            <w:shd w:val="clear" w:color="auto" w:fill="auto"/>
            <w:vAlign w:val="center"/>
          </w:tcPr>
          <w:p w:rsidR="00A10D87" w:rsidRDefault="0000622C">
            <w:pPr>
              <w:pStyle w:val="ListParagraph"/>
              <w:keepLines/>
              <w:numPr>
                <w:ilvl w:val="0"/>
                <w:numId w:val="2"/>
              </w:numPr>
              <w:tabs>
                <w:tab w:val="left" w:pos="4744"/>
              </w:tabs>
              <w:rPr>
                <w:noProof/>
                <w:sz w:val="20"/>
              </w:rPr>
            </w:pPr>
            <w:r>
              <w:rPr>
                <w:noProof/>
                <w:sz w:val="20"/>
              </w:rPr>
              <w:t>Soluționarea proble</w:t>
            </w:r>
            <w:r>
              <w:rPr>
                <w:noProof/>
                <w:sz w:val="20"/>
              </w:rPr>
              <w:t xml:space="preserve">mei poluării aerului și/sau a apei legate de emisiile provenite de la instalații din unul sau mai multe din următoarele sectoare: energia electrică, creșterea intensivă a păsărilor de curte și a porcilor, activitățile de tratare a deșeurilor, instalațiile </w:t>
            </w:r>
            <w:r>
              <w:rPr>
                <w:noProof/>
                <w:sz w:val="20"/>
              </w:rPr>
              <w:t>siderurgice și oțelăriile.</w:t>
            </w:r>
          </w:p>
        </w:tc>
        <w:tc>
          <w:tcPr>
            <w:tcW w:w="2357" w:type="dxa"/>
            <w:shd w:val="clear" w:color="auto" w:fill="auto"/>
            <w:vAlign w:val="center"/>
          </w:tcPr>
          <w:p w:rsidR="00A10D87" w:rsidRDefault="0000622C">
            <w:pPr>
              <w:keepLines/>
              <w:spacing w:after="120"/>
              <w:jc w:val="both"/>
              <w:rPr>
                <w:noProof/>
              </w:rPr>
            </w:pPr>
            <w:r>
              <w:rPr>
                <w:noProof/>
              </w:rPr>
              <w:t>BG, CY, CZ, DE, EE, EL, ES, FI, HR, HU, IE, IT, LU, LV, NL, PT, RO, SK, UK</w:t>
            </w:r>
          </w:p>
        </w:tc>
      </w:tr>
      <w:tr w:rsidR="00A10D87">
        <w:trPr>
          <w:cantSplit/>
        </w:trPr>
        <w:tc>
          <w:tcPr>
            <w:tcW w:w="9468" w:type="dxa"/>
            <w:gridSpan w:val="2"/>
            <w:shd w:val="clear" w:color="auto" w:fill="C6D9F1" w:themeFill="text2" w:themeFillTint="33"/>
            <w:vAlign w:val="center"/>
          </w:tcPr>
          <w:p w:rsidR="00A10D87" w:rsidRDefault="0000622C">
            <w:pPr>
              <w:pStyle w:val="Text1"/>
              <w:spacing w:after="0"/>
              <w:ind w:left="0"/>
              <w:rPr>
                <w:noProof/>
                <w:sz w:val="20"/>
              </w:rPr>
            </w:pPr>
            <w:r>
              <w:rPr>
                <w:b/>
                <w:noProof/>
                <w:sz w:val="20"/>
              </w:rPr>
              <w:t>Zgomotul</w:t>
            </w:r>
          </w:p>
        </w:tc>
      </w:tr>
      <w:tr w:rsidR="00A10D87">
        <w:trPr>
          <w:cantSplit/>
          <w:trHeight w:val="402"/>
        </w:trPr>
        <w:tc>
          <w:tcPr>
            <w:tcW w:w="7111" w:type="dxa"/>
            <w:vAlign w:val="center"/>
          </w:tcPr>
          <w:p w:rsidR="00A10D87" w:rsidRDefault="0000622C">
            <w:pPr>
              <w:pStyle w:val="Text1"/>
              <w:numPr>
                <w:ilvl w:val="0"/>
                <w:numId w:val="2"/>
              </w:numPr>
              <w:rPr>
                <w:noProof/>
                <w:sz w:val="20"/>
              </w:rPr>
            </w:pPr>
            <w:r>
              <w:rPr>
                <w:noProof/>
                <w:sz w:val="20"/>
              </w:rPr>
              <w:t>Completarea planurilor de acțiune lipsă privind zgomotul.</w:t>
            </w:r>
          </w:p>
        </w:tc>
        <w:tc>
          <w:tcPr>
            <w:tcW w:w="2357" w:type="dxa"/>
            <w:shd w:val="clear" w:color="auto" w:fill="auto"/>
            <w:vAlign w:val="center"/>
          </w:tcPr>
          <w:p w:rsidR="00A10D87" w:rsidRDefault="0000622C">
            <w:pPr>
              <w:pStyle w:val="Text1"/>
              <w:ind w:left="0"/>
              <w:rPr>
                <w:noProof/>
                <w:sz w:val="20"/>
              </w:rPr>
            </w:pPr>
            <w:r>
              <w:rPr>
                <w:noProof/>
                <w:sz w:val="20"/>
              </w:rPr>
              <w:t>BE, CY, CZ, DE, EL, ES, FR, IT, PL, PT, RO, SE, SK</w:t>
            </w:r>
          </w:p>
        </w:tc>
      </w:tr>
      <w:tr w:rsidR="00A10D87">
        <w:trPr>
          <w:cantSplit/>
          <w:trHeight w:val="287"/>
        </w:trPr>
        <w:tc>
          <w:tcPr>
            <w:tcW w:w="7111" w:type="dxa"/>
            <w:vAlign w:val="center"/>
          </w:tcPr>
          <w:p w:rsidR="00A10D87" w:rsidRDefault="0000622C">
            <w:pPr>
              <w:pStyle w:val="Text1"/>
              <w:numPr>
                <w:ilvl w:val="0"/>
                <w:numId w:val="2"/>
              </w:numPr>
              <w:rPr>
                <w:noProof/>
                <w:sz w:val="20"/>
              </w:rPr>
            </w:pPr>
            <w:r>
              <w:rPr>
                <w:noProof/>
                <w:sz w:val="20"/>
              </w:rPr>
              <w:t xml:space="preserve">Completarea hărților acustice </w:t>
            </w:r>
            <w:r>
              <w:rPr>
                <w:noProof/>
                <w:sz w:val="20"/>
              </w:rPr>
              <w:t>lipsă.</w:t>
            </w:r>
          </w:p>
        </w:tc>
        <w:tc>
          <w:tcPr>
            <w:tcW w:w="2357" w:type="dxa"/>
            <w:shd w:val="clear" w:color="auto" w:fill="auto"/>
            <w:vAlign w:val="center"/>
          </w:tcPr>
          <w:p w:rsidR="00A10D87" w:rsidRDefault="0000622C">
            <w:pPr>
              <w:pStyle w:val="Text1"/>
              <w:ind w:left="0"/>
              <w:rPr>
                <w:noProof/>
                <w:sz w:val="20"/>
              </w:rPr>
            </w:pPr>
            <w:r>
              <w:rPr>
                <w:noProof/>
                <w:sz w:val="20"/>
              </w:rPr>
              <w:t>BE, EL, ES, IT, PT, RO, SK</w:t>
            </w:r>
          </w:p>
        </w:tc>
      </w:tr>
      <w:tr w:rsidR="00A10D87">
        <w:tc>
          <w:tcPr>
            <w:tcW w:w="9468" w:type="dxa"/>
            <w:gridSpan w:val="2"/>
            <w:shd w:val="clear" w:color="auto" w:fill="C6D9F1" w:themeFill="text2" w:themeFillTint="33"/>
            <w:vAlign w:val="center"/>
          </w:tcPr>
          <w:p w:rsidR="00A10D87" w:rsidRDefault="0000622C">
            <w:pPr>
              <w:pStyle w:val="Text1"/>
              <w:spacing w:after="0"/>
              <w:ind w:left="0"/>
              <w:rPr>
                <w:b/>
                <w:noProof/>
                <w:sz w:val="20"/>
              </w:rPr>
            </w:pPr>
            <w:r>
              <w:rPr>
                <w:b/>
                <w:noProof/>
                <w:sz w:val="20"/>
              </w:rPr>
              <w:t xml:space="preserve">Calitatea și gestionarea apei </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Îmbunătățirea monitorizării și a evaluării tuturor elementelor de calitate relevante pentru toate categoriile de apă, în conformitate cu Directiva-cadru privind apa. </w:t>
            </w:r>
          </w:p>
        </w:tc>
        <w:tc>
          <w:tcPr>
            <w:tcW w:w="2357" w:type="dxa"/>
            <w:shd w:val="clear" w:color="auto" w:fill="auto"/>
            <w:vAlign w:val="center"/>
          </w:tcPr>
          <w:p w:rsidR="00A10D87" w:rsidRDefault="0000622C">
            <w:pPr>
              <w:pStyle w:val="Text1"/>
              <w:ind w:left="0"/>
              <w:rPr>
                <w:noProof/>
                <w:sz w:val="20"/>
              </w:rPr>
            </w:pPr>
            <w:r>
              <w:rPr>
                <w:noProof/>
                <w:sz w:val="20"/>
              </w:rPr>
              <w:t xml:space="preserve">BG, CY, CZ, DE, DK, </w:t>
            </w:r>
            <w:r>
              <w:rPr>
                <w:noProof/>
                <w:sz w:val="20"/>
              </w:rPr>
              <w:t>EE, FI, HR, HU, LV, MT, PL, PT, RO, SE, SI, UK</w:t>
            </w:r>
          </w:p>
        </w:tc>
      </w:tr>
      <w:tr w:rsidR="00A10D87">
        <w:tc>
          <w:tcPr>
            <w:tcW w:w="7111" w:type="dxa"/>
            <w:vAlign w:val="center"/>
          </w:tcPr>
          <w:p w:rsidR="00A10D87" w:rsidRDefault="0000622C">
            <w:pPr>
              <w:pStyle w:val="Text1"/>
              <w:numPr>
                <w:ilvl w:val="0"/>
                <w:numId w:val="2"/>
              </w:numPr>
              <w:rPr>
                <w:noProof/>
                <w:sz w:val="20"/>
              </w:rPr>
            </w:pPr>
            <w:r>
              <w:rPr>
                <w:noProof/>
                <w:sz w:val="20"/>
              </w:rPr>
              <w:t>Asigurarea adoptării și/sau a raportării în timp util a planurilor de management al bazinelor hidrografice, în conformitate cu Directiva-cadru privind apa.</w:t>
            </w:r>
          </w:p>
        </w:tc>
        <w:tc>
          <w:tcPr>
            <w:tcW w:w="2357" w:type="dxa"/>
            <w:shd w:val="clear" w:color="auto" w:fill="auto"/>
            <w:vAlign w:val="center"/>
          </w:tcPr>
          <w:p w:rsidR="00A10D87" w:rsidRDefault="0000622C">
            <w:pPr>
              <w:pStyle w:val="Text1"/>
              <w:ind w:left="0"/>
              <w:rPr>
                <w:noProof/>
                <w:sz w:val="20"/>
              </w:rPr>
            </w:pPr>
            <w:r>
              <w:rPr>
                <w:noProof/>
                <w:sz w:val="20"/>
              </w:rPr>
              <w:t>AT, ES, EL, IE, LT</w:t>
            </w:r>
          </w:p>
        </w:tc>
      </w:tr>
      <w:tr w:rsidR="00A10D87">
        <w:tc>
          <w:tcPr>
            <w:tcW w:w="7111" w:type="dxa"/>
            <w:vAlign w:val="center"/>
          </w:tcPr>
          <w:p w:rsidR="00A10D87" w:rsidRDefault="0000622C">
            <w:pPr>
              <w:pStyle w:val="Text1"/>
              <w:numPr>
                <w:ilvl w:val="0"/>
                <w:numId w:val="2"/>
              </w:numPr>
              <w:rPr>
                <w:noProof/>
                <w:sz w:val="20"/>
              </w:rPr>
            </w:pPr>
            <w:r>
              <w:rPr>
                <w:noProof/>
                <w:sz w:val="20"/>
              </w:rPr>
              <w:t xml:space="preserve">Asigurarea adoptării în timp </w:t>
            </w:r>
            <w:r>
              <w:rPr>
                <w:noProof/>
                <w:sz w:val="20"/>
              </w:rPr>
              <w:t>util a planurilor de management al riscului la inundații, în conformitate cu Directiva privind inundațiile.</w:t>
            </w:r>
          </w:p>
        </w:tc>
        <w:tc>
          <w:tcPr>
            <w:tcW w:w="2357" w:type="dxa"/>
            <w:shd w:val="clear" w:color="auto" w:fill="auto"/>
            <w:vAlign w:val="center"/>
          </w:tcPr>
          <w:p w:rsidR="00A10D87" w:rsidRDefault="0000622C">
            <w:pPr>
              <w:pStyle w:val="Text1"/>
              <w:ind w:left="0"/>
              <w:rPr>
                <w:noProof/>
                <w:sz w:val="20"/>
              </w:rPr>
            </w:pPr>
            <w:r>
              <w:rPr>
                <w:noProof/>
                <w:sz w:val="20"/>
              </w:rPr>
              <w:t>ES, EL, IE</w:t>
            </w:r>
          </w:p>
        </w:tc>
      </w:tr>
      <w:tr w:rsidR="00A10D87">
        <w:tc>
          <w:tcPr>
            <w:tcW w:w="7111" w:type="dxa"/>
            <w:vAlign w:val="center"/>
          </w:tcPr>
          <w:p w:rsidR="00A10D87" w:rsidRDefault="0000622C">
            <w:pPr>
              <w:pStyle w:val="Text1"/>
              <w:numPr>
                <w:ilvl w:val="0"/>
                <w:numId w:val="2"/>
              </w:numPr>
              <w:rPr>
                <w:noProof/>
                <w:sz w:val="20"/>
              </w:rPr>
            </w:pPr>
            <w:r>
              <w:rPr>
                <w:noProof/>
                <w:sz w:val="20"/>
              </w:rPr>
              <w:t>Asigurarea faptului că poluarea apei provenite din agricultură, printre alte sectoare, este abordată în mod eficace în temeiul Directive</w:t>
            </w:r>
            <w:r>
              <w:rPr>
                <w:noProof/>
                <w:sz w:val="20"/>
              </w:rPr>
              <w:t xml:space="preserve">i privind nitrații și/sau al Directivei-cadru privind apa. </w:t>
            </w:r>
          </w:p>
        </w:tc>
        <w:tc>
          <w:tcPr>
            <w:tcW w:w="2357" w:type="dxa"/>
            <w:shd w:val="clear" w:color="auto" w:fill="auto"/>
            <w:vAlign w:val="center"/>
          </w:tcPr>
          <w:p w:rsidR="00A10D87" w:rsidRDefault="0000622C">
            <w:pPr>
              <w:pStyle w:val="Text1"/>
              <w:ind w:left="0"/>
              <w:rPr>
                <w:noProof/>
                <w:sz w:val="20"/>
              </w:rPr>
            </w:pPr>
            <w:r>
              <w:rPr>
                <w:noProof/>
                <w:sz w:val="20"/>
              </w:rPr>
              <w:t xml:space="preserve">AT, BE, CY, CZ, DE, DK, EE, EL, ES, FI, FR, IT, LT, MT, NL, PL, PT, SE, SI, SK, UK </w:t>
            </w:r>
          </w:p>
        </w:tc>
      </w:tr>
      <w:tr w:rsidR="00A10D87">
        <w:tc>
          <w:tcPr>
            <w:tcW w:w="7111" w:type="dxa"/>
            <w:vAlign w:val="center"/>
          </w:tcPr>
          <w:p w:rsidR="00A10D87" w:rsidRDefault="0000622C">
            <w:pPr>
              <w:pStyle w:val="Text1"/>
              <w:numPr>
                <w:ilvl w:val="0"/>
                <w:numId w:val="2"/>
              </w:numPr>
              <w:rPr>
                <w:noProof/>
                <w:sz w:val="20"/>
              </w:rPr>
            </w:pPr>
            <w:r>
              <w:rPr>
                <w:noProof/>
                <w:sz w:val="20"/>
              </w:rPr>
              <w:t>Luarea de măsuri suplimentare pentru combaterea poluării chimice (dezvoltarea unei abordări mai specifice privi</w:t>
            </w:r>
            <w:r>
              <w:rPr>
                <w:noProof/>
                <w:sz w:val="20"/>
              </w:rPr>
              <w:t>nd substanțele/asigurarea faptului că programele de măsuri se bazează pe o evaluare fiabilă a presiunilor).</w:t>
            </w:r>
          </w:p>
        </w:tc>
        <w:tc>
          <w:tcPr>
            <w:tcW w:w="2357" w:type="dxa"/>
            <w:shd w:val="clear" w:color="auto" w:fill="auto"/>
            <w:vAlign w:val="center"/>
          </w:tcPr>
          <w:p w:rsidR="00A10D87" w:rsidRDefault="0000622C">
            <w:pPr>
              <w:pStyle w:val="Text1"/>
              <w:ind w:left="0"/>
              <w:rPr>
                <w:noProof/>
                <w:sz w:val="20"/>
              </w:rPr>
            </w:pPr>
            <w:r>
              <w:rPr>
                <w:noProof/>
                <w:sz w:val="20"/>
              </w:rPr>
              <w:t>BE, NL</w:t>
            </w:r>
          </w:p>
        </w:tc>
      </w:tr>
      <w:tr w:rsidR="00A10D87">
        <w:trPr>
          <w:trHeight w:val="761"/>
        </w:trPr>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suplimentare pentru a asigura o stare cantitativă bună/fluxuri ecologice în conformitate cu Directiva-cadru privind apa (in</w:t>
            </w:r>
            <w:r>
              <w:rPr>
                <w:noProof/>
                <w:sz w:val="20"/>
              </w:rPr>
              <w:t>clusiv asigurarea captărilor care sunt supuse autorizărilor, contorizării și controalelor eficace).</w:t>
            </w:r>
          </w:p>
        </w:tc>
        <w:tc>
          <w:tcPr>
            <w:tcW w:w="2357" w:type="dxa"/>
            <w:shd w:val="clear" w:color="auto" w:fill="auto"/>
            <w:vAlign w:val="center"/>
          </w:tcPr>
          <w:p w:rsidR="00A10D87" w:rsidRDefault="0000622C">
            <w:pPr>
              <w:pStyle w:val="Text1"/>
              <w:ind w:left="0"/>
              <w:rPr>
                <w:noProof/>
                <w:sz w:val="20"/>
              </w:rPr>
            </w:pPr>
            <w:r>
              <w:rPr>
                <w:noProof/>
                <w:sz w:val="20"/>
              </w:rPr>
              <w:t xml:space="preserve">CY, ES, HU, IT, MT, PL, PT </w:t>
            </w:r>
          </w:p>
        </w:tc>
      </w:tr>
      <w:tr w:rsidR="00A10D87">
        <w:trPr>
          <w:trHeight w:val="360"/>
        </w:trPr>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pentru a asigura punerea în aplicare a măsurilor de combatere a presiunilor hidromorfologice.</w:t>
            </w:r>
          </w:p>
        </w:tc>
        <w:tc>
          <w:tcPr>
            <w:tcW w:w="2357" w:type="dxa"/>
            <w:shd w:val="clear" w:color="auto" w:fill="auto"/>
            <w:vAlign w:val="center"/>
          </w:tcPr>
          <w:p w:rsidR="00A10D87" w:rsidRDefault="0000622C">
            <w:pPr>
              <w:pStyle w:val="Text1"/>
              <w:ind w:left="0"/>
              <w:rPr>
                <w:noProof/>
                <w:sz w:val="20"/>
              </w:rPr>
            </w:pPr>
            <w:r>
              <w:rPr>
                <w:noProof/>
                <w:sz w:val="20"/>
              </w:rPr>
              <w:t>SI</w:t>
            </w:r>
          </w:p>
        </w:tc>
      </w:tr>
      <w:tr w:rsidR="00A10D87">
        <w:trPr>
          <w:trHeight w:val="180"/>
        </w:trPr>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Luarea de măsuri pentru armonizarea diferitelor abordări regionale, în special pentru definirea semnificației presiunilor în raport cu Directiva-cadru privind apa. </w:t>
            </w:r>
          </w:p>
        </w:tc>
        <w:tc>
          <w:tcPr>
            <w:tcW w:w="2357" w:type="dxa"/>
            <w:shd w:val="clear" w:color="auto" w:fill="auto"/>
            <w:vAlign w:val="center"/>
          </w:tcPr>
          <w:p w:rsidR="00A10D87" w:rsidRDefault="0000622C">
            <w:pPr>
              <w:pStyle w:val="Text1"/>
              <w:ind w:left="0"/>
              <w:rPr>
                <w:noProof/>
                <w:sz w:val="20"/>
              </w:rPr>
            </w:pPr>
            <w:r>
              <w:rPr>
                <w:noProof/>
                <w:sz w:val="20"/>
              </w:rPr>
              <w:t>IT</w:t>
            </w:r>
          </w:p>
        </w:tc>
      </w:tr>
      <w:tr w:rsidR="00A10D87">
        <w:trPr>
          <w:trHeight w:val="662"/>
        </w:trPr>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Asigurarea faptului că proiectele, care ar putea afecta starea corpurilor de apă, sunt evaluate și justificate temeinic în conformitate cu cerințele Directivei-cadru privind apa [articolul 4 alineatul (7)]. </w:t>
            </w:r>
          </w:p>
        </w:tc>
        <w:tc>
          <w:tcPr>
            <w:tcW w:w="2357" w:type="dxa"/>
            <w:shd w:val="clear" w:color="auto" w:fill="auto"/>
            <w:vAlign w:val="center"/>
          </w:tcPr>
          <w:p w:rsidR="00A10D87" w:rsidRDefault="0000622C">
            <w:pPr>
              <w:pStyle w:val="Text1"/>
              <w:ind w:left="0"/>
              <w:rPr>
                <w:noProof/>
                <w:sz w:val="20"/>
              </w:rPr>
            </w:pPr>
            <w:r>
              <w:rPr>
                <w:noProof/>
                <w:sz w:val="20"/>
              </w:rPr>
              <w:t>BG, LU, PL, PT, RO, SE, SK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pen</w:t>
            </w:r>
            <w:r>
              <w:rPr>
                <w:noProof/>
                <w:sz w:val="20"/>
              </w:rPr>
              <w:t>tru a consolida aspectul participării publice și implicării active a părților interesate (planurile de management al bazinelor hidrografice/planurile de management al riscului la inundații).</w:t>
            </w:r>
          </w:p>
        </w:tc>
        <w:tc>
          <w:tcPr>
            <w:tcW w:w="2357" w:type="dxa"/>
            <w:shd w:val="clear" w:color="auto" w:fill="auto"/>
            <w:vAlign w:val="center"/>
          </w:tcPr>
          <w:p w:rsidR="00A10D87" w:rsidRDefault="0000622C">
            <w:pPr>
              <w:pStyle w:val="Text1"/>
              <w:ind w:left="0"/>
              <w:rPr>
                <w:noProof/>
                <w:sz w:val="20"/>
              </w:rPr>
            </w:pPr>
            <w:r>
              <w:rPr>
                <w:noProof/>
                <w:sz w:val="20"/>
              </w:rPr>
              <w:t>NL, SI, SK, UK</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Întreprinderea de acțiuni în vederea clarificării metodei de stabilire a priorităților în materie de măsuri, inclusiv a utilizării analizei cost/beneficiu în raport cu planurile de management al riscului la inundații. </w:t>
            </w:r>
          </w:p>
        </w:tc>
        <w:tc>
          <w:tcPr>
            <w:tcW w:w="2357" w:type="dxa"/>
            <w:shd w:val="clear" w:color="auto" w:fill="auto"/>
            <w:vAlign w:val="center"/>
          </w:tcPr>
          <w:p w:rsidR="00A10D87" w:rsidRDefault="0000622C">
            <w:pPr>
              <w:pStyle w:val="Text1"/>
              <w:ind w:left="0"/>
              <w:rPr>
                <w:noProof/>
                <w:sz w:val="20"/>
              </w:rPr>
            </w:pPr>
            <w:r>
              <w:rPr>
                <w:noProof/>
                <w:sz w:val="20"/>
              </w:rPr>
              <w:t>AT, BE, BG, CZ, DE, EE, ES, HR, HU, L</w:t>
            </w:r>
            <w:r>
              <w:rPr>
                <w:noProof/>
                <w:sz w:val="20"/>
              </w:rPr>
              <w:t>U, LV, MT</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Luarea de măsuri pentru a avea în vedere în mod sistematic punerea în aplicare a soluțiilor inspirate din natură cu scopul reducerii riscurilor la inundații. </w:t>
            </w:r>
          </w:p>
        </w:tc>
        <w:tc>
          <w:tcPr>
            <w:tcW w:w="2357" w:type="dxa"/>
            <w:shd w:val="clear" w:color="auto" w:fill="auto"/>
            <w:vAlign w:val="center"/>
          </w:tcPr>
          <w:p w:rsidR="00A10D87" w:rsidRDefault="0000622C">
            <w:pPr>
              <w:pStyle w:val="Text1"/>
              <w:ind w:left="0"/>
              <w:rPr>
                <w:noProof/>
                <w:sz w:val="20"/>
              </w:rPr>
            </w:pPr>
            <w:r>
              <w:rPr>
                <w:noProof/>
                <w:sz w:val="20"/>
              </w:rPr>
              <w:t>CY</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pentru consolidarea considerațiilor privind schimbările climatice</w:t>
            </w:r>
            <w:r>
              <w:rPr>
                <w:noProof/>
                <w:sz w:val="20"/>
              </w:rPr>
              <w:t xml:space="preserve"> din cadrul planurilor de management al riscului la inundații, inclusiv coordonarea cu strategia națională de adaptare la schimbările climatice. </w:t>
            </w:r>
          </w:p>
        </w:tc>
        <w:tc>
          <w:tcPr>
            <w:tcW w:w="2357" w:type="dxa"/>
            <w:shd w:val="clear" w:color="auto" w:fill="auto"/>
            <w:vAlign w:val="center"/>
          </w:tcPr>
          <w:p w:rsidR="00A10D87" w:rsidRDefault="0000622C">
            <w:pPr>
              <w:pStyle w:val="Text1"/>
              <w:ind w:left="0"/>
              <w:rPr>
                <w:noProof/>
                <w:sz w:val="20"/>
              </w:rPr>
            </w:pPr>
            <w:r>
              <w:rPr>
                <w:noProof/>
                <w:sz w:val="20"/>
              </w:rPr>
              <w:t xml:space="preserve">FI, IT, LV </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pentru îmbunătățirea integrării etapelor succesive ale ciclului de management al</w:t>
            </w:r>
            <w:r>
              <w:rPr>
                <w:noProof/>
                <w:sz w:val="20"/>
              </w:rPr>
              <w:t xml:space="preserve"> riscului la inundații în planul de management al riscului la inundații.</w:t>
            </w:r>
          </w:p>
        </w:tc>
        <w:tc>
          <w:tcPr>
            <w:tcW w:w="2357" w:type="dxa"/>
            <w:shd w:val="clear" w:color="auto" w:fill="auto"/>
            <w:vAlign w:val="center"/>
          </w:tcPr>
          <w:p w:rsidR="00A10D87" w:rsidRDefault="0000622C">
            <w:pPr>
              <w:pStyle w:val="Text1"/>
              <w:ind w:left="0"/>
              <w:rPr>
                <w:noProof/>
                <w:sz w:val="20"/>
              </w:rPr>
            </w:pPr>
            <w:r>
              <w:rPr>
                <w:noProof/>
                <w:sz w:val="20"/>
              </w:rPr>
              <w:t>DK, FR, PL, PT, RO</w:t>
            </w:r>
          </w:p>
        </w:tc>
      </w:tr>
      <w:tr w:rsidR="00A10D87">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Luarea de măsuri pentru consolidarea coordonării între planurile de management al riscului la inundații și planurile de management al bazinelor hidrografice. </w:t>
            </w:r>
          </w:p>
        </w:tc>
        <w:tc>
          <w:tcPr>
            <w:tcW w:w="2357" w:type="dxa"/>
            <w:shd w:val="clear" w:color="auto" w:fill="auto"/>
            <w:vAlign w:val="center"/>
          </w:tcPr>
          <w:p w:rsidR="00A10D87" w:rsidRDefault="0000622C">
            <w:pPr>
              <w:pStyle w:val="Text1"/>
              <w:ind w:left="0"/>
              <w:rPr>
                <w:noProof/>
                <w:sz w:val="20"/>
              </w:rPr>
            </w:pPr>
            <w:r>
              <w:rPr>
                <w:noProof/>
                <w:sz w:val="20"/>
              </w:rPr>
              <w:t>SE</w:t>
            </w:r>
          </w:p>
        </w:tc>
      </w:tr>
      <w:tr w:rsidR="00A10D87">
        <w:trPr>
          <w:trHeight w:val="180"/>
        </w:trPr>
        <w:tc>
          <w:tcPr>
            <w:tcW w:w="7111" w:type="dxa"/>
            <w:shd w:val="clear" w:color="auto" w:fill="auto"/>
            <w:vAlign w:val="center"/>
          </w:tcPr>
          <w:p w:rsidR="00A10D87" w:rsidRDefault="0000622C">
            <w:pPr>
              <w:pStyle w:val="Text1"/>
              <w:numPr>
                <w:ilvl w:val="0"/>
                <w:numId w:val="2"/>
              </w:numPr>
              <w:rPr>
                <w:noProof/>
                <w:sz w:val="20"/>
              </w:rPr>
            </w:pPr>
            <w:r>
              <w:rPr>
                <w:noProof/>
                <w:sz w:val="20"/>
              </w:rPr>
              <w:t>Luarea de măsuri în vederea clarificării statutului juridic al planului de management al riscului la inundații.</w:t>
            </w:r>
          </w:p>
        </w:tc>
        <w:tc>
          <w:tcPr>
            <w:tcW w:w="2357" w:type="dxa"/>
            <w:shd w:val="clear" w:color="auto" w:fill="auto"/>
            <w:vAlign w:val="center"/>
          </w:tcPr>
          <w:p w:rsidR="00A10D87" w:rsidRDefault="0000622C">
            <w:pPr>
              <w:pStyle w:val="Text1"/>
              <w:ind w:left="0"/>
              <w:rPr>
                <w:noProof/>
                <w:sz w:val="20"/>
              </w:rPr>
            </w:pPr>
            <w:r>
              <w:rPr>
                <w:noProof/>
                <w:sz w:val="20"/>
              </w:rPr>
              <w:t>LT</w:t>
            </w:r>
          </w:p>
        </w:tc>
      </w:tr>
      <w:tr w:rsidR="00A10D87">
        <w:trPr>
          <w:trHeight w:val="180"/>
        </w:trPr>
        <w:tc>
          <w:tcPr>
            <w:tcW w:w="7111" w:type="dxa"/>
            <w:shd w:val="clear" w:color="auto" w:fill="auto"/>
            <w:vAlign w:val="center"/>
          </w:tcPr>
          <w:p w:rsidR="00A10D87" w:rsidRDefault="0000622C">
            <w:pPr>
              <w:pStyle w:val="Text1"/>
              <w:numPr>
                <w:ilvl w:val="0"/>
                <w:numId w:val="2"/>
              </w:numPr>
              <w:rPr>
                <w:noProof/>
                <w:sz w:val="20"/>
              </w:rPr>
            </w:pPr>
            <w:r>
              <w:rPr>
                <w:noProof/>
                <w:sz w:val="20"/>
              </w:rPr>
              <w:t xml:space="preserve">Finalizarea urgentă a punerii în aplicare a Directivei privind tratarea apelor urbane reziduale (DTAUR) pentru toate aglomerările. </w:t>
            </w:r>
            <w:r>
              <w:rPr>
                <w:noProof/>
                <w:sz w:val="20"/>
              </w:rPr>
              <w:t>Continuarea acordării de prioritate investițiilor pentru instalații de tratare a apelor urbane reziduale, inclusiv prin utilizarea eficientă a fondurilor UE, acolo unde este cazul.</w:t>
            </w:r>
          </w:p>
        </w:tc>
        <w:tc>
          <w:tcPr>
            <w:tcW w:w="2357" w:type="dxa"/>
            <w:shd w:val="clear" w:color="auto" w:fill="auto"/>
            <w:vAlign w:val="center"/>
          </w:tcPr>
          <w:p w:rsidR="00A10D87" w:rsidRDefault="0000622C">
            <w:pPr>
              <w:pStyle w:val="Text1"/>
              <w:ind w:left="0"/>
              <w:rPr>
                <w:noProof/>
                <w:sz w:val="20"/>
              </w:rPr>
            </w:pPr>
            <w:r>
              <w:rPr>
                <w:noProof/>
                <w:sz w:val="20"/>
              </w:rPr>
              <w:t>BG, CY, EL, ES, FR, HR, HU, IE, IT, LT, LU, LV, MT, PL, PT, RO, SI, SK</w:t>
            </w:r>
          </w:p>
        </w:tc>
      </w:tr>
      <w:tr w:rsidR="00A10D87">
        <w:trPr>
          <w:cantSplit/>
        </w:trPr>
        <w:tc>
          <w:tcPr>
            <w:tcW w:w="9468" w:type="dxa"/>
            <w:gridSpan w:val="2"/>
            <w:shd w:val="clear" w:color="auto" w:fill="C6D9F1" w:themeFill="text2" w:themeFillTint="33"/>
            <w:vAlign w:val="center"/>
          </w:tcPr>
          <w:p w:rsidR="00A10D87" w:rsidRDefault="0000622C">
            <w:pPr>
              <w:pStyle w:val="Text1"/>
              <w:keepLines/>
              <w:spacing w:after="0"/>
              <w:ind w:left="0"/>
              <w:rPr>
                <w:b/>
                <w:noProof/>
                <w:sz w:val="20"/>
              </w:rPr>
            </w:pPr>
            <w:r>
              <w:rPr>
                <w:b/>
                <w:noProof/>
                <w:sz w:val="20"/>
              </w:rPr>
              <w:t>Fin</w:t>
            </w:r>
            <w:r>
              <w:rPr>
                <w:b/>
                <w:noProof/>
                <w:sz w:val="20"/>
              </w:rPr>
              <w:t>anțarea pentru mediu și investițiile</w:t>
            </w:r>
          </w:p>
        </w:tc>
      </w:tr>
      <w:tr w:rsidR="00A10D87">
        <w:trPr>
          <w:cantSplit/>
        </w:trPr>
        <w:tc>
          <w:tcPr>
            <w:tcW w:w="7111" w:type="dxa"/>
            <w:vAlign w:val="center"/>
          </w:tcPr>
          <w:p w:rsidR="00A10D87" w:rsidRDefault="0000622C">
            <w:pPr>
              <w:pStyle w:val="Text1"/>
              <w:keepLines/>
              <w:numPr>
                <w:ilvl w:val="0"/>
                <w:numId w:val="2"/>
              </w:numPr>
              <w:rPr>
                <w:noProof/>
                <w:sz w:val="20"/>
              </w:rPr>
            </w:pPr>
            <w:r>
              <w:rPr>
                <w:noProof/>
                <w:sz w:val="20"/>
              </w:rPr>
              <w:t xml:space="preserve">Asigurarea finanțării adecvate, inclusiv prin mobilizarea investițiilor și utilizarea fondurilor UE, în vederea abordării principalelor provocări de mediu care afectează țara. </w:t>
            </w:r>
          </w:p>
        </w:tc>
        <w:tc>
          <w:tcPr>
            <w:tcW w:w="2357" w:type="dxa"/>
            <w:vAlign w:val="center"/>
          </w:tcPr>
          <w:p w:rsidR="00A10D87" w:rsidRDefault="0000622C">
            <w:pPr>
              <w:pStyle w:val="Text1"/>
              <w:ind w:left="0"/>
              <w:rPr>
                <w:noProof/>
                <w:sz w:val="20"/>
              </w:rPr>
            </w:pPr>
            <w:r>
              <w:rPr>
                <w:noProof/>
                <w:sz w:val="20"/>
              </w:rPr>
              <w:t>AT, BG, DE, EL, ES, FI, FR, HU, IT, LU, N</w:t>
            </w:r>
            <w:r>
              <w:rPr>
                <w:noProof/>
                <w:sz w:val="20"/>
              </w:rPr>
              <w:t>L, PT, RO, SE, SI, UK</w:t>
            </w:r>
          </w:p>
        </w:tc>
      </w:tr>
      <w:tr w:rsidR="00A10D87">
        <w:trPr>
          <w:cantSplit/>
        </w:trPr>
        <w:tc>
          <w:tcPr>
            <w:tcW w:w="7111" w:type="dxa"/>
            <w:vAlign w:val="center"/>
          </w:tcPr>
          <w:p w:rsidR="00A10D87" w:rsidRDefault="0000622C">
            <w:pPr>
              <w:pStyle w:val="Text1"/>
              <w:keepLines/>
              <w:numPr>
                <w:ilvl w:val="0"/>
                <w:numId w:val="2"/>
              </w:numPr>
              <w:rPr>
                <w:noProof/>
                <w:sz w:val="20"/>
              </w:rPr>
            </w:pPr>
            <w:r>
              <w:rPr>
                <w:noProof/>
                <w:sz w:val="20"/>
              </w:rPr>
              <w:t>Îmbunătățirea capacității de utilizare eficace a fondurilor UE pentru mediu, inclusiv pregătirea pentru următoarea perioadă de finanțare 2021-2027.</w:t>
            </w:r>
          </w:p>
        </w:tc>
        <w:tc>
          <w:tcPr>
            <w:tcW w:w="2357" w:type="dxa"/>
            <w:vAlign w:val="center"/>
          </w:tcPr>
          <w:p w:rsidR="00A10D87" w:rsidRDefault="0000622C">
            <w:pPr>
              <w:pStyle w:val="Text1"/>
              <w:ind w:left="0"/>
              <w:rPr>
                <w:noProof/>
                <w:sz w:val="20"/>
              </w:rPr>
            </w:pPr>
            <w:r>
              <w:rPr>
                <w:noProof/>
                <w:sz w:val="20"/>
              </w:rPr>
              <w:t>CZ, EE, EL, HR, LT, LV, PL, RO, SK</w:t>
            </w:r>
          </w:p>
        </w:tc>
      </w:tr>
      <w:tr w:rsidR="00A10D87">
        <w:tc>
          <w:tcPr>
            <w:tcW w:w="9468" w:type="dxa"/>
            <w:gridSpan w:val="2"/>
            <w:shd w:val="clear" w:color="auto" w:fill="C6D9F1" w:themeFill="text2" w:themeFillTint="33"/>
            <w:vAlign w:val="center"/>
          </w:tcPr>
          <w:p w:rsidR="00A10D87" w:rsidRDefault="0000622C">
            <w:pPr>
              <w:pStyle w:val="Text1"/>
              <w:spacing w:after="0"/>
              <w:ind w:left="0"/>
              <w:rPr>
                <w:noProof/>
                <w:sz w:val="20"/>
              </w:rPr>
            </w:pPr>
            <w:r>
              <w:rPr>
                <w:b/>
                <w:noProof/>
                <w:sz w:val="20"/>
              </w:rPr>
              <w:t>Informarea, participarea publicului și accesul la</w:t>
            </w:r>
            <w:r>
              <w:rPr>
                <w:b/>
                <w:noProof/>
                <w:sz w:val="20"/>
              </w:rPr>
              <w:t xml:space="preserve"> justiție</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Îmbunătățirea accesului la date și servicii spațiale prin crearea unor legături mai strânse între portalurile INSPIRE ale țării, identificarea și documentarea tuturor seturilor de date spațiale necesare pentru punerea în aplicare a legislației î</w:t>
            </w:r>
            <w:r>
              <w:rPr>
                <w:noProof/>
                <w:sz w:val="20"/>
              </w:rPr>
              <w:t>n domeniul mediului și punerea la dispoziția autorităților publice și a publicului a datelor și a documentației cel puțin „așa cum există”, prin intermediul serviciilor digitale prevăzute în Directiva INSPIRE.</w:t>
            </w:r>
          </w:p>
        </w:tc>
        <w:tc>
          <w:tcPr>
            <w:tcW w:w="2357" w:type="dxa"/>
            <w:shd w:val="clear" w:color="auto" w:fill="auto"/>
            <w:vAlign w:val="center"/>
          </w:tcPr>
          <w:p w:rsidR="00A10D87" w:rsidRDefault="0000622C">
            <w:pPr>
              <w:spacing w:after="120"/>
              <w:jc w:val="both"/>
              <w:rPr>
                <w:noProof/>
              </w:rPr>
            </w:pPr>
            <w:r>
              <w:rPr>
                <w:noProof/>
              </w:rPr>
              <w:t>Toate statele membre</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Facilitarea participării</w:t>
            </w:r>
            <w:r>
              <w:rPr>
                <w:noProof/>
                <w:sz w:val="20"/>
              </w:rPr>
              <w:t xml:space="preserve"> publicului la punerea în aplicare a legislației de mediu a UE.</w:t>
            </w:r>
          </w:p>
        </w:tc>
        <w:tc>
          <w:tcPr>
            <w:tcW w:w="2357" w:type="dxa"/>
            <w:shd w:val="clear" w:color="auto" w:fill="auto"/>
            <w:vAlign w:val="center"/>
          </w:tcPr>
          <w:p w:rsidR="00A10D87" w:rsidRDefault="0000622C">
            <w:pPr>
              <w:spacing w:after="120"/>
              <w:jc w:val="both"/>
              <w:rPr>
                <w:noProof/>
              </w:rPr>
            </w:pPr>
            <w:r>
              <w:rPr>
                <w:noProof/>
              </w:rPr>
              <w:t>BE, CZ, HU, LT, PL, RO, SI</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Asigurarea faptului că ONG-urile din domeniul protecției mediului beneficiază de calitate procesuală pentru a putea introduce căi de atac în probleme de mediu, acol</w:t>
            </w:r>
            <w:r>
              <w:rPr>
                <w:noProof/>
                <w:sz w:val="20"/>
              </w:rPr>
              <w:t xml:space="preserve">o unde este cazul, fără a se confrunta cu costuri prohibitive. </w:t>
            </w:r>
          </w:p>
        </w:tc>
        <w:tc>
          <w:tcPr>
            <w:tcW w:w="2357" w:type="dxa"/>
            <w:shd w:val="clear" w:color="auto" w:fill="auto"/>
            <w:vAlign w:val="center"/>
          </w:tcPr>
          <w:p w:rsidR="00A10D87" w:rsidRDefault="0000622C">
            <w:pPr>
              <w:spacing w:after="120"/>
              <w:jc w:val="both"/>
              <w:rPr>
                <w:noProof/>
              </w:rPr>
            </w:pPr>
            <w:r>
              <w:rPr>
                <w:noProof/>
              </w:rPr>
              <w:t>BG, CY, FI, HR, HU, IE, LT, LU, MT, PL, RO</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O mai bună informare a publicului cu privire la drepturile de acces la justiție.</w:t>
            </w:r>
          </w:p>
        </w:tc>
        <w:tc>
          <w:tcPr>
            <w:tcW w:w="2357" w:type="dxa"/>
            <w:shd w:val="clear" w:color="auto" w:fill="auto"/>
            <w:vAlign w:val="center"/>
          </w:tcPr>
          <w:p w:rsidR="00A10D87" w:rsidRDefault="0000622C">
            <w:pPr>
              <w:spacing w:after="120"/>
              <w:jc w:val="both"/>
              <w:rPr>
                <w:noProof/>
              </w:rPr>
            </w:pPr>
            <w:r>
              <w:rPr>
                <w:noProof/>
              </w:rPr>
              <w:t>AT, BE, CY, EE, EL, ES, FI, FR, HR, IE, IT, LU, LV, MT, NL, PT, RO,</w:t>
            </w:r>
            <w:r>
              <w:rPr>
                <w:noProof/>
              </w:rPr>
              <w:t xml:space="preserve"> SE, SK, UK</w:t>
            </w:r>
          </w:p>
        </w:tc>
      </w:tr>
      <w:tr w:rsidR="00A10D87">
        <w:tc>
          <w:tcPr>
            <w:tcW w:w="9468" w:type="dxa"/>
            <w:gridSpan w:val="2"/>
            <w:shd w:val="clear" w:color="auto" w:fill="C6D9F1" w:themeFill="text2" w:themeFillTint="33"/>
            <w:vAlign w:val="center"/>
          </w:tcPr>
          <w:p w:rsidR="00A10D87" w:rsidRDefault="0000622C">
            <w:pPr>
              <w:pStyle w:val="Text1"/>
              <w:spacing w:after="0"/>
              <w:ind w:left="0"/>
              <w:rPr>
                <w:noProof/>
                <w:sz w:val="20"/>
              </w:rPr>
            </w:pPr>
            <w:r>
              <w:rPr>
                <w:b/>
                <w:noProof/>
                <w:sz w:val="20"/>
              </w:rPr>
              <w:t>Asigurarea conformității</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O mai bună informare a publicului cu privire la acțiunile de promovare a conformității, monitorizare și punere în aplicare.</w:t>
            </w:r>
          </w:p>
        </w:tc>
        <w:tc>
          <w:tcPr>
            <w:tcW w:w="2357" w:type="dxa"/>
            <w:shd w:val="clear" w:color="auto" w:fill="auto"/>
            <w:vAlign w:val="center"/>
          </w:tcPr>
          <w:p w:rsidR="00A10D87" w:rsidRDefault="0000622C">
            <w:pPr>
              <w:spacing w:after="120"/>
              <w:jc w:val="both"/>
              <w:rPr>
                <w:noProof/>
              </w:rPr>
            </w:pPr>
            <w:r>
              <w:rPr>
                <w:noProof/>
              </w:rPr>
              <w:t>Toate statele membre</w:t>
            </w:r>
          </w:p>
        </w:tc>
      </w:tr>
      <w:tr w:rsidR="00A10D87">
        <w:tc>
          <w:tcPr>
            <w:tcW w:w="7111" w:type="dxa"/>
            <w:vAlign w:val="center"/>
          </w:tcPr>
          <w:p w:rsidR="00A10D87" w:rsidRDefault="0000622C">
            <w:pPr>
              <w:pStyle w:val="ListParagraph"/>
              <w:widowControl w:val="0"/>
              <w:numPr>
                <w:ilvl w:val="0"/>
                <w:numId w:val="2"/>
              </w:numPr>
              <w:rPr>
                <w:noProof/>
                <w:sz w:val="20"/>
              </w:rPr>
            </w:pPr>
            <w:r>
              <w:rPr>
                <w:noProof/>
                <w:sz w:val="20"/>
              </w:rPr>
              <w:t xml:space="preserve">Asigurarea de informații mai detaliate cu privire la modul de </w:t>
            </w:r>
            <w:r>
              <w:rPr>
                <w:noProof/>
                <w:sz w:val="20"/>
              </w:rPr>
              <w:t>colaborare a specialiștilor care se ocupă de infracțiunile împotriva mediului.</w:t>
            </w:r>
          </w:p>
        </w:tc>
        <w:tc>
          <w:tcPr>
            <w:tcW w:w="2357" w:type="dxa"/>
            <w:vAlign w:val="center"/>
          </w:tcPr>
          <w:p w:rsidR="00A10D87" w:rsidRDefault="0000622C">
            <w:pPr>
              <w:spacing w:after="120"/>
              <w:jc w:val="both"/>
              <w:rPr>
                <w:noProof/>
              </w:rPr>
            </w:pPr>
            <w:r>
              <w:rPr>
                <w:noProof/>
              </w:rPr>
              <w:t>AT, BE, BG, DK, EL, HR, HU, IE, LT, LU, LV, MT, NL, PL, SE, SI, SK, UK</w:t>
            </w:r>
          </w:p>
        </w:tc>
      </w:tr>
      <w:tr w:rsidR="00A10D87">
        <w:tc>
          <w:tcPr>
            <w:tcW w:w="7111" w:type="dxa"/>
            <w:vAlign w:val="center"/>
          </w:tcPr>
          <w:p w:rsidR="00A10D87" w:rsidRDefault="0000622C">
            <w:pPr>
              <w:pStyle w:val="ListParagraph"/>
              <w:numPr>
                <w:ilvl w:val="0"/>
                <w:numId w:val="2"/>
              </w:numPr>
              <w:rPr>
                <w:noProof/>
                <w:sz w:val="20"/>
              </w:rPr>
            </w:pPr>
            <w:r>
              <w:rPr>
                <w:noProof/>
                <w:sz w:val="20"/>
              </w:rPr>
              <w:t>Îmbunătățirea garanțiilor financiare pentru obligațiile care decurg din Directiva actuală privind răspund</w:t>
            </w:r>
            <w:r>
              <w:rPr>
                <w:noProof/>
                <w:sz w:val="20"/>
              </w:rPr>
              <w:t xml:space="preserve">erea pentru mediul înconjurător (DRM) și/sau din orientările pentru aplicarea DRM și/sau colectarea și publicarea de informații privind daunele asupra mediului. </w:t>
            </w:r>
          </w:p>
        </w:tc>
        <w:tc>
          <w:tcPr>
            <w:tcW w:w="2357" w:type="dxa"/>
            <w:shd w:val="clear" w:color="auto" w:fill="auto"/>
            <w:vAlign w:val="center"/>
          </w:tcPr>
          <w:p w:rsidR="00A10D87" w:rsidRDefault="0000622C">
            <w:pPr>
              <w:spacing w:after="120"/>
              <w:jc w:val="both"/>
              <w:rPr>
                <w:noProof/>
              </w:rPr>
            </w:pPr>
            <w:r>
              <w:rPr>
                <w:noProof/>
              </w:rPr>
              <w:t>AT, BE, BG, CY, CZ, DE, DK, EE, EL, FI, FR, HR, HU, IE, IT, LT, LU, LV, MT, NL, PL, RO, SE, SI</w:t>
            </w:r>
            <w:r>
              <w:rPr>
                <w:noProof/>
              </w:rPr>
              <w:t>, SK, UK</w:t>
            </w:r>
          </w:p>
        </w:tc>
      </w:tr>
      <w:tr w:rsidR="00A10D87">
        <w:trPr>
          <w:trHeight w:val="1115"/>
        </w:trPr>
        <w:tc>
          <w:tcPr>
            <w:tcW w:w="7111" w:type="dxa"/>
            <w:shd w:val="clear" w:color="auto" w:fill="auto"/>
            <w:vAlign w:val="center"/>
          </w:tcPr>
          <w:p w:rsidR="00A10D87" w:rsidRDefault="0000622C">
            <w:pPr>
              <w:pStyle w:val="ListParagraph"/>
              <w:numPr>
                <w:ilvl w:val="0"/>
                <w:numId w:val="2"/>
              </w:numPr>
              <w:rPr>
                <w:noProof/>
                <w:sz w:val="20"/>
              </w:rPr>
            </w:pPr>
            <w:r>
              <w:rPr>
                <w:noProof/>
                <w:sz w:val="20"/>
              </w:rPr>
              <w:t>Publicarea informațiilor privind rezultatul acțiunilor de punere în aplicare și privind urmărirea încălcărilor detectate de ecocondiționalitate privind nitrații și natura.</w:t>
            </w:r>
          </w:p>
        </w:tc>
        <w:tc>
          <w:tcPr>
            <w:tcW w:w="2357" w:type="dxa"/>
            <w:shd w:val="clear" w:color="auto" w:fill="auto"/>
            <w:vAlign w:val="center"/>
          </w:tcPr>
          <w:p w:rsidR="00A10D87" w:rsidRDefault="0000622C">
            <w:pPr>
              <w:pStyle w:val="Text1"/>
              <w:ind w:left="0"/>
              <w:rPr>
                <w:noProof/>
                <w:sz w:val="20"/>
              </w:rPr>
            </w:pPr>
            <w:r>
              <w:rPr>
                <w:noProof/>
                <w:sz w:val="20"/>
              </w:rPr>
              <w:t>AT, BE, BG, CY, DE, DK, EE, EL, ES, FI, FR, HR, IE, IT, LT, LU, LV, MT, NL</w:t>
            </w:r>
            <w:r>
              <w:rPr>
                <w:noProof/>
                <w:sz w:val="20"/>
              </w:rPr>
              <w:t>, PL, PT, RO, SE, SK, SI, UK</w:t>
            </w:r>
          </w:p>
        </w:tc>
      </w:tr>
      <w:tr w:rsidR="00A10D87">
        <w:tc>
          <w:tcPr>
            <w:tcW w:w="9468" w:type="dxa"/>
            <w:gridSpan w:val="2"/>
            <w:shd w:val="clear" w:color="auto" w:fill="C6D9F1" w:themeFill="text2" w:themeFillTint="33"/>
            <w:vAlign w:val="center"/>
          </w:tcPr>
          <w:p w:rsidR="00A10D87" w:rsidRDefault="0000622C">
            <w:pPr>
              <w:pStyle w:val="Text1"/>
              <w:spacing w:after="0"/>
              <w:ind w:left="0"/>
              <w:rPr>
                <w:b/>
                <w:noProof/>
                <w:sz w:val="20"/>
              </w:rPr>
            </w:pPr>
            <w:r>
              <w:rPr>
                <w:b/>
                <w:noProof/>
                <w:sz w:val="20"/>
              </w:rPr>
              <w:t>Eficacitatea administrațiilor de mediu</w:t>
            </w:r>
          </w:p>
        </w:tc>
      </w:tr>
      <w:tr w:rsidR="00A10D87">
        <w:tc>
          <w:tcPr>
            <w:tcW w:w="7111" w:type="dxa"/>
            <w:vAlign w:val="center"/>
          </w:tcPr>
          <w:p w:rsidR="00A10D87" w:rsidRDefault="0000622C">
            <w:pPr>
              <w:pStyle w:val="ListParagraph"/>
              <w:numPr>
                <w:ilvl w:val="0"/>
                <w:numId w:val="2"/>
              </w:numPr>
              <w:rPr>
                <w:noProof/>
                <w:sz w:val="20"/>
              </w:rPr>
            </w:pPr>
            <w:r>
              <w:rPr>
                <w:noProof/>
                <w:sz w:val="20"/>
              </w:rPr>
              <w:t xml:space="preserve">Îmbunătățirea continuă a guvernanței de mediu globale (cum ar fi transparența, implicarea cetățenilor, conformitatea și punerea în aplicare, precum și capacitatea și coordonarea </w:t>
            </w:r>
            <w:r>
              <w:rPr>
                <w:noProof/>
                <w:sz w:val="20"/>
              </w:rPr>
              <w:t>administrative).</w:t>
            </w:r>
          </w:p>
        </w:tc>
        <w:tc>
          <w:tcPr>
            <w:tcW w:w="2357" w:type="dxa"/>
            <w:shd w:val="clear" w:color="auto" w:fill="auto"/>
            <w:vAlign w:val="center"/>
          </w:tcPr>
          <w:p w:rsidR="00A10D87" w:rsidRDefault="0000622C">
            <w:pPr>
              <w:pStyle w:val="Text1"/>
              <w:ind w:left="0"/>
              <w:rPr>
                <w:noProof/>
                <w:sz w:val="20"/>
              </w:rPr>
            </w:pPr>
            <w:r>
              <w:rPr>
                <w:noProof/>
                <w:sz w:val="20"/>
              </w:rPr>
              <w:t>Toate statele membre</w:t>
            </w:r>
          </w:p>
        </w:tc>
      </w:tr>
      <w:tr w:rsidR="00A10D87">
        <w:tc>
          <w:tcPr>
            <w:tcW w:w="7111" w:type="dxa"/>
            <w:vAlign w:val="center"/>
          </w:tcPr>
          <w:p w:rsidR="00A10D87" w:rsidRDefault="0000622C">
            <w:pPr>
              <w:pStyle w:val="ListParagraph"/>
              <w:numPr>
                <w:ilvl w:val="0"/>
                <w:numId w:val="2"/>
              </w:numPr>
              <w:rPr>
                <w:noProof/>
                <w:sz w:val="20"/>
              </w:rPr>
            </w:pPr>
            <w:r>
              <w:rPr>
                <w:noProof/>
                <w:sz w:val="20"/>
              </w:rPr>
              <w:t>Transpunerea completă a Directivei privind evaluarea impactului asupra mediului (EIM).</w:t>
            </w:r>
          </w:p>
        </w:tc>
        <w:tc>
          <w:tcPr>
            <w:tcW w:w="2357" w:type="dxa"/>
            <w:shd w:val="clear" w:color="auto" w:fill="auto"/>
            <w:vAlign w:val="center"/>
          </w:tcPr>
          <w:p w:rsidR="00A10D87" w:rsidRDefault="0000622C">
            <w:pPr>
              <w:pStyle w:val="Text1"/>
              <w:ind w:left="0"/>
              <w:rPr>
                <w:noProof/>
                <w:sz w:val="20"/>
              </w:rPr>
            </w:pPr>
            <w:r>
              <w:rPr>
                <w:noProof/>
                <w:sz w:val="20"/>
              </w:rPr>
              <w:t>DE, LT</w:t>
            </w:r>
          </w:p>
        </w:tc>
      </w:tr>
      <w:tr w:rsidR="00A10D87">
        <w:tc>
          <w:tcPr>
            <w:tcW w:w="7111" w:type="dxa"/>
            <w:vAlign w:val="center"/>
          </w:tcPr>
          <w:p w:rsidR="00A10D87" w:rsidRDefault="0000622C">
            <w:pPr>
              <w:pStyle w:val="ListParagraph"/>
              <w:numPr>
                <w:ilvl w:val="0"/>
                <w:numId w:val="2"/>
              </w:numPr>
              <w:rPr>
                <w:noProof/>
                <w:sz w:val="20"/>
              </w:rPr>
            </w:pPr>
            <w:r>
              <w:rPr>
                <w:noProof/>
                <w:sz w:val="20"/>
              </w:rPr>
              <w:t xml:space="preserve">Soluționarea fragmentării la nivel regional și local prin dezvoltarea unor mecanisme mai bune de coordonare pentru mediu. </w:t>
            </w:r>
          </w:p>
        </w:tc>
        <w:tc>
          <w:tcPr>
            <w:tcW w:w="2357" w:type="dxa"/>
            <w:shd w:val="clear" w:color="auto" w:fill="auto"/>
            <w:vAlign w:val="center"/>
          </w:tcPr>
          <w:p w:rsidR="00A10D87" w:rsidRDefault="0000622C">
            <w:pPr>
              <w:pStyle w:val="Text1"/>
              <w:ind w:left="0"/>
              <w:rPr>
                <w:noProof/>
                <w:sz w:val="20"/>
              </w:rPr>
            </w:pPr>
            <w:r>
              <w:rPr>
                <w:noProof/>
                <w:sz w:val="20"/>
              </w:rPr>
              <w:t>EL, ES, IT</w:t>
            </w:r>
          </w:p>
        </w:tc>
      </w:tr>
      <w:tr w:rsidR="00A10D87">
        <w:tc>
          <w:tcPr>
            <w:tcW w:w="7111" w:type="dxa"/>
            <w:vAlign w:val="center"/>
          </w:tcPr>
          <w:p w:rsidR="00A10D87" w:rsidRDefault="0000622C">
            <w:pPr>
              <w:pStyle w:val="ListParagraph"/>
              <w:numPr>
                <w:ilvl w:val="0"/>
                <w:numId w:val="2"/>
              </w:numPr>
              <w:rPr>
                <w:noProof/>
                <w:sz w:val="20"/>
              </w:rPr>
            </w:pPr>
            <w:r>
              <w:rPr>
                <w:noProof/>
                <w:sz w:val="20"/>
              </w:rPr>
              <w:t xml:space="preserve">Continuarea depunerii de eforturi pentru simplificarea procedurilor de evaluare a mediului. </w:t>
            </w:r>
          </w:p>
        </w:tc>
        <w:tc>
          <w:tcPr>
            <w:tcW w:w="2357" w:type="dxa"/>
            <w:shd w:val="clear" w:color="auto" w:fill="auto"/>
            <w:vAlign w:val="center"/>
          </w:tcPr>
          <w:p w:rsidR="00A10D87" w:rsidRDefault="0000622C">
            <w:pPr>
              <w:pStyle w:val="Text1"/>
              <w:ind w:left="0"/>
              <w:rPr>
                <w:noProof/>
                <w:sz w:val="20"/>
              </w:rPr>
            </w:pPr>
            <w:r>
              <w:rPr>
                <w:noProof/>
                <w:sz w:val="20"/>
              </w:rPr>
              <w:t>BE, CZ, HR</w:t>
            </w:r>
          </w:p>
        </w:tc>
      </w:tr>
      <w:tr w:rsidR="00A10D87">
        <w:tc>
          <w:tcPr>
            <w:tcW w:w="9468" w:type="dxa"/>
            <w:gridSpan w:val="2"/>
            <w:shd w:val="clear" w:color="auto" w:fill="C6D9F1" w:themeFill="text2" w:themeFillTint="33"/>
            <w:vAlign w:val="center"/>
          </w:tcPr>
          <w:p w:rsidR="00A10D87" w:rsidRDefault="0000622C">
            <w:pPr>
              <w:pStyle w:val="Text1"/>
              <w:spacing w:after="0"/>
              <w:ind w:left="0"/>
              <w:rPr>
                <w:b/>
                <w:noProof/>
                <w:sz w:val="20"/>
              </w:rPr>
            </w:pPr>
            <w:r>
              <w:rPr>
                <w:b/>
                <w:noProof/>
                <w:sz w:val="20"/>
              </w:rPr>
              <w:t>Acorduri internaționale</w:t>
            </w:r>
          </w:p>
        </w:tc>
      </w:tr>
      <w:tr w:rsidR="00A10D87">
        <w:tc>
          <w:tcPr>
            <w:tcW w:w="7111" w:type="dxa"/>
            <w:vAlign w:val="center"/>
          </w:tcPr>
          <w:p w:rsidR="00A10D87" w:rsidRDefault="0000622C">
            <w:pPr>
              <w:pStyle w:val="Text1"/>
              <w:numPr>
                <w:ilvl w:val="0"/>
                <w:numId w:val="2"/>
              </w:numPr>
              <w:rPr>
                <w:noProof/>
                <w:sz w:val="20"/>
              </w:rPr>
            </w:pPr>
            <w:r>
              <w:rPr>
                <w:noProof/>
                <w:sz w:val="20"/>
              </w:rPr>
              <w:t>Participarea la acordurile de mediu multilaterale relevante, prin semnarea și ratificarea acordurilor rămase.</w:t>
            </w:r>
          </w:p>
        </w:tc>
        <w:tc>
          <w:tcPr>
            <w:tcW w:w="2357" w:type="dxa"/>
            <w:vAlign w:val="center"/>
          </w:tcPr>
          <w:p w:rsidR="00A10D87" w:rsidRDefault="0000622C">
            <w:pPr>
              <w:pStyle w:val="Text1"/>
              <w:ind w:left="0"/>
              <w:rPr>
                <w:noProof/>
                <w:sz w:val="20"/>
              </w:rPr>
            </w:pPr>
            <w:r>
              <w:rPr>
                <w:noProof/>
                <w:sz w:val="20"/>
              </w:rPr>
              <w:t>AT,</w:t>
            </w:r>
            <w:r>
              <w:rPr>
                <w:noProof/>
                <w:sz w:val="20"/>
              </w:rPr>
              <w:t xml:space="preserve"> BE, CY, CZ, EL, ES, FR, IE, IT, LT, LV, MT, PL, PT, RO, SI, SK</w:t>
            </w:r>
          </w:p>
        </w:tc>
      </w:tr>
    </w:tbl>
    <w:p w:rsidR="00A10D87" w:rsidRDefault="00A10D87">
      <w:pPr>
        <w:jc w:val="both"/>
        <w:rPr>
          <w:noProof/>
        </w:rPr>
      </w:pPr>
    </w:p>
    <w:sectPr w:rsidR="00A10D87">
      <w:headerReference w:type="even" r:id="rId24"/>
      <w:headerReference w:type="default" r:id="rId25"/>
      <w:footerReference w:type="even" r:id="rId26"/>
      <w:footerReference w:type="default" r:id="rId27"/>
      <w:headerReference w:type="first" r:id="rId28"/>
      <w:footerReference w:type="first" r:id="rId29"/>
      <w:pgSz w:w="11906" w:h="16838"/>
      <w:pgMar w:top="1134" w:right="1417" w:bottom="851"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87" w:rsidRDefault="0000622C">
      <w:pPr>
        <w:spacing w:after="0" w:line="240" w:lineRule="auto"/>
      </w:pPr>
      <w:r>
        <w:separator/>
      </w:r>
    </w:p>
  </w:endnote>
  <w:endnote w:type="continuationSeparator" w:id="0">
    <w:p w:rsidR="00A10D87" w:rsidRDefault="0000622C">
      <w:pPr>
        <w:spacing w:after="0" w:line="240" w:lineRule="auto"/>
      </w:pPr>
      <w:r>
        <w:continuationSeparator/>
      </w:r>
    </w:p>
  </w:endnote>
  <w:endnote w:type="continuationNotice" w:id="1">
    <w:p w:rsidR="00A10D87" w:rsidRDefault="00A10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FooterCoverPage"/>
      <w:rPr>
        <w:rFonts w:ascii="Arial" w:hAnsi="Arial" w:cs="Arial"/>
        <w:b/>
        <w:sz w:val="48"/>
      </w:rPr>
    </w:pPr>
    <w:r w:rsidRPr="0000622C">
      <w:rPr>
        <w:rFonts w:ascii="Arial" w:hAnsi="Arial" w:cs="Arial"/>
        <w:b/>
        <w:sz w:val="48"/>
      </w:rPr>
      <w:t>RO</w:t>
    </w:r>
    <w:r w:rsidRPr="0000622C">
      <w:rPr>
        <w:rFonts w:ascii="Arial" w:hAnsi="Arial" w:cs="Arial"/>
        <w:b/>
        <w:sz w:val="48"/>
      </w:rPr>
      <w:tab/>
    </w:r>
    <w:r w:rsidRPr="0000622C">
      <w:rPr>
        <w:rFonts w:ascii="Arial" w:hAnsi="Arial" w:cs="Arial"/>
        <w:b/>
        <w:sz w:val="48"/>
      </w:rPr>
      <w:tab/>
    </w:r>
    <w:r w:rsidRPr="0000622C">
      <w:tab/>
    </w:r>
    <w:r w:rsidRPr="0000622C">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4408"/>
      <w:docPartObj>
        <w:docPartGallery w:val="Page Numbers (Bottom of Page)"/>
        <w:docPartUnique/>
      </w:docPartObj>
    </w:sdtPr>
    <w:sdtEndPr>
      <w:rPr>
        <w:noProof/>
      </w:rPr>
    </w:sdtEndPr>
    <w:sdtContent>
      <w:p w:rsidR="00A10D87" w:rsidRDefault="0000622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2966"/>
      <w:docPartObj>
        <w:docPartGallery w:val="Page Numbers (Bottom of Page)"/>
        <w:docPartUnique/>
      </w:docPartObj>
    </w:sdtPr>
    <w:sdtEndPr>
      <w:rPr>
        <w:noProof/>
      </w:rPr>
    </w:sdtEndPr>
    <w:sdtContent>
      <w:p w:rsidR="00A10D87" w:rsidRDefault="000062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49879"/>
      <w:docPartObj>
        <w:docPartGallery w:val="Page Numbers (Bottom of Page)"/>
        <w:docPartUnique/>
      </w:docPartObj>
    </w:sdtPr>
    <w:sdtEndPr>
      <w:rPr>
        <w:noProof/>
      </w:rPr>
    </w:sdtEndPr>
    <w:sdtContent>
      <w:p w:rsidR="00A10D87" w:rsidRDefault="0000622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8988"/>
      <w:docPartObj>
        <w:docPartGallery w:val="Page Numbers (Bottom of Page)"/>
        <w:docPartUnique/>
      </w:docPartObj>
    </w:sdtPr>
    <w:sdtEndPr>
      <w:rPr>
        <w:noProof/>
      </w:rPr>
    </w:sdtEndPr>
    <w:sdtContent>
      <w:p w:rsidR="00A10D87" w:rsidRDefault="0000622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87" w:rsidRDefault="0000622C">
      <w:pPr>
        <w:spacing w:after="0" w:line="240" w:lineRule="auto"/>
      </w:pPr>
      <w:r>
        <w:separator/>
      </w:r>
    </w:p>
  </w:footnote>
  <w:footnote w:type="continuationSeparator" w:id="0">
    <w:p w:rsidR="00A10D87" w:rsidRDefault="0000622C">
      <w:pPr>
        <w:spacing w:after="0" w:line="240" w:lineRule="auto"/>
      </w:pPr>
      <w:r>
        <w:continuationSeparator/>
      </w:r>
    </w:p>
  </w:footnote>
  <w:footnote w:type="continuationNotice" w:id="1">
    <w:p w:rsidR="00A10D87" w:rsidRDefault="00A10D87">
      <w:pPr>
        <w:spacing w:after="0" w:line="240" w:lineRule="auto"/>
      </w:pPr>
    </w:p>
  </w:footnote>
  <w:footnote w:id="2">
    <w:p w:rsidR="00A10D87" w:rsidRDefault="0000622C">
      <w:pPr>
        <w:pStyle w:val="FootnoteText"/>
        <w:tabs>
          <w:tab w:val="left" w:pos="2552"/>
        </w:tabs>
        <w:rPr>
          <w:sz w:val="16"/>
          <w:szCs w:val="16"/>
          <w:lang w:eastAsia="en-GB"/>
        </w:rPr>
      </w:pPr>
      <w:r>
        <w:footnoteRef/>
      </w:r>
      <w:r>
        <w:t xml:space="preserve"> </w:t>
      </w:r>
      <w:r>
        <w:tab/>
      </w:r>
      <w:r>
        <w:rPr>
          <w:sz w:val="16"/>
        </w:rPr>
        <w:t>Acțiunile prioritare au fost incluse în fiecare raport de țară în funcție de informațiile de care dispune Comisia Eur</w:t>
      </w:r>
      <w:r>
        <w:rPr>
          <w:sz w:val="16"/>
        </w:rPr>
        <w:t>opeană, pentru a asigura tratamentul egal al tuturor statelor membre. Pentru a permite comparabilitatea, toate acțiunile prioritare au fost grupate în prezenta anexă pe grupuri de state membre care au primit recomandări similare. Din acest motiv, formulare</w:t>
      </w:r>
      <w:r>
        <w:rPr>
          <w:sz w:val="16"/>
        </w:rPr>
        <w:t xml:space="preserve">a din anexă poate fi mai puțin specifică decât cea din rapoartele de țară. </w:t>
      </w:r>
    </w:p>
  </w:footnote>
  <w:footnote w:id="3">
    <w:p w:rsidR="00A10D87" w:rsidRDefault="0000622C">
      <w:pPr>
        <w:pStyle w:val="FootnoteText"/>
      </w:pPr>
      <w:r>
        <w:rPr>
          <w:sz w:val="16"/>
        </w:rPr>
        <w:footnoteRef/>
      </w:r>
      <w:r>
        <w:rPr>
          <w:sz w:val="16"/>
        </w:rPr>
        <w:t xml:space="preserve"> </w:t>
      </w:r>
      <w:r>
        <w:tab/>
      </w:r>
      <w:r>
        <w:rPr>
          <w:sz w:val="16"/>
        </w:rPr>
        <w:t>Mai multe state membre au întârziat să raporteze măsurile luate în vederea conformării cu Directiva-cadru „Strategia pentru mediul marin”. Pentru aceste țări se aplică numai pri</w:t>
      </w:r>
      <w:r>
        <w:rPr>
          <w:sz w:val="16"/>
        </w:rPr>
        <w:t xml:space="preserve">ma acțiune prioritară, deoarece datele sunt insuficiente pentru a evalua progresele înregistrate începând din 2017 și pentru a evidenția noi provocări.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2C" w:rsidRPr="0000622C" w:rsidRDefault="0000622C" w:rsidP="0000622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7" w:rsidRDefault="00A10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in;height:810pt;visibility:visible;mso-wrap-style:square" o:bullet="t">
        <v:imagedata r:id="rId1" o:title="" croptop="42983f" cropbottom="21645f" cropleft="54648f" cropright="10334f"/>
      </v:shape>
    </w:pict>
  </w:numPicBullet>
  <w:abstractNum w:abstractNumId="0" w15:restartNumberingAfterBreak="0">
    <w:nsid w:val="02E6737D"/>
    <w:multiLevelType w:val="hybridMultilevel"/>
    <w:tmpl w:val="349E1EDA"/>
    <w:lvl w:ilvl="0" w:tplc="E8BADA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A5D"/>
    <w:multiLevelType w:val="hybridMultilevel"/>
    <w:tmpl w:val="EA9A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04E20BC9"/>
    <w:multiLevelType w:val="hybridMultilevel"/>
    <w:tmpl w:val="19345C86"/>
    <w:lvl w:ilvl="0" w:tplc="0EB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09C5"/>
    <w:multiLevelType w:val="hybridMultilevel"/>
    <w:tmpl w:val="956A9F1E"/>
    <w:lvl w:ilvl="0" w:tplc="D8BE8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0C77D0"/>
    <w:multiLevelType w:val="hybridMultilevel"/>
    <w:tmpl w:val="F4A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1607"/>
    <w:multiLevelType w:val="hybridMultilevel"/>
    <w:tmpl w:val="34EA3B38"/>
    <w:lvl w:ilvl="0" w:tplc="52A4E736">
      <w:start w:val="1"/>
      <w:numFmt w:val="bullet"/>
      <w:pStyle w:val="SuggA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4FFD"/>
    <w:multiLevelType w:val="hybridMultilevel"/>
    <w:tmpl w:val="D29A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C53E7C98"/>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A3347"/>
    <w:multiLevelType w:val="hybridMultilevel"/>
    <w:tmpl w:val="AAEEFE7E"/>
    <w:lvl w:ilvl="0" w:tplc="AEBE3B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047D"/>
    <w:multiLevelType w:val="hybridMultilevel"/>
    <w:tmpl w:val="86D03B10"/>
    <w:lvl w:ilvl="0" w:tplc="2ABA7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3461292"/>
    <w:multiLevelType w:val="hybridMultilevel"/>
    <w:tmpl w:val="AFE0C6AA"/>
    <w:lvl w:ilvl="0" w:tplc="EAD0B41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E14F91"/>
    <w:multiLevelType w:val="hybridMultilevel"/>
    <w:tmpl w:val="5EAEC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C31F5"/>
    <w:multiLevelType w:val="hybridMultilevel"/>
    <w:tmpl w:val="2A046A92"/>
    <w:lvl w:ilvl="0" w:tplc="DFA6A5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692A"/>
    <w:multiLevelType w:val="hybridMultilevel"/>
    <w:tmpl w:val="E52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D7940"/>
    <w:multiLevelType w:val="hybridMultilevel"/>
    <w:tmpl w:val="A28C8044"/>
    <w:lvl w:ilvl="0" w:tplc="CF3A71A8">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5"/>
  </w:num>
  <w:num w:numId="4">
    <w:abstractNumId w:val="10"/>
  </w:num>
  <w:num w:numId="5">
    <w:abstractNumId w:val="1"/>
  </w:num>
  <w:num w:numId="6">
    <w:abstractNumId w:val="21"/>
  </w:num>
  <w:num w:numId="7">
    <w:abstractNumId w:val="6"/>
  </w:num>
  <w:num w:numId="8">
    <w:abstractNumId w:val="6"/>
  </w:num>
  <w:num w:numId="9">
    <w:abstractNumId w:val="16"/>
  </w:num>
  <w:num w:numId="10">
    <w:abstractNumId w:val="6"/>
  </w:num>
  <w:num w:numId="11">
    <w:abstractNumId w:val="22"/>
  </w:num>
  <w:num w:numId="12">
    <w:abstractNumId w:val="3"/>
  </w:num>
  <w:num w:numId="13">
    <w:abstractNumId w:val="6"/>
  </w:num>
  <w:num w:numId="14">
    <w:abstractNumId w:val="13"/>
  </w:num>
  <w:num w:numId="15">
    <w:abstractNumId w:val="17"/>
  </w:num>
  <w:num w:numId="16">
    <w:abstractNumId w:val="9"/>
  </w:num>
  <w:num w:numId="17">
    <w:abstractNumId w:val="18"/>
  </w:num>
  <w:num w:numId="18">
    <w:abstractNumId w:val="7"/>
  </w:num>
  <w:num w:numId="19">
    <w:abstractNumId w:val="19"/>
  </w:num>
  <w:num w:numId="20">
    <w:abstractNumId w:val="4"/>
  </w:num>
  <w:num w:numId="21">
    <w:abstractNumId w:val="0"/>
  </w:num>
  <w:num w:numId="22">
    <w:abstractNumId w:val="8"/>
  </w:num>
  <w:num w:numId="23">
    <w:abstractNumId w:val="11"/>
  </w:num>
  <w:num w:numId="24">
    <w:abstractNumId w:val="15"/>
  </w:num>
  <w:num w:numId="25">
    <w:abstractNumId w:val="14"/>
  </w:num>
  <w:num w:numId="26">
    <w:abstractNumId w:val="12"/>
  </w:num>
  <w:num w:numId="27">
    <w:abstractNumId w:val="24"/>
  </w:num>
  <w:num w:numId="28">
    <w:abstractNumId w:val="2"/>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nb-NO"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da-DK" w:vendorID="64" w:dllVersion="131078" w:nlCheck="1" w:checkStyle="0"/>
  <w:activeWritingStyle w:appName="MSWord" w:lang="en-US" w:vendorID="64" w:dllVersion="131078" w:nlCheck="1" w:checkStyle="1"/>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1"/>
    <w:docVar w:name="LW_CORRIGENDUM" w:val="&lt;UNUSED&gt;"/>
    <w:docVar w:name="LW_COVERPAGE_EXISTS" w:val="True"/>
    <w:docVar w:name="LW_COVERPAGE_GUID" w:val="E94D7AA4-13DF-4558-A37D-693DD89D72A0"/>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Evaluarea punerii în aplicare a politicilor de mediu 2019:  _x000b_o Europ\u259? care î\u537?i protejeaz\u259? cet\u259?\u539?enii \u537?i amelioreaz\u259? calitatea vie\u539?ii acestora_x000b_"/>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COMUNICAREA COMISIEI C\u258?TRE PARLAMENTUL EUROPEAN, CONSILIU, COMITETUL ECONOMIC \u536?I SOCIAL EUROPEAN \u536?I COMITETUL REGIUNILOR"/>
  </w:docVars>
  <w:rsids>
    <w:rsidRoot w:val="00A10D87"/>
    <w:rsid w:val="0000622C"/>
    <w:rsid w:val="00A10D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66236-1566-4142-BA87-C51AAB4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
      </w:numPr>
      <w:suppressAutoHyphens/>
      <w:autoSpaceDN w:val="0"/>
      <w:spacing w:before="240" w:line="240" w:lineRule="auto"/>
      <w:jc w:val="both"/>
      <w:textAlignment w:val="baseline"/>
      <w:outlineLvl w:val="0"/>
    </w:pPr>
    <w:rPr>
      <w:rFonts w:ascii="Times New Roman" w:eastAsia="Calibri" w:hAnsi="Times New Roman" w:cs="Times New Roman"/>
      <w:b/>
      <w:bCs/>
      <w:smallCaps/>
      <w:sz w:val="24"/>
      <w:szCs w:val="24"/>
    </w:rPr>
  </w:style>
  <w:style w:type="paragraph" w:styleId="Heading2">
    <w:name w:val="heading 2"/>
    <w:basedOn w:val="Normal"/>
    <w:next w:val="Normal"/>
    <w:link w:val="Heading2Char"/>
    <w:qFormat/>
    <w:pPr>
      <w:keepNext/>
      <w:numPr>
        <w:ilvl w:val="1"/>
        <w:numId w:val="1"/>
      </w:numPr>
      <w:suppressAutoHyphens/>
      <w:autoSpaceDN w:val="0"/>
      <w:spacing w:after="120" w:line="240" w:lineRule="auto"/>
      <w:jc w:val="both"/>
      <w:textAlignment w:val="baseline"/>
      <w:outlineLvl w:val="1"/>
    </w:pPr>
    <w:rPr>
      <w:rFonts w:ascii="Times New Roman" w:eastAsia="Calibri" w:hAnsi="Times New Roman" w:cs="Times New Roman"/>
      <w:b/>
      <w:sz w:val="24"/>
    </w:rPr>
  </w:style>
  <w:style w:type="paragraph" w:styleId="Heading3">
    <w:name w:val="heading 3"/>
    <w:basedOn w:val="Normal"/>
    <w:next w:val="Normal"/>
    <w:link w:val="Heading3Char"/>
    <w:qFormat/>
    <w:pPr>
      <w:keepNext/>
      <w:numPr>
        <w:ilvl w:val="2"/>
        <w:numId w:val="1"/>
      </w:numPr>
      <w:suppressAutoHyphens/>
      <w:autoSpaceDN w:val="0"/>
      <w:spacing w:after="120" w:line="240" w:lineRule="auto"/>
      <w:jc w:val="both"/>
      <w:textAlignment w:val="baseline"/>
      <w:outlineLvl w:val="2"/>
    </w:pPr>
    <w:rPr>
      <w:rFonts w:ascii="Times New Roman" w:eastAsia="Calibri" w:hAnsi="Times New Roman" w:cs="Times New Roman"/>
      <w:b/>
      <w:sz w:val="24"/>
    </w:rPr>
  </w:style>
  <w:style w:type="paragraph" w:styleId="Heading4">
    <w:name w:val="heading 4"/>
    <w:basedOn w:val="Normal"/>
    <w:next w:val="Normal"/>
    <w:link w:val="Heading4Char"/>
    <w:qFormat/>
    <w:pPr>
      <w:keepNext/>
      <w:numPr>
        <w:ilvl w:val="3"/>
        <w:numId w:val="1"/>
      </w:numPr>
      <w:suppressAutoHyphens/>
      <w:autoSpaceDN w:val="0"/>
      <w:spacing w:after="120" w:line="240" w:lineRule="auto"/>
      <w:jc w:val="both"/>
      <w:textAlignment w:val="baseline"/>
      <w:outlineLvl w:val="3"/>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Calibri" w:hAnsi="Times New Roman" w:cs="Times New Roman"/>
      <w:b/>
      <w:bCs/>
      <w:smallCaps/>
      <w:sz w:val="24"/>
      <w:szCs w:val="24"/>
    </w:rPr>
  </w:style>
  <w:style w:type="character" w:customStyle="1" w:styleId="Heading2Char">
    <w:name w:val="Heading 2 Char"/>
    <w:basedOn w:val="DefaultParagraphFont"/>
    <w:link w:val="Heading2"/>
    <w:rPr>
      <w:rFonts w:ascii="Times New Roman" w:eastAsia="Calibri" w:hAnsi="Times New Roman" w:cs="Times New Roman"/>
      <w:b/>
      <w:sz w:val="24"/>
    </w:rPr>
  </w:style>
  <w:style w:type="character" w:customStyle="1" w:styleId="Heading3Char">
    <w:name w:val="Heading 3 Char"/>
    <w:basedOn w:val="DefaultParagraphFont"/>
    <w:link w:val="Heading3"/>
    <w:rPr>
      <w:rFonts w:ascii="Times New Roman" w:eastAsia="Calibri" w:hAnsi="Times New Roman" w:cs="Times New Roman"/>
      <w:b/>
      <w:sz w:val="24"/>
    </w:rPr>
  </w:style>
  <w:style w:type="character" w:customStyle="1" w:styleId="Heading4Char">
    <w:name w:val="Heading 4 Char"/>
    <w:basedOn w:val="DefaultParagraphFont"/>
    <w:link w:val="Heading4"/>
    <w:rPr>
      <w:rFonts w:ascii="Times New Roman" w:eastAsia="Calibri" w:hAnsi="Times New Roman" w:cs="Times New Roman"/>
      <w:sz w:val="24"/>
    </w:rPr>
  </w:style>
  <w:style w:type="paragraph" w:customStyle="1" w:styleId="Text1">
    <w:name w:val="Text 1"/>
    <w:basedOn w:val="Normal"/>
    <w:pPr>
      <w:suppressAutoHyphens/>
      <w:autoSpaceDN w:val="0"/>
      <w:spacing w:after="120" w:line="240" w:lineRule="auto"/>
      <w:ind w:left="482"/>
      <w:jc w:val="both"/>
      <w:textAlignment w:val="baseline"/>
    </w:pPr>
    <w:rPr>
      <w:rFonts w:ascii="Times New Roman" w:eastAsia="Calibri" w:hAnsi="Times New Roman" w:cs="Times New Roman"/>
      <w:sz w:val="24"/>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qFormat/>
    <w:pPr>
      <w:suppressAutoHyphens/>
      <w:autoSpaceDN w:val="0"/>
      <w:spacing w:after="60" w:line="240" w:lineRule="auto"/>
      <w:ind w:left="357" w:hanging="357"/>
      <w:jc w:val="both"/>
      <w:textAlignment w:val="baseline"/>
    </w:pPr>
    <w:rPr>
      <w:rFonts w:ascii="Times New Roman" w:eastAsia="Calibri" w:hAnsi="Times New Roman" w:cs="Times New Roman"/>
      <w:sz w:val="18"/>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rPr>
      <w:rFonts w:ascii="Times New Roman" w:eastAsia="Calibri" w:hAnsi="Times New Roman" w:cs="Times New Roman"/>
      <w:sz w:val="18"/>
    </w:rPr>
  </w:style>
  <w:style w:type="paragraph" w:styleId="ListParagraph">
    <w:name w:val="List Paragraph"/>
    <w:aliases w:val="Heading 2_sj,List Paragraph1,Bullet List Paragraph"/>
    <w:basedOn w:val="Normal"/>
    <w:link w:val="ListParagraphChar"/>
    <w:uiPriority w:val="34"/>
    <w:qFormat/>
    <w:pPr>
      <w:suppressAutoHyphens/>
      <w:autoSpaceDN w:val="0"/>
      <w:spacing w:after="120" w:line="240" w:lineRule="auto"/>
      <w:ind w:left="720"/>
      <w:jc w:val="both"/>
      <w:textAlignment w:val="baseline"/>
    </w:pPr>
    <w:rPr>
      <w:rFonts w:ascii="Times New Roman" w:eastAsia="Calibri" w:hAnsi="Times New Roman" w:cs="Times New Roman"/>
      <w:sz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
    <w:uiPriority w:val="1"/>
    <w:qFormat/>
    <w:pPr>
      <w:numPr>
        <w:numId w:val="6"/>
      </w:numPr>
      <w:spacing w:after="0" w:line="240" w:lineRule="auto"/>
      <w:ind w:left="170" w:hanging="170"/>
      <w:jc w:val="both"/>
    </w:pPr>
    <w:rPr>
      <w:rFonts w:ascii="Calibri" w:eastAsia="Calibri" w:hAnsi="Calibri" w:cs="Times New Roman"/>
      <w:sz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ggActions">
    <w:name w:val="SuggActions"/>
    <w:basedOn w:val="ListParagraph"/>
    <w:link w:val="SuggActionsChar"/>
    <w:autoRedefine/>
    <w:qFormat/>
    <w:pPr>
      <w:widowControl w:val="0"/>
      <w:numPr>
        <w:numId w:val="7"/>
      </w:numPr>
      <w:suppressAutoHyphens w:val="0"/>
      <w:autoSpaceDN/>
      <w:spacing w:after="0"/>
      <w:textAlignment w:val="auto"/>
    </w:pPr>
    <w:rPr>
      <w:rFonts w:asciiTheme="minorHAnsi" w:hAnsiTheme="minorHAnsi" w:cstheme="minorBidi"/>
      <w:noProof/>
      <w:sz w:val="20"/>
      <w:szCs w:val="20"/>
    </w:rPr>
  </w:style>
  <w:style w:type="character" w:customStyle="1" w:styleId="SuggActionsChar">
    <w:name w:val="SuggActions Char"/>
    <w:basedOn w:val="DefaultParagraphFont"/>
    <w:link w:val="SuggActions"/>
    <w:rPr>
      <w:rFonts w:eastAsia="Calibri"/>
      <w:noProof/>
      <w:sz w:val="20"/>
      <w:szCs w:val="20"/>
      <w:lang w:eastAsia="ro-RO"/>
    </w:rPr>
  </w:style>
  <w:style w:type="character" w:customStyle="1" w:styleId="ListParagraphChar">
    <w:name w:val="List Paragraph Char"/>
    <w:aliases w:val="Heading 2_sj Char,List Paragraph1 Char,Bullet List Paragraph Char"/>
    <w:link w:val="ListParagraph"/>
    <w:uiPriority w:val="34"/>
    <w:locked/>
    <w:rPr>
      <w:rFonts w:ascii="Times New Roman" w:eastAsia="Calibri"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784">
      <w:bodyDiv w:val="1"/>
      <w:marLeft w:val="0"/>
      <w:marRight w:val="0"/>
      <w:marTop w:val="0"/>
      <w:marBottom w:val="0"/>
      <w:divBdr>
        <w:top w:val="none" w:sz="0" w:space="0" w:color="auto"/>
        <w:left w:val="none" w:sz="0" w:space="0" w:color="auto"/>
        <w:bottom w:val="none" w:sz="0" w:space="0" w:color="auto"/>
        <w:right w:val="none" w:sz="0" w:space="0" w:color="auto"/>
      </w:divBdr>
    </w:div>
    <w:div w:id="940458629">
      <w:bodyDiv w:val="1"/>
      <w:marLeft w:val="0"/>
      <w:marRight w:val="0"/>
      <w:marTop w:val="0"/>
      <w:marBottom w:val="0"/>
      <w:divBdr>
        <w:top w:val="none" w:sz="0" w:space="0" w:color="auto"/>
        <w:left w:val="none" w:sz="0" w:space="0" w:color="auto"/>
        <w:bottom w:val="none" w:sz="0" w:space="0" w:color="auto"/>
        <w:right w:val="none" w:sz="0" w:space="0" w:color="auto"/>
      </w:divBdr>
    </w:div>
    <w:div w:id="1553341951">
      <w:bodyDiv w:val="1"/>
      <w:marLeft w:val="0"/>
      <w:marRight w:val="0"/>
      <w:marTop w:val="0"/>
      <w:marBottom w:val="0"/>
      <w:divBdr>
        <w:top w:val="none" w:sz="0" w:space="0" w:color="auto"/>
        <w:left w:val="none" w:sz="0" w:space="0" w:color="auto"/>
        <w:bottom w:val="none" w:sz="0" w:space="0" w:color="auto"/>
        <w:right w:val="none" w:sz="0" w:space="0" w:color="auto"/>
      </w:divBdr>
    </w:div>
    <w:div w:id="1795060304">
      <w:bodyDiv w:val="1"/>
      <w:marLeft w:val="0"/>
      <w:marRight w:val="0"/>
      <w:marTop w:val="0"/>
      <w:marBottom w:val="0"/>
      <w:divBdr>
        <w:top w:val="none" w:sz="0" w:space="0" w:color="auto"/>
        <w:left w:val="none" w:sz="0" w:space="0" w:color="auto"/>
        <w:bottom w:val="none" w:sz="0" w:space="0" w:color="auto"/>
        <w:right w:val="none" w:sz="0" w:space="0" w:color="auto"/>
      </w:divBdr>
    </w:div>
    <w:div w:id="1984307438">
      <w:bodyDiv w:val="1"/>
      <w:marLeft w:val="0"/>
      <w:marRight w:val="0"/>
      <w:marTop w:val="0"/>
      <w:marBottom w:val="0"/>
      <w:divBdr>
        <w:top w:val="none" w:sz="0" w:space="0" w:color="auto"/>
        <w:left w:val="none" w:sz="0" w:space="0" w:color="auto"/>
        <w:bottom w:val="none" w:sz="0" w:space="0" w:color="auto"/>
        <w:right w:val="none" w:sz="0" w:space="0" w:color="auto"/>
      </w:divBdr>
    </w:div>
    <w:div w:id="2103793265">
      <w:bodyDiv w:val="1"/>
      <w:marLeft w:val="0"/>
      <w:marRight w:val="0"/>
      <w:marTop w:val="0"/>
      <w:marBottom w:val="0"/>
      <w:divBdr>
        <w:top w:val="none" w:sz="0" w:space="0" w:color="auto"/>
        <w:left w:val="none" w:sz="0" w:space="0" w:color="auto"/>
        <w:bottom w:val="none" w:sz="0" w:space="0" w:color="auto"/>
        <w:right w:val="none" w:sz="0" w:space="0" w:color="auto"/>
      </w:divBdr>
      <w:divsChild>
        <w:div w:id="1170949558">
          <w:marLeft w:val="0"/>
          <w:marRight w:val="0"/>
          <w:marTop w:val="0"/>
          <w:marBottom w:val="0"/>
          <w:divBdr>
            <w:top w:val="none" w:sz="0" w:space="0" w:color="auto"/>
            <w:left w:val="none" w:sz="0" w:space="0" w:color="auto"/>
            <w:bottom w:val="none" w:sz="0" w:space="0" w:color="auto"/>
            <w:right w:val="none" w:sz="0" w:space="0" w:color="auto"/>
          </w:divBdr>
        </w:div>
        <w:div w:id="25837807">
          <w:marLeft w:val="0"/>
          <w:marRight w:val="0"/>
          <w:marTop w:val="0"/>
          <w:marBottom w:val="0"/>
          <w:divBdr>
            <w:top w:val="none" w:sz="0" w:space="0" w:color="auto"/>
            <w:left w:val="none" w:sz="0" w:space="0" w:color="auto"/>
            <w:bottom w:val="none" w:sz="0" w:space="0" w:color="auto"/>
            <w:right w:val="none" w:sz="0" w:space="0" w:color="auto"/>
          </w:divBdr>
        </w:div>
        <w:div w:id="65077605">
          <w:marLeft w:val="0"/>
          <w:marRight w:val="0"/>
          <w:marTop w:val="0"/>
          <w:marBottom w:val="0"/>
          <w:divBdr>
            <w:top w:val="none" w:sz="0" w:space="0" w:color="auto"/>
            <w:left w:val="none" w:sz="0" w:space="0" w:color="auto"/>
            <w:bottom w:val="none" w:sz="0" w:space="0" w:color="auto"/>
            <w:right w:val="none" w:sz="0" w:space="0" w:color="auto"/>
          </w:divBdr>
          <w:divsChild>
            <w:div w:id="650988474">
              <w:marLeft w:val="0"/>
              <w:marRight w:val="0"/>
              <w:marTop w:val="0"/>
              <w:marBottom w:val="0"/>
              <w:divBdr>
                <w:top w:val="none" w:sz="0" w:space="0" w:color="auto"/>
                <w:left w:val="none" w:sz="0" w:space="0" w:color="auto"/>
                <w:bottom w:val="none" w:sz="0" w:space="0" w:color="auto"/>
                <w:right w:val="none" w:sz="0" w:space="0" w:color="auto"/>
              </w:divBdr>
            </w:div>
            <w:div w:id="855267574">
              <w:marLeft w:val="0"/>
              <w:marRight w:val="0"/>
              <w:marTop w:val="0"/>
              <w:marBottom w:val="0"/>
              <w:divBdr>
                <w:top w:val="none" w:sz="0" w:space="0" w:color="auto"/>
                <w:left w:val="none" w:sz="0" w:space="0" w:color="auto"/>
                <w:bottom w:val="none" w:sz="0" w:space="0" w:color="auto"/>
                <w:right w:val="none" w:sz="0" w:space="0" w:color="auto"/>
              </w:divBdr>
            </w:div>
            <w:div w:id="2109351880">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578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671F-52B5-4A57-8188-E23ED74EA8B4}">
  <ds:schemaRefs>
    <ds:schemaRef ds:uri="http://schemas.microsoft.com/sharepoint/v3/contenttype/forms"/>
  </ds:schemaRefs>
</ds:datastoreItem>
</file>

<file path=customXml/itemProps2.xml><?xml version="1.0" encoding="utf-8"?>
<ds:datastoreItem xmlns:ds="http://schemas.openxmlformats.org/officeDocument/2006/customXml" ds:itemID="{53659AAF-45E9-48C6-AAFF-51F5B367CD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B28ED5-D2FD-4BE5-9E09-6AC5D854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AC74C4-EAF1-481B-9512-B4843BC2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2594</Words>
  <Characters>14557</Characters>
  <Application>Microsoft Office Word</Application>
  <DocSecurity>0</DocSecurity>
  <Lines>373</Lines>
  <Paragraphs>182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CODESCU Ion (ENV)</dc:creator>
  <cp:lastModifiedBy>LAGES CARVALHO Patrick (SG)</cp:lastModifiedBy>
  <cp:revision>14</cp:revision>
  <cp:lastPrinted>2019-01-23T10:05:00Z</cp:lastPrinted>
  <dcterms:created xsi:type="dcterms:W3CDTF">2019-02-13T09:53:00Z</dcterms:created>
  <dcterms:modified xsi:type="dcterms:W3CDTF">2019-03-25T11:05:00Z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ontentTypeId">
    <vt:lpwstr>0x01010078E97EA221F96E4B9233A8505060E8B9</vt:lpwstr>
  </property>
  <property fmtid="{D5CDD505-2E9C-101B-9397-08002B2CF9AE}" pid="8" name="Offisync_UpdateToken">
    <vt:lpwstr>13</vt:lpwstr>
  </property>
  <property fmtid="{D5CDD505-2E9C-101B-9397-08002B2CF9AE}" pid="9" name="Offisync_UniqueId">
    <vt:lpwstr>181497</vt:lpwstr>
  </property>
  <property fmtid="{D5CDD505-2E9C-101B-9397-08002B2CF9AE}" pid="10" name="Jive_VersionGuid">
    <vt:lpwstr>f1562e83-4210-4c4a-b4c2-f5df04ff6de0</vt:lpwstr>
  </property>
  <property fmtid="{D5CDD505-2E9C-101B-9397-08002B2CF9AE}" pid="11" name="Offisync_ProviderInitializationData">
    <vt:lpwstr>https://connected.cnect.cec.eu.int</vt:lpwstr>
  </property>
  <property fmtid="{D5CDD505-2E9C-101B-9397-08002B2CF9AE}" pid="12" name="Jive_LatestUserAccountName">
    <vt:lpwstr>dalgaka</vt:lpwstr>
  </property>
  <property fmtid="{D5CDD505-2E9C-101B-9397-08002B2CF9AE}" pid="13" name="Offisync_ServerID">
    <vt:lpwstr>0d3b22a6-6203-4efc-8e8e-b5279256493b</vt:lpwstr>
  </property>
  <property fmtid="{D5CDD505-2E9C-101B-9397-08002B2CF9AE}" pid="14" name="Level of sensitivity">
    <vt:lpwstr>Standard treatment</vt:lpwstr>
  </property>
  <property fmtid="{D5CDD505-2E9C-101B-9397-08002B2CF9AE}" pid="15" name="Last edited using">
    <vt:lpwstr>LW 6.0.1, Build 20180503</vt:lpwstr>
  </property>
  <property fmtid="{D5CDD505-2E9C-101B-9397-08002B2CF9AE}" pid="16" name="Unique annex">
    <vt:lpwstr>1</vt:lpwstr>
  </property>
  <property fmtid="{D5CDD505-2E9C-101B-9397-08002B2CF9AE}" pid="17" name="Created using">
    <vt:lpwstr>LW 6.0.1, Build 20180503</vt:lpwstr>
  </property>
</Properties>
</file>