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34C6E2D4-6B44-4D05-B648-D747B5FA12C4" style="width:450.85pt;height:447.45pt">
            <v:imagedata r:id="rId8" o:title=""/>
          </v:shape>
        </w:pict>
      </w:r>
    </w:p>
    <w:bookmarkEnd w:id="0"/>
    <w:p>
      <w:pPr>
        <w:rPr>
          <w:rFonts w:ascii="Times New Roman" w:hAnsi="Times New Roman" w:cs="Times New Roman"/>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20"/>
          <w:docGrid w:linePitch="360"/>
        </w:sectPr>
      </w:pPr>
    </w:p>
    <w:p>
      <w:pPr>
        <w:spacing w:after="240" w:line="240" w:lineRule="auto"/>
        <w:jc w:val="both"/>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 xml:space="preserve">1. pielikums. </w:t>
      </w:r>
      <w:r>
        <w:rPr>
          <w:noProof/>
        </w:rPr>
        <w:tab/>
      </w:r>
      <w:r>
        <w:rPr>
          <w:rFonts w:ascii="Times New Roman" w:hAnsi="Times New Roman"/>
          <w:b/>
          <w:noProof/>
          <w:sz w:val="24"/>
        </w:rPr>
        <w:t>Vēsturisks atskats</w:t>
      </w:r>
    </w:p>
    <w:p>
      <w:pPr>
        <w:spacing w:after="240" w:line="240" w:lineRule="auto"/>
        <w:jc w:val="both"/>
        <w:rPr>
          <w:rFonts w:ascii="Times New Roman" w:hAnsi="Times New Roman" w:cs="Times New Roman"/>
          <w:noProof/>
          <w:sz w:val="24"/>
          <w:szCs w:val="24"/>
        </w:rPr>
      </w:pPr>
      <w:r>
        <w:rPr>
          <w:rFonts w:ascii="Times New Roman" w:hAnsi="Times New Roman"/>
          <w:noProof/>
          <w:sz w:val="24"/>
        </w:rPr>
        <w:t>ES Līgumi nosaka Eiropas Savienībai sociālu uzdevumu. Šāds uzdevums tai ir bijis jau kopš paša sākuma, taču īpašu ES tiesību aktu izstrāde ir notikusi pakāpeniski: sociālā politika plašākā nozīmē sākumā bija tirgus integrācijas nodrošināšanas līdzeklis, un tā ir kļuvusi par veidu, kā sasniegt sociālos rezultātus. 60 gadu laikā, kopš sākusies Eiropas integrācija, sociālā politika ir kļuvusi arvien nozīmīgāka Eiropas Savienībā, kā atspoguļots katrā Līguma pārskatīšanā.</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Romas līgumā</w:t>
      </w:r>
      <w:r>
        <w:rPr>
          <w:rFonts w:ascii="Times New Roman" w:hAnsi="Times New Roman"/>
          <w:noProof/>
          <w:sz w:val="24"/>
        </w:rPr>
        <w:t xml:space="preserve"> (1957) lielākā daļa sociālās politikas pilnvaru neietilpa Kopienas rīcības jomā, kas aprobežojās ar dalībvalstu ciešas sadarbības veicināšanu ar Eiropas Sociālā fonda atbalstu. Komisija varēja sniegt atzinumus par veselību un drošību darbavietā. Līgums noteica darba ņēmēju pārvietošanās brīvību un pienākumu pieņemt sociālā nodrošinājuma koordinēšanas pasākumus. Šajās jomās lēmumi tika pieņemti vienprātīgi Padomē; Parlaments lēmumu pieņemšanā nebija iesaistīts.</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Sociālā politika tika izstrādāta 1986. gadā ar </w:t>
      </w:r>
      <w:r>
        <w:rPr>
          <w:rFonts w:ascii="Times New Roman" w:hAnsi="Times New Roman"/>
          <w:b/>
          <w:noProof/>
          <w:sz w:val="24"/>
        </w:rPr>
        <w:t>Vienoto Eiropas aktu</w:t>
      </w:r>
      <w:r>
        <w:rPr>
          <w:rFonts w:ascii="Times New Roman" w:hAnsi="Times New Roman"/>
          <w:noProof/>
          <w:sz w:val="24"/>
        </w:rPr>
        <w:t>, kas paredzēja iespēju pieņemt minimālās prasības attiecībā uz darba ņēmēju veselību un drošību, Padomei lemjot ar kvalificētu balsu vairākumu un sadarbojoties ar Parlamentu.</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1992. gadā </w:t>
      </w:r>
      <w:r>
        <w:rPr>
          <w:rFonts w:ascii="Times New Roman" w:hAnsi="Times New Roman"/>
          <w:b/>
          <w:noProof/>
          <w:sz w:val="24"/>
        </w:rPr>
        <w:t>Māstrihtas līguma</w:t>
      </w:r>
      <w:r>
        <w:rPr>
          <w:rFonts w:ascii="Times New Roman" w:hAnsi="Times New Roman"/>
          <w:noProof/>
          <w:sz w:val="24"/>
        </w:rPr>
        <w:t xml:space="preserve"> sociālais protokols paplašināja ES rīcības tvērumu sociālās politikas jomā, un kopš tā laika tas būtībā nav mainījies. Sociālais protokols paredzēja </w:t>
      </w:r>
      <w:r>
        <w:rPr>
          <w:rFonts w:ascii="Times New Roman" w:hAnsi="Times New Roman"/>
          <w:b/>
          <w:noProof/>
          <w:sz w:val="24"/>
        </w:rPr>
        <w:t>kvalificēta vairākuma balsošanu</w:t>
      </w:r>
      <w:r>
        <w:rPr>
          <w:rFonts w:ascii="Times New Roman" w:hAnsi="Times New Roman"/>
          <w:noProof/>
          <w:sz w:val="24"/>
        </w:rPr>
        <w:t xml:space="preserve"> par šādiem jautājumiem:</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darba apstākļi,</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darba ņēmēju informēšana un apspriešanās ar tiem,</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vienlīdzīgas iespējas vīriešiem un sievietēm,  </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tādu personu integrācija, kuras ir atstumtas no darba tirgus.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Tas paredzēja, ka Padome </w:t>
      </w:r>
      <w:r>
        <w:rPr>
          <w:rFonts w:ascii="Times New Roman" w:hAnsi="Times New Roman"/>
          <w:b/>
          <w:noProof/>
          <w:sz w:val="24"/>
        </w:rPr>
        <w:t>vienprātīgi</w:t>
      </w:r>
      <w:r>
        <w:rPr>
          <w:rFonts w:ascii="Times New Roman" w:hAnsi="Times New Roman"/>
          <w:noProof/>
          <w:sz w:val="24"/>
        </w:rPr>
        <w:t xml:space="preserve"> lemj par jautājumiem, kas attiecas uz:</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darba ņēmēju sociālo nodrošinājumu un sociālo aizsardzību, </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atlaišanu, </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darba ņēmēju un darba devēju interešu pārstāvēšanu un kolektīvo aizsargāšanu, arī kopīgu lēmumu pieņemšanu, and </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nodarbinātības nosacījumiem trešo valstu valstspiederīgajiem, kas likumīgi uzturas ES.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Šajās jomās bija jāapspriežas ar Parlamentu (tagad tā ir īpašā likumdošanas procedūra). Protokols īpaši </w:t>
      </w:r>
      <w:r>
        <w:rPr>
          <w:rFonts w:ascii="Times New Roman" w:hAnsi="Times New Roman"/>
          <w:b/>
          <w:noProof/>
          <w:sz w:val="24"/>
        </w:rPr>
        <w:t>izslēdza</w:t>
      </w:r>
      <w:r>
        <w:rPr>
          <w:rFonts w:ascii="Times New Roman" w:hAnsi="Times New Roman"/>
          <w:noProof/>
          <w:sz w:val="24"/>
        </w:rPr>
        <w:t xml:space="preserve"> šādus jautājumus:</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darba samaksa,</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tiesības apvienoties,</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tiesības streikot, and </w:t>
      </w:r>
    </w:p>
    <w:p>
      <w:pPr>
        <w:pStyle w:val="ListParagraph"/>
        <w:numPr>
          <w:ilvl w:val="0"/>
          <w:numId w:val="1"/>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tiesības pieteikt lokautus.</w:t>
      </w:r>
    </w:p>
    <w:p>
      <w:pPr>
        <w:spacing w:before="240"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1997. gadā protokols tika iekļauts </w:t>
      </w:r>
      <w:r>
        <w:rPr>
          <w:rFonts w:ascii="Times New Roman" w:hAnsi="Times New Roman"/>
          <w:b/>
          <w:noProof/>
          <w:sz w:val="24"/>
        </w:rPr>
        <w:t>Amsterdamas līgumā</w:t>
      </w:r>
      <w:r>
        <w:rPr>
          <w:rFonts w:ascii="Times New Roman" w:hAnsi="Times New Roman"/>
          <w:noProof/>
          <w:sz w:val="24"/>
        </w:rPr>
        <w:t xml:space="preserve">. Noteikumi tādējādi kļuva piemērojami visām dalībvalstīm un ir pamatā pašreizējai LESD X sadaļai. Tas radīja jaunu </w:t>
      </w:r>
      <w:r>
        <w:rPr>
          <w:rFonts w:ascii="Times New Roman" w:hAnsi="Times New Roman"/>
          <w:noProof/>
          <w:sz w:val="24"/>
        </w:rPr>
        <w:lastRenderedPageBreak/>
        <w:t>juridisko pamatu cīņai pret diskrimināciju, un tas joprojām nav mainījies: Eiropas Kopienas dibināšanas līguma 13. pants (pašreizējais LESD 19. panta 1. punkts) noteica, ka Padome pēc Komisijas priekšlikuma un pēc apspriešanās ar Eiropas Parlamentu ar vienprātīgu lēmumu var paredzēt attiecīgus pasākumus, lai cīnītos pret diskrimināciju dzimuma, rases vai etniskās izcelsmes, reliģijas vai pārliecības, invaliditātes, vecuma vai seksuālās orientācijas dēļ.</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2001. gadā </w:t>
      </w:r>
      <w:r>
        <w:rPr>
          <w:rFonts w:ascii="Times New Roman" w:hAnsi="Times New Roman"/>
          <w:b/>
          <w:noProof/>
          <w:sz w:val="24"/>
        </w:rPr>
        <w:t>Nicas līguma</w:t>
      </w:r>
      <w:r>
        <w:rPr>
          <w:rFonts w:ascii="Times New Roman" w:hAnsi="Times New Roman"/>
          <w:noProof/>
          <w:sz w:val="24"/>
        </w:rPr>
        <w:t xml:space="preserve"> 137. pantā (pašreizējais LESD 153. panta 1. punkta j) un k) apakšpunkts) tika iekļautas divas jaunas sadarbības jomas, tādējādi piešķirot Savienībai pilnvaras atbalstīt un papildināt dalībvalstu darbības šādās jomās:</w:t>
      </w:r>
    </w:p>
    <w:p>
      <w:pPr>
        <w:pStyle w:val="ListParagraph"/>
        <w:numPr>
          <w:ilvl w:val="0"/>
          <w:numId w:val="2"/>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sociālās atstumtības izskaušana un </w:t>
      </w:r>
    </w:p>
    <w:p>
      <w:pPr>
        <w:pStyle w:val="ListParagraph"/>
        <w:numPr>
          <w:ilvl w:val="0"/>
          <w:numId w:val="2"/>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sociālās aizsardzības sistēmu modernizācija.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Tajā nebija paredzētas pilnvaras pieņemt direktīvas, ar kurām nosaka minimālos standartus minētajās jomās</w:t>
      </w:r>
      <w:r>
        <w:rPr>
          <w:rStyle w:val="FootnoteReference"/>
          <w:rFonts w:ascii="Times New Roman" w:hAnsi="Times New Roman"/>
          <w:noProof/>
          <w:sz w:val="24"/>
        </w:rPr>
        <w:footnoteReference w:id="2"/>
      </w:r>
      <w:r>
        <w:rPr>
          <w:rFonts w:ascii="Times New Roman" w:hAnsi="Times New Roman"/>
          <w:noProof/>
          <w:sz w:val="24"/>
        </w:rPr>
        <w:t xml:space="preserve">. Turklāt Līgums nemainīja spēkā esošās vienprātības prasības sociālās politikas jomā, taču ieviesa </w:t>
      </w:r>
      <w:r>
        <w:rPr>
          <w:rFonts w:ascii="Times New Roman" w:hAnsi="Times New Roman"/>
          <w:b/>
          <w:noProof/>
          <w:sz w:val="24"/>
        </w:rPr>
        <w:t>īpašo pārejas klauzulu</w:t>
      </w:r>
      <w:r>
        <w:rPr>
          <w:rFonts w:ascii="Times New Roman" w:hAnsi="Times New Roman"/>
          <w:noProof/>
          <w:sz w:val="24"/>
        </w:rPr>
        <w:t xml:space="preserve"> (tagad LESD 153. panta 2. punkts).</w:t>
      </w:r>
    </w:p>
    <w:p>
      <w:pPr>
        <w:spacing w:after="120" w:line="240" w:lineRule="auto"/>
        <w:jc w:val="both"/>
        <w:rPr>
          <w:rFonts w:ascii="Times New Roman" w:eastAsia="Times New Roman" w:hAnsi="Times New Roman" w:cs="Times New Roman"/>
          <w:noProof/>
          <w:sz w:val="24"/>
          <w:szCs w:val="24"/>
        </w:rPr>
      </w:pPr>
      <w:r>
        <w:rPr>
          <w:rFonts w:ascii="Times New Roman" w:hAnsi="Times New Roman"/>
          <w:b/>
          <w:noProof/>
          <w:sz w:val="24"/>
        </w:rPr>
        <w:t>Lisabonas līgums</w:t>
      </w:r>
      <w:r>
        <w:rPr>
          <w:rFonts w:ascii="Times New Roman" w:hAnsi="Times New Roman"/>
          <w:noProof/>
          <w:sz w:val="24"/>
        </w:rPr>
        <w:t xml:space="preserve"> (kas stājās spēkā 2009. gada 1. decembrī) noteica, ka Savienības mērķis ir panākt ļoti konkurētspējīgu sociālo tirgus ekonomiku. Tādu pasākumu pieņemšanā, kuri attiecas uz </w:t>
      </w:r>
      <w:r>
        <w:rPr>
          <w:rFonts w:ascii="Times New Roman" w:hAnsi="Times New Roman"/>
          <w:b/>
          <w:noProof/>
          <w:sz w:val="24"/>
        </w:rPr>
        <w:t>sociālā nodrošinājuma koordinēšanu saistībā ar darba ņēmēju pārvietošanās brīvību</w:t>
      </w:r>
      <w:r>
        <w:rPr>
          <w:rFonts w:ascii="Times New Roman" w:hAnsi="Times New Roman"/>
          <w:noProof/>
          <w:sz w:val="24"/>
        </w:rPr>
        <w:t xml:space="preserve"> (LESD 48. pants), sāka piemērot kvalificēta vairākuma balsošanu un parasto likumdošanas procedūru, nevis vienprātības balsojumu.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Prasības par vienprātību un apspriešanos ar Parlamentu tika saglabātas šādās jomās (pašreizējais LESD 153. panta 1. punkta c), d), f) un g) apakšpunkts un 19. pants):</w:t>
      </w:r>
    </w:p>
    <w:p>
      <w:pPr>
        <w:pStyle w:val="ListParagraph"/>
        <w:numPr>
          <w:ilvl w:val="0"/>
          <w:numId w:val="3"/>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darba ņēmēju sociālais nodrošinājums un sociālā aizsardzība (ārpus pārrobežu situācijām),</w:t>
      </w:r>
    </w:p>
    <w:p>
      <w:pPr>
        <w:pStyle w:val="ListParagraph"/>
        <w:numPr>
          <w:ilvl w:val="0"/>
          <w:numId w:val="3"/>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atlaišana, </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darba ņēmēju un darba devēju interešu pārstāvēšana un kolektīvā aizsargāšana, arī kopīga lēmumu pieņemšana, </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nodarbinātības nosacījumi trešo valstu valstspiederīgajiem, kas likumīgi uzturas ES, un </w:t>
      </w:r>
    </w:p>
    <w:p>
      <w:pPr>
        <w:pStyle w:val="ListParagraph"/>
        <w:numPr>
          <w:ilvl w:val="0"/>
          <w:numId w:val="3"/>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diskriminācijas apkarošanas pasākumi.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Tajā pašā laikā LES 48. panta 7. punktā tika ieviesta </w:t>
      </w:r>
      <w:r>
        <w:rPr>
          <w:rFonts w:ascii="Times New Roman" w:hAnsi="Times New Roman"/>
          <w:b/>
          <w:noProof/>
          <w:sz w:val="24"/>
        </w:rPr>
        <w:t>vispārīgā pārejas klauzula</w:t>
      </w:r>
      <w:r>
        <w:rPr>
          <w:rFonts w:ascii="Times New Roman" w:hAnsi="Times New Roman"/>
          <w:noProof/>
          <w:sz w:val="24"/>
        </w:rPr>
        <w:t>, kas paredz iespēju pāriet no vienprātības uz kvalificētu balsu vairākumu vai no īpašās likumdošanas procedūras uz parasto likumdošanas procedūru jomās, uz kurām neattiecas īpašā pārejas klauzula, piemēram, nediskriminēšanas un darba ņēmēju sociālā nodrošinājuma un sociālās aizsardzības jomā.</w:t>
      </w:r>
    </w:p>
    <w:p>
      <w:pPr>
        <w:spacing w:after="240" w:line="240" w:lineRule="auto"/>
        <w:rPr>
          <w:rFonts w:ascii="Times New Roman" w:eastAsia="Times New Roman" w:hAnsi="Times New Roman" w:cs="Times New Roman"/>
          <w:noProof/>
          <w:sz w:val="24"/>
          <w:szCs w:val="24"/>
        </w:rPr>
      </w:pPr>
      <w:r>
        <w:rPr>
          <w:noProof/>
        </w:rPr>
        <w:br w:type="page"/>
      </w:r>
    </w:p>
    <w:p>
      <w:pPr>
        <w:spacing w:after="240" w:line="240" w:lineRule="auto"/>
        <w:ind w:left="284" w:hanging="284"/>
        <w:jc w:val="both"/>
        <w:rPr>
          <w:rFonts w:ascii="Times New Roman" w:hAnsi="Times New Roman" w:cs="Times New Roman"/>
          <w:b/>
          <w:noProof/>
          <w:color w:val="000000" w:themeColor="text1"/>
          <w:sz w:val="24"/>
          <w:szCs w:val="24"/>
        </w:rPr>
      </w:pPr>
      <w:r>
        <w:rPr>
          <w:rFonts w:ascii="Times New Roman" w:hAnsi="Times New Roman"/>
          <w:b/>
          <w:noProof/>
          <w:color w:val="000000" w:themeColor="text1"/>
          <w:sz w:val="24"/>
        </w:rPr>
        <w:t>2. pielikums.</w:t>
      </w:r>
      <w:r>
        <w:rPr>
          <w:noProof/>
        </w:rPr>
        <w:tab/>
      </w:r>
      <w:r>
        <w:rPr>
          <w:rFonts w:ascii="Times New Roman" w:hAnsi="Times New Roman"/>
          <w:b/>
          <w:noProof/>
          <w:color w:val="000000" w:themeColor="text1"/>
          <w:sz w:val="24"/>
        </w:rPr>
        <w:t>2014.–2019. gadā sociālajā jomā ierosinātie tiesību akti</w:t>
      </w:r>
    </w:p>
    <w:p>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Šī Komisija ir sagatavojusi 27 tiesību aktu priekšlikumus ES sociālās tirgus ekonomikas modernizēšanai un “sociālā AAA reitinga” sasniegšanai Eiropā. Par 24 no tiem vienošanās ir panākta, bet pārējie trīs joprojām tiek apspriesti. </w:t>
      </w:r>
    </w:p>
    <w:tbl>
      <w:tblPr>
        <w:tblStyle w:val="TableGrid"/>
        <w:tblW w:w="9180" w:type="dxa"/>
        <w:tblLook w:val="04A0" w:firstRow="1" w:lastRow="0" w:firstColumn="1" w:lastColumn="0" w:noHBand="0" w:noVBand="1"/>
      </w:tblPr>
      <w:tblGrid>
        <w:gridCol w:w="541"/>
        <w:gridCol w:w="6791"/>
        <w:gridCol w:w="1848"/>
      </w:tblGrid>
      <w:tr>
        <w:trPr>
          <w:trHeight w:val="259"/>
        </w:trPr>
        <w:tc>
          <w:tcPr>
            <w:tcW w:w="541" w:type="dxa"/>
            <w:vAlign w:val="center"/>
          </w:tcPr>
          <w:p>
            <w:pPr>
              <w:jc w:val="center"/>
              <w:rPr>
                <w:rFonts w:ascii="Times New Roman" w:hAnsi="Times New Roman" w:cs="Times New Roman"/>
                <w:b/>
                <w:noProof/>
                <w:sz w:val="20"/>
                <w:szCs w:val="20"/>
              </w:rPr>
            </w:pPr>
            <w:r>
              <w:rPr>
                <w:rFonts w:ascii="Times New Roman" w:hAnsi="Times New Roman"/>
                <w:b/>
                <w:noProof/>
                <w:sz w:val="20"/>
              </w:rPr>
              <w:t>Nr.</w:t>
            </w:r>
          </w:p>
        </w:tc>
        <w:tc>
          <w:tcPr>
            <w:tcW w:w="6791" w:type="dxa"/>
            <w:vAlign w:val="center"/>
          </w:tcPr>
          <w:p>
            <w:pPr>
              <w:jc w:val="center"/>
              <w:rPr>
                <w:rFonts w:ascii="Times New Roman" w:hAnsi="Times New Roman" w:cs="Times New Roman"/>
                <w:b/>
                <w:noProof/>
                <w:sz w:val="20"/>
                <w:szCs w:val="20"/>
              </w:rPr>
            </w:pPr>
            <w:r>
              <w:rPr>
                <w:rFonts w:ascii="Times New Roman" w:hAnsi="Times New Roman"/>
                <w:b/>
                <w:noProof/>
                <w:sz w:val="20"/>
              </w:rPr>
              <w:t>Saīsinātais nosaukums</w:t>
            </w:r>
          </w:p>
        </w:tc>
        <w:tc>
          <w:tcPr>
            <w:tcW w:w="1848" w:type="dxa"/>
            <w:vAlign w:val="center"/>
          </w:tcPr>
          <w:p>
            <w:pPr>
              <w:jc w:val="center"/>
              <w:rPr>
                <w:rFonts w:ascii="Times New Roman" w:hAnsi="Times New Roman" w:cs="Times New Roman"/>
                <w:b/>
                <w:noProof/>
                <w:sz w:val="20"/>
                <w:szCs w:val="20"/>
              </w:rPr>
            </w:pPr>
            <w:r>
              <w:rPr>
                <w:rFonts w:ascii="Times New Roman" w:hAnsi="Times New Roman"/>
                <w:b/>
                <w:noProof/>
                <w:sz w:val="20"/>
              </w:rPr>
              <w:t xml:space="preserve">Publikācija </w:t>
            </w:r>
          </w:p>
        </w:tc>
      </w:tr>
      <w:tr>
        <w:trPr>
          <w:trHeight w:val="273"/>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1</w:t>
            </w:r>
          </w:p>
        </w:tc>
        <w:tc>
          <w:tcPr>
            <w:tcW w:w="6791" w:type="dxa"/>
          </w:tcPr>
          <w:p>
            <w:pPr>
              <w:jc w:val="both"/>
              <w:rPr>
                <w:rFonts w:ascii="Times New Roman" w:hAnsi="Times New Roman" w:cs="Times New Roman"/>
                <w:noProof/>
                <w:sz w:val="20"/>
                <w:szCs w:val="20"/>
              </w:rPr>
            </w:pPr>
            <w:r>
              <w:rPr>
                <w:rFonts w:ascii="Times New Roman" w:hAnsi="Times New Roman"/>
                <w:noProof/>
                <w:sz w:val="20"/>
              </w:rPr>
              <w:t>Regula (ES) 2015/779, ar ko groza Regulu (ES) Nr. 1304/2013 attiecībā uz Jaunatnes nodarbinātības iniciatīvas atbalstītajām darbības programmām izmaksāto papildu sākotnējo priekšfinansējuma summu</w:t>
            </w:r>
          </w:p>
        </w:tc>
        <w:tc>
          <w:tcPr>
            <w:tcW w:w="1848" w:type="dxa"/>
            <w:vAlign w:val="center"/>
          </w:tcPr>
          <w:p>
            <w:pPr>
              <w:rPr>
                <w:rFonts w:ascii="Times New Roman" w:hAnsi="Times New Roman" w:cs="Times New Roman"/>
                <w:noProof/>
                <w:sz w:val="20"/>
                <w:szCs w:val="20"/>
              </w:rPr>
            </w:pPr>
            <w:hyperlink r:id="rId15">
              <w:r>
                <w:rPr>
                  <w:rStyle w:val="Hyperlink"/>
                  <w:rFonts w:ascii="Times New Roman" w:hAnsi="Times New Roman"/>
                  <w:noProof/>
                  <w:sz w:val="20"/>
                </w:rPr>
                <w:t>OV L 126</w:t>
              </w:r>
            </w:hyperlink>
            <w:r>
              <w:rPr>
                <w:rStyle w:val="Hyperlink"/>
                <w:rFonts w:ascii="Times New Roman" w:hAnsi="Times New Roman"/>
                <w:noProof/>
                <w:color w:val="auto"/>
                <w:sz w:val="20"/>
                <w:u w:val="none"/>
              </w:rPr>
              <w:t>,</w:t>
            </w:r>
            <w:r>
              <w:rPr>
                <w:rFonts w:ascii="Times New Roman" w:hAnsi="Times New Roman"/>
                <w:noProof/>
                <w:sz w:val="20"/>
              </w:rPr>
              <w:t xml:space="preserve"> 21.5.2015., 1. lpp.</w:t>
            </w:r>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2</w:t>
            </w:r>
          </w:p>
        </w:tc>
        <w:tc>
          <w:tcPr>
            <w:tcW w:w="6791" w:type="dxa"/>
          </w:tcPr>
          <w:p>
            <w:pPr>
              <w:jc w:val="both"/>
              <w:rPr>
                <w:rFonts w:ascii="Times New Roman" w:hAnsi="Times New Roman" w:cs="Times New Roman"/>
                <w:noProof/>
                <w:sz w:val="20"/>
                <w:szCs w:val="20"/>
              </w:rPr>
            </w:pPr>
            <w:r>
              <w:rPr>
                <w:rFonts w:ascii="Times New Roman" w:hAnsi="Times New Roman"/>
                <w:noProof/>
                <w:sz w:val="20"/>
              </w:rPr>
              <w:t>Padomes Ieteikums par ilgstošo bezdarbnieku integrāciju darba tirgū</w:t>
            </w:r>
          </w:p>
        </w:tc>
        <w:tc>
          <w:tcPr>
            <w:tcW w:w="1848" w:type="dxa"/>
            <w:vAlign w:val="center"/>
          </w:tcPr>
          <w:p>
            <w:pPr>
              <w:rPr>
                <w:rFonts w:ascii="Times New Roman" w:hAnsi="Times New Roman" w:cs="Times New Roman"/>
                <w:noProof/>
                <w:sz w:val="20"/>
                <w:szCs w:val="20"/>
              </w:rPr>
            </w:pPr>
            <w:hyperlink r:id="rId16">
              <w:r>
                <w:rPr>
                  <w:rStyle w:val="Hyperlink"/>
                  <w:rFonts w:ascii="Times New Roman" w:hAnsi="Times New Roman"/>
                  <w:noProof/>
                  <w:sz w:val="20"/>
                </w:rPr>
                <w:t>OV C 67</w:t>
              </w:r>
            </w:hyperlink>
            <w:r>
              <w:rPr>
                <w:rFonts w:ascii="Times New Roman" w:hAnsi="Times New Roman"/>
                <w:noProof/>
                <w:sz w:val="20"/>
              </w:rPr>
              <w:t>, 20.2.2016., 1. lpp.</w:t>
            </w:r>
          </w:p>
        </w:tc>
      </w:tr>
      <w:tr>
        <w:trPr>
          <w:trHeight w:val="273"/>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3</w:t>
            </w:r>
          </w:p>
        </w:tc>
        <w:tc>
          <w:tcPr>
            <w:tcW w:w="6791" w:type="dxa"/>
          </w:tcPr>
          <w:p>
            <w:pPr>
              <w:jc w:val="both"/>
              <w:rPr>
                <w:rFonts w:ascii="Times New Roman" w:hAnsi="Times New Roman" w:cs="Times New Roman"/>
                <w:noProof/>
                <w:sz w:val="20"/>
                <w:szCs w:val="20"/>
              </w:rPr>
            </w:pPr>
            <w:r>
              <w:rPr>
                <w:rFonts w:ascii="Times New Roman" w:hAnsi="Times New Roman"/>
                <w:noProof/>
                <w:sz w:val="20"/>
              </w:rPr>
              <w:t>Padomes Lēmums (ES) 2015/1848 par dalībvalstu nodarbinātības politikas pamatnostādnēm 2015. gadam</w:t>
            </w:r>
          </w:p>
        </w:tc>
        <w:tc>
          <w:tcPr>
            <w:tcW w:w="1848" w:type="dxa"/>
            <w:vAlign w:val="center"/>
          </w:tcPr>
          <w:p>
            <w:pPr>
              <w:rPr>
                <w:rFonts w:ascii="Times New Roman" w:hAnsi="Times New Roman" w:cs="Times New Roman"/>
                <w:noProof/>
                <w:sz w:val="20"/>
                <w:szCs w:val="20"/>
              </w:rPr>
            </w:pPr>
            <w:hyperlink r:id="rId17">
              <w:r>
                <w:rPr>
                  <w:rStyle w:val="Hyperlink"/>
                  <w:rFonts w:ascii="Times New Roman" w:hAnsi="Times New Roman"/>
                  <w:noProof/>
                  <w:sz w:val="20"/>
                </w:rPr>
                <w:t>OV L 268</w:t>
              </w:r>
            </w:hyperlink>
            <w:r>
              <w:rPr>
                <w:rFonts w:ascii="Times New Roman" w:hAnsi="Times New Roman"/>
                <w:noProof/>
                <w:sz w:val="20"/>
              </w:rPr>
              <w:t>, 15.10.2015, 28. lpp.</w:t>
            </w:r>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4</w:t>
            </w:r>
          </w:p>
        </w:tc>
        <w:tc>
          <w:tcPr>
            <w:tcW w:w="6791" w:type="dxa"/>
          </w:tcPr>
          <w:p>
            <w:pPr>
              <w:jc w:val="both"/>
              <w:rPr>
                <w:rFonts w:ascii="Times New Roman" w:hAnsi="Times New Roman" w:cs="Times New Roman"/>
                <w:noProof/>
                <w:sz w:val="20"/>
                <w:szCs w:val="20"/>
              </w:rPr>
            </w:pPr>
            <w:r>
              <w:rPr>
                <w:rFonts w:ascii="Times New Roman" w:hAnsi="Times New Roman"/>
                <w:noProof/>
                <w:sz w:val="20"/>
              </w:rPr>
              <w:t>Padomes Lēmums (ES) 2016/1838 par dalībvalstu nodarbinātības politikas pamatnostādnēm 2016. gadam</w:t>
            </w:r>
          </w:p>
        </w:tc>
        <w:tc>
          <w:tcPr>
            <w:tcW w:w="1848" w:type="dxa"/>
            <w:vAlign w:val="center"/>
          </w:tcPr>
          <w:p>
            <w:pPr>
              <w:rPr>
                <w:rFonts w:ascii="Times New Roman" w:hAnsi="Times New Roman" w:cs="Times New Roman"/>
                <w:noProof/>
                <w:sz w:val="20"/>
                <w:szCs w:val="20"/>
              </w:rPr>
            </w:pPr>
            <w:hyperlink r:id="rId18">
              <w:r>
                <w:rPr>
                  <w:rStyle w:val="Hyperlink"/>
                  <w:rFonts w:ascii="Times New Roman" w:hAnsi="Times New Roman"/>
                  <w:noProof/>
                  <w:sz w:val="20"/>
                </w:rPr>
                <w:t>OV L 280</w:t>
              </w:r>
            </w:hyperlink>
            <w:r>
              <w:rPr>
                <w:rFonts w:ascii="Times New Roman" w:hAnsi="Times New Roman"/>
                <w:noProof/>
                <w:sz w:val="20"/>
              </w:rPr>
              <w:t>, 18.10.2016., 30. lpp.</w:t>
            </w:r>
          </w:p>
        </w:tc>
      </w:tr>
      <w:tr>
        <w:trPr>
          <w:trHeight w:val="273"/>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5</w:t>
            </w:r>
          </w:p>
        </w:tc>
        <w:tc>
          <w:tcPr>
            <w:tcW w:w="6791" w:type="dxa"/>
          </w:tcPr>
          <w:p>
            <w:pPr>
              <w:jc w:val="both"/>
              <w:rPr>
                <w:rFonts w:ascii="Times New Roman" w:hAnsi="Times New Roman" w:cs="Times New Roman"/>
                <w:noProof/>
                <w:sz w:val="20"/>
                <w:szCs w:val="20"/>
              </w:rPr>
            </w:pPr>
            <w:r>
              <w:rPr>
                <w:rFonts w:ascii="Times New Roman" w:hAnsi="Times New Roman"/>
                <w:noProof/>
                <w:sz w:val="20"/>
              </w:rPr>
              <w:t>Direktīva (ES) 2017/2398, ar ko groza Direktīvu 2004/37/EK par darba ņēmēju aizsardzību pret risku, kas saistīts ar kancerogēnu vai mutagēnu iedarbību darbā</w:t>
            </w:r>
          </w:p>
        </w:tc>
        <w:tc>
          <w:tcPr>
            <w:tcW w:w="1848" w:type="dxa"/>
            <w:vAlign w:val="center"/>
          </w:tcPr>
          <w:p>
            <w:pPr>
              <w:rPr>
                <w:rFonts w:ascii="Times New Roman" w:hAnsi="Times New Roman" w:cs="Times New Roman"/>
                <w:noProof/>
                <w:sz w:val="20"/>
                <w:szCs w:val="20"/>
              </w:rPr>
            </w:pPr>
            <w:hyperlink r:id="rId19">
              <w:r>
                <w:rPr>
                  <w:rStyle w:val="Hyperlink"/>
                  <w:rFonts w:ascii="Times New Roman" w:hAnsi="Times New Roman"/>
                  <w:noProof/>
                  <w:sz w:val="20"/>
                </w:rPr>
                <w:t>OV L 345</w:t>
              </w:r>
            </w:hyperlink>
            <w:r>
              <w:rPr>
                <w:rFonts w:ascii="Times New Roman" w:hAnsi="Times New Roman"/>
                <w:noProof/>
                <w:sz w:val="20"/>
              </w:rPr>
              <w:t>, 27.12.2017., 87. lpp.</w:t>
            </w:r>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6</w:t>
            </w:r>
          </w:p>
        </w:tc>
        <w:tc>
          <w:tcPr>
            <w:tcW w:w="6791" w:type="dxa"/>
          </w:tcPr>
          <w:p>
            <w:pPr>
              <w:jc w:val="both"/>
              <w:rPr>
                <w:rFonts w:ascii="Times New Roman" w:hAnsi="Times New Roman" w:cs="Times New Roman"/>
                <w:noProof/>
                <w:sz w:val="20"/>
                <w:szCs w:val="20"/>
              </w:rPr>
            </w:pPr>
            <w:r>
              <w:rPr>
                <w:rFonts w:ascii="Times New Roman" w:hAnsi="Times New Roman"/>
                <w:noProof/>
                <w:sz w:val="20"/>
              </w:rPr>
              <w:t>Padomes Ieteikums par Eiropas kvalifikāciju ietvarstruktūru mūžizglītībai un ar ko atceļ Eiropas Parlamenta un Padomes 2008. gada 23. aprīļa Ieteikumu par Eiropas kvalifikāciju ietvarstruktūras izveidošanu mūžizglītībai</w:t>
            </w:r>
          </w:p>
        </w:tc>
        <w:tc>
          <w:tcPr>
            <w:tcW w:w="1848" w:type="dxa"/>
            <w:vAlign w:val="center"/>
          </w:tcPr>
          <w:p>
            <w:pPr>
              <w:rPr>
                <w:rFonts w:ascii="Times New Roman" w:hAnsi="Times New Roman" w:cs="Times New Roman"/>
                <w:noProof/>
                <w:sz w:val="20"/>
                <w:szCs w:val="20"/>
              </w:rPr>
            </w:pPr>
            <w:hyperlink r:id="rId20">
              <w:r>
                <w:rPr>
                  <w:rStyle w:val="Hyperlink"/>
                  <w:rFonts w:ascii="Times New Roman" w:hAnsi="Times New Roman"/>
                  <w:noProof/>
                  <w:sz w:val="20"/>
                </w:rPr>
                <w:t>OV C 189</w:t>
              </w:r>
            </w:hyperlink>
            <w:r>
              <w:rPr>
                <w:rFonts w:ascii="Times New Roman" w:hAnsi="Times New Roman"/>
                <w:noProof/>
                <w:sz w:val="20"/>
              </w:rPr>
              <w:t>, 15.6.2017., 15. lpp.</w:t>
            </w:r>
          </w:p>
        </w:tc>
      </w:tr>
      <w:tr>
        <w:trPr>
          <w:trHeight w:val="273"/>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7</w:t>
            </w:r>
          </w:p>
        </w:tc>
        <w:tc>
          <w:tcPr>
            <w:tcW w:w="6791" w:type="dxa"/>
          </w:tcPr>
          <w:p>
            <w:pPr>
              <w:jc w:val="both"/>
              <w:rPr>
                <w:rFonts w:ascii="Times New Roman" w:hAnsi="Times New Roman" w:cs="Times New Roman"/>
                <w:noProof/>
                <w:sz w:val="20"/>
                <w:szCs w:val="20"/>
              </w:rPr>
            </w:pPr>
            <w:r>
              <w:rPr>
                <w:rFonts w:ascii="Times New Roman" w:hAnsi="Times New Roman"/>
                <w:noProof/>
                <w:sz w:val="20"/>
              </w:rPr>
              <w:t>Padomes ieteikums “Prasmju pilnveides ceļi: jaunas iespējas pieaugušajiem”</w:t>
            </w:r>
          </w:p>
        </w:tc>
        <w:tc>
          <w:tcPr>
            <w:tcW w:w="1848" w:type="dxa"/>
            <w:vAlign w:val="center"/>
          </w:tcPr>
          <w:p>
            <w:pPr>
              <w:rPr>
                <w:rFonts w:ascii="Times New Roman" w:hAnsi="Times New Roman" w:cs="Times New Roman"/>
                <w:noProof/>
                <w:sz w:val="20"/>
                <w:szCs w:val="20"/>
              </w:rPr>
            </w:pPr>
            <w:hyperlink r:id="rId21">
              <w:r>
                <w:rPr>
                  <w:rStyle w:val="Hyperlink"/>
                  <w:rFonts w:ascii="Times New Roman" w:hAnsi="Times New Roman"/>
                  <w:noProof/>
                  <w:sz w:val="20"/>
                </w:rPr>
                <w:t>OV C 484</w:t>
              </w:r>
            </w:hyperlink>
            <w:r>
              <w:rPr>
                <w:rFonts w:ascii="Times New Roman" w:hAnsi="Times New Roman"/>
                <w:noProof/>
                <w:sz w:val="20"/>
              </w:rPr>
              <w:t>, 24.12.2016., 1. lpp.</w:t>
            </w:r>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8</w:t>
            </w:r>
          </w:p>
        </w:tc>
        <w:tc>
          <w:tcPr>
            <w:tcW w:w="6791" w:type="dxa"/>
          </w:tcPr>
          <w:p>
            <w:pPr>
              <w:jc w:val="both"/>
              <w:rPr>
                <w:rFonts w:ascii="Times New Roman" w:hAnsi="Times New Roman" w:cs="Times New Roman"/>
                <w:noProof/>
                <w:sz w:val="20"/>
                <w:szCs w:val="20"/>
              </w:rPr>
            </w:pPr>
            <w:r>
              <w:rPr>
                <w:rFonts w:ascii="Times New Roman" w:hAnsi="Times New Roman"/>
                <w:noProof/>
                <w:sz w:val="20"/>
              </w:rPr>
              <w:t>Direktīva (ES) 2017/159, ar ko īsteno Nolīgumu, ar ko īsteno Starptautiskās Darba organizācijas 2007. gada Konvenciju par darbu zvejniecībā, kas noslēgts 2012. gada 21. maijā starp Eiropas Savienības Lauksaimniecības kooperatīvu vispārējo konfederāciju (</w:t>
            </w:r>
            <w:r>
              <w:rPr>
                <w:rFonts w:ascii="Times New Roman" w:hAnsi="Times New Roman"/>
                <w:i/>
                <w:noProof/>
                <w:sz w:val="20"/>
              </w:rPr>
              <w:t>COGECA</w:t>
            </w:r>
            <w:r>
              <w:rPr>
                <w:rFonts w:ascii="Times New Roman" w:hAnsi="Times New Roman"/>
                <w:noProof/>
                <w:sz w:val="20"/>
              </w:rPr>
              <w:t>), Eiropas Transporta darbinieku federāciju (ETDF) un Eiropas Savienībā darbojošos Zvejnieku saimniecību nacionālo organizāciju asociāciju (</w:t>
            </w:r>
            <w:r>
              <w:rPr>
                <w:rFonts w:ascii="Times New Roman" w:hAnsi="Times New Roman"/>
                <w:i/>
                <w:noProof/>
                <w:sz w:val="20"/>
              </w:rPr>
              <w:t>Europêche</w:t>
            </w:r>
            <w:r>
              <w:rPr>
                <w:rFonts w:ascii="Times New Roman" w:hAnsi="Times New Roman"/>
                <w:noProof/>
                <w:sz w:val="20"/>
              </w:rPr>
              <w:t>)</w:t>
            </w:r>
          </w:p>
        </w:tc>
        <w:tc>
          <w:tcPr>
            <w:tcW w:w="1848" w:type="dxa"/>
            <w:vAlign w:val="center"/>
          </w:tcPr>
          <w:p>
            <w:pPr>
              <w:rPr>
                <w:rFonts w:ascii="Times New Roman" w:hAnsi="Times New Roman" w:cs="Times New Roman"/>
                <w:noProof/>
                <w:sz w:val="20"/>
                <w:szCs w:val="20"/>
              </w:rPr>
            </w:pPr>
            <w:hyperlink r:id="rId22">
              <w:r>
                <w:rPr>
                  <w:rStyle w:val="Hyperlink"/>
                  <w:rFonts w:ascii="Times New Roman" w:hAnsi="Times New Roman"/>
                  <w:noProof/>
                  <w:sz w:val="20"/>
                </w:rPr>
                <w:t>OV L 25</w:t>
              </w:r>
            </w:hyperlink>
            <w:r>
              <w:rPr>
                <w:rFonts w:ascii="Times New Roman" w:hAnsi="Times New Roman"/>
                <w:noProof/>
                <w:sz w:val="20"/>
              </w:rPr>
              <w:t>, 31.1.2017., 12. lpp.</w:t>
            </w:r>
          </w:p>
        </w:tc>
      </w:tr>
      <w:tr>
        <w:trPr>
          <w:trHeight w:val="273"/>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9</w:t>
            </w:r>
          </w:p>
        </w:tc>
        <w:tc>
          <w:tcPr>
            <w:tcW w:w="6791" w:type="dxa"/>
          </w:tcPr>
          <w:p>
            <w:pPr>
              <w:jc w:val="both"/>
              <w:rPr>
                <w:rFonts w:ascii="Times New Roman" w:hAnsi="Times New Roman" w:cs="Times New Roman"/>
                <w:noProof/>
                <w:sz w:val="20"/>
                <w:szCs w:val="20"/>
              </w:rPr>
            </w:pPr>
            <w:r>
              <w:rPr>
                <w:rFonts w:ascii="Times New Roman" w:hAnsi="Times New Roman"/>
                <w:noProof/>
                <w:sz w:val="20"/>
              </w:rPr>
              <w:t>Direktīva (ES) 2018/957, ar ko groza Direktīvu 96/71/EK par darba ņēmēju norīkošanu darbā pakalpojumu sniegšanas jomā</w:t>
            </w:r>
          </w:p>
        </w:tc>
        <w:tc>
          <w:tcPr>
            <w:tcW w:w="1848" w:type="dxa"/>
            <w:vAlign w:val="center"/>
          </w:tcPr>
          <w:p>
            <w:pPr>
              <w:rPr>
                <w:rFonts w:ascii="Times New Roman" w:hAnsi="Times New Roman" w:cs="Times New Roman"/>
                <w:noProof/>
                <w:sz w:val="20"/>
                <w:szCs w:val="20"/>
              </w:rPr>
            </w:pPr>
            <w:hyperlink r:id="rId23">
              <w:r>
                <w:rPr>
                  <w:rStyle w:val="Hyperlink"/>
                  <w:rFonts w:ascii="Times New Roman" w:hAnsi="Times New Roman"/>
                  <w:noProof/>
                  <w:sz w:val="20"/>
                </w:rPr>
                <w:t>OV L 173</w:t>
              </w:r>
            </w:hyperlink>
            <w:r>
              <w:rPr>
                <w:rFonts w:ascii="Times New Roman" w:hAnsi="Times New Roman"/>
                <w:noProof/>
                <w:color w:val="000000" w:themeColor="text1"/>
                <w:sz w:val="20"/>
              </w:rPr>
              <w:t>, 9.7.2018., 16. lpp.</w:t>
            </w:r>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10</w:t>
            </w:r>
          </w:p>
        </w:tc>
        <w:tc>
          <w:tcPr>
            <w:tcW w:w="6791" w:type="dxa"/>
          </w:tcPr>
          <w:p>
            <w:pPr>
              <w:jc w:val="both"/>
              <w:rPr>
                <w:rFonts w:ascii="Times New Roman" w:hAnsi="Times New Roman" w:cs="Times New Roman"/>
                <w:noProof/>
                <w:sz w:val="20"/>
                <w:szCs w:val="20"/>
              </w:rPr>
            </w:pPr>
            <w:r>
              <w:rPr>
                <w:rFonts w:ascii="Times New Roman" w:hAnsi="Times New Roman"/>
                <w:noProof/>
                <w:sz w:val="20"/>
              </w:rPr>
              <w:t>Regula (ES) 2017/2305, ar ko Regulu (ES) Nr. 1303/2013 groza attiecībā uz izmaiņām resursos, kas paredzēti ekonomiskajai, sociālajai un teritoriālajai kohēzijai, un resursos, kas paredzēti mērķim “Investīcijas izaugsmei un nodarbinātībai” un mērķim “Eiropas teritoriālā sadarbība”</w:t>
            </w:r>
          </w:p>
        </w:tc>
        <w:tc>
          <w:tcPr>
            <w:tcW w:w="1848" w:type="dxa"/>
            <w:vAlign w:val="center"/>
          </w:tcPr>
          <w:p>
            <w:pPr>
              <w:rPr>
                <w:rFonts w:ascii="Times New Roman" w:hAnsi="Times New Roman" w:cs="Times New Roman"/>
                <w:noProof/>
                <w:sz w:val="20"/>
                <w:szCs w:val="20"/>
              </w:rPr>
            </w:pPr>
            <w:hyperlink r:id="rId24">
              <w:r>
                <w:rPr>
                  <w:rStyle w:val="Hyperlink"/>
                  <w:rFonts w:ascii="Times New Roman" w:hAnsi="Times New Roman"/>
                  <w:noProof/>
                  <w:sz w:val="20"/>
                </w:rPr>
                <w:t>OV L 335</w:t>
              </w:r>
            </w:hyperlink>
            <w:r>
              <w:rPr>
                <w:rFonts w:ascii="Times New Roman" w:hAnsi="Times New Roman"/>
                <w:noProof/>
                <w:sz w:val="20"/>
              </w:rPr>
              <w:t>, 15.12.2017., 1. lpp.</w:t>
            </w:r>
          </w:p>
        </w:tc>
      </w:tr>
      <w:tr>
        <w:trPr>
          <w:trHeight w:val="273"/>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11</w:t>
            </w:r>
          </w:p>
        </w:tc>
        <w:tc>
          <w:tcPr>
            <w:tcW w:w="6791" w:type="dxa"/>
          </w:tcPr>
          <w:p>
            <w:pPr>
              <w:jc w:val="both"/>
              <w:rPr>
                <w:rFonts w:ascii="Times New Roman" w:hAnsi="Times New Roman" w:cs="Times New Roman"/>
                <w:noProof/>
                <w:sz w:val="20"/>
                <w:szCs w:val="20"/>
              </w:rPr>
            </w:pPr>
            <w:r>
              <w:rPr>
                <w:rFonts w:ascii="Times New Roman" w:hAnsi="Times New Roman"/>
                <w:noProof/>
                <w:sz w:val="20"/>
              </w:rPr>
              <w:t>Direktīva (ES) 2018/131, ar ko īsteno Eiropas Kopienas Kuģu īpašnieku asociāciju (EKKĪA) un Eiropas Transporta darbinieku federācijas (ETDF) nolīgumu grozīt Direktīvu 2009/13/EK saskaņā ar 2006. gada Konvencijas par darbu jūrniecībā 2014. gada grozījumiem, ko Starptautiskā Darba konference apstiprināja 2014. gada 11. jūnijā</w:t>
            </w:r>
          </w:p>
        </w:tc>
        <w:tc>
          <w:tcPr>
            <w:tcW w:w="1848" w:type="dxa"/>
            <w:vAlign w:val="center"/>
          </w:tcPr>
          <w:p>
            <w:pPr>
              <w:rPr>
                <w:rFonts w:ascii="Times New Roman" w:hAnsi="Times New Roman" w:cs="Times New Roman"/>
                <w:noProof/>
                <w:sz w:val="20"/>
                <w:szCs w:val="20"/>
              </w:rPr>
            </w:pPr>
            <w:hyperlink r:id="rId25">
              <w:r>
                <w:rPr>
                  <w:rStyle w:val="Hyperlink"/>
                  <w:rFonts w:ascii="Times New Roman" w:hAnsi="Times New Roman"/>
                  <w:noProof/>
                  <w:sz w:val="20"/>
                </w:rPr>
                <w:t>OV L 22</w:t>
              </w:r>
            </w:hyperlink>
            <w:r>
              <w:rPr>
                <w:rFonts w:ascii="Times New Roman" w:hAnsi="Times New Roman"/>
                <w:noProof/>
                <w:sz w:val="20"/>
              </w:rPr>
              <w:t>, 26.1.2018., 28. lpp.</w:t>
            </w:r>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12</w:t>
            </w:r>
          </w:p>
        </w:tc>
        <w:tc>
          <w:tcPr>
            <w:tcW w:w="6791" w:type="dxa"/>
          </w:tcPr>
          <w:p>
            <w:pPr>
              <w:jc w:val="both"/>
              <w:rPr>
                <w:rFonts w:ascii="Times New Roman" w:hAnsi="Times New Roman" w:cs="Times New Roman"/>
                <w:noProof/>
                <w:sz w:val="20"/>
                <w:szCs w:val="20"/>
              </w:rPr>
            </w:pPr>
            <w:r>
              <w:rPr>
                <w:rFonts w:ascii="Times New Roman" w:hAnsi="Times New Roman"/>
                <w:noProof/>
                <w:sz w:val="20"/>
              </w:rPr>
              <w:t>Padomes Ieteikums par Eiropas satvaru kvalitatīvai un rezultatīvai māceklībai</w:t>
            </w:r>
          </w:p>
        </w:tc>
        <w:tc>
          <w:tcPr>
            <w:tcW w:w="1848" w:type="dxa"/>
            <w:vAlign w:val="center"/>
          </w:tcPr>
          <w:p>
            <w:pPr>
              <w:rPr>
                <w:rFonts w:ascii="Times New Roman" w:hAnsi="Times New Roman" w:cs="Times New Roman"/>
                <w:noProof/>
                <w:sz w:val="20"/>
                <w:szCs w:val="20"/>
              </w:rPr>
            </w:pPr>
            <w:hyperlink r:id="rId26">
              <w:r>
                <w:rPr>
                  <w:rStyle w:val="Hyperlink"/>
                  <w:rFonts w:ascii="Times New Roman" w:hAnsi="Times New Roman"/>
                  <w:noProof/>
                  <w:sz w:val="20"/>
                </w:rPr>
                <w:t>OV C 153</w:t>
              </w:r>
            </w:hyperlink>
            <w:r>
              <w:rPr>
                <w:rFonts w:ascii="Times New Roman" w:hAnsi="Times New Roman"/>
                <w:noProof/>
                <w:sz w:val="20"/>
              </w:rPr>
              <w:t>, 2.5.2018., 1. lpp.</w:t>
            </w:r>
          </w:p>
        </w:tc>
      </w:tr>
      <w:tr>
        <w:trPr>
          <w:trHeight w:val="273"/>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13</w:t>
            </w:r>
          </w:p>
        </w:tc>
        <w:tc>
          <w:tcPr>
            <w:tcW w:w="6791" w:type="dxa"/>
          </w:tcPr>
          <w:p>
            <w:pPr>
              <w:jc w:val="both"/>
              <w:rPr>
                <w:rFonts w:ascii="Times New Roman" w:hAnsi="Times New Roman" w:cs="Times New Roman"/>
                <w:noProof/>
                <w:sz w:val="20"/>
                <w:szCs w:val="20"/>
              </w:rPr>
            </w:pPr>
            <w:r>
              <w:rPr>
                <w:rFonts w:ascii="Times New Roman" w:hAnsi="Times New Roman"/>
                <w:noProof/>
                <w:sz w:val="20"/>
              </w:rPr>
              <w:t>Lēmums (ES) 2018/646 par kopēju sistēmu labāku pakalpojumu sniegšanai attiecībā uz prasmēm un kvalifikācijām (</w:t>
            </w:r>
            <w:r>
              <w:rPr>
                <w:rFonts w:ascii="Times New Roman" w:hAnsi="Times New Roman"/>
                <w:i/>
                <w:noProof/>
                <w:sz w:val="20"/>
              </w:rPr>
              <w:t>Europass</w:t>
            </w:r>
            <w:r>
              <w:rPr>
                <w:rFonts w:ascii="Times New Roman" w:hAnsi="Times New Roman"/>
                <w:noProof/>
                <w:sz w:val="20"/>
              </w:rPr>
              <w:t>) un ar ko atceļ Lēmumu Nr. 2241/2004/EK</w:t>
            </w:r>
          </w:p>
        </w:tc>
        <w:tc>
          <w:tcPr>
            <w:tcW w:w="1848" w:type="dxa"/>
            <w:vAlign w:val="center"/>
          </w:tcPr>
          <w:p>
            <w:pPr>
              <w:rPr>
                <w:rFonts w:ascii="Times New Roman" w:hAnsi="Times New Roman" w:cs="Times New Roman"/>
                <w:noProof/>
                <w:sz w:val="20"/>
                <w:szCs w:val="20"/>
              </w:rPr>
            </w:pPr>
            <w:hyperlink r:id="rId27">
              <w:r>
                <w:rPr>
                  <w:rStyle w:val="Hyperlink"/>
                  <w:rFonts w:ascii="Times New Roman" w:hAnsi="Times New Roman"/>
                  <w:noProof/>
                  <w:sz w:val="20"/>
                </w:rPr>
                <w:t>OV L 112</w:t>
              </w:r>
            </w:hyperlink>
            <w:r>
              <w:rPr>
                <w:rFonts w:ascii="Times New Roman" w:hAnsi="Times New Roman"/>
                <w:noProof/>
                <w:sz w:val="20"/>
              </w:rPr>
              <w:t>, 2.5.2018., 42. lpp.</w:t>
            </w:r>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14</w:t>
            </w:r>
          </w:p>
        </w:tc>
        <w:tc>
          <w:tcPr>
            <w:tcW w:w="6791" w:type="dxa"/>
          </w:tcPr>
          <w:p>
            <w:pPr>
              <w:jc w:val="both"/>
              <w:rPr>
                <w:rFonts w:ascii="Times New Roman" w:hAnsi="Times New Roman" w:cs="Times New Roman"/>
                <w:noProof/>
                <w:sz w:val="20"/>
                <w:szCs w:val="20"/>
              </w:rPr>
            </w:pPr>
            <w:r>
              <w:rPr>
                <w:rFonts w:ascii="Times New Roman" w:hAnsi="Times New Roman"/>
                <w:noProof/>
                <w:sz w:val="20"/>
              </w:rPr>
              <w:t>Padomes Lēmums (ES) 2018/1215 par dalībvalstu nodarbinātības politikas pamatnostādnēm</w:t>
            </w:r>
          </w:p>
        </w:tc>
        <w:tc>
          <w:tcPr>
            <w:tcW w:w="1848" w:type="dxa"/>
            <w:vAlign w:val="center"/>
          </w:tcPr>
          <w:p>
            <w:pPr>
              <w:rPr>
                <w:rFonts w:ascii="Times New Roman" w:hAnsi="Times New Roman" w:cs="Times New Roman"/>
                <w:noProof/>
                <w:sz w:val="20"/>
                <w:szCs w:val="20"/>
              </w:rPr>
            </w:pPr>
            <w:hyperlink r:id="rId28">
              <w:r>
                <w:rPr>
                  <w:rStyle w:val="Hyperlink"/>
                  <w:rFonts w:ascii="Times New Roman" w:hAnsi="Times New Roman"/>
                  <w:noProof/>
                  <w:color w:val="0000FF"/>
                  <w:sz w:val="20"/>
                </w:rPr>
                <w:t>OV L 224</w:t>
              </w:r>
            </w:hyperlink>
            <w:r>
              <w:rPr>
                <w:rFonts w:ascii="Times New Roman" w:hAnsi="Times New Roman"/>
                <w:noProof/>
                <w:color w:val="0000FF"/>
                <w:sz w:val="20"/>
              </w:rPr>
              <w:t xml:space="preserve">, </w:t>
            </w:r>
            <w:r>
              <w:rPr>
                <w:rFonts w:ascii="Times New Roman" w:hAnsi="Times New Roman"/>
                <w:noProof/>
                <w:sz w:val="20"/>
              </w:rPr>
              <w:t>5.9.2018., 4. lpp.</w:t>
            </w:r>
          </w:p>
        </w:tc>
      </w:tr>
      <w:tr>
        <w:trPr>
          <w:trHeight w:val="273"/>
        </w:trPr>
        <w:tc>
          <w:tcPr>
            <w:tcW w:w="541" w:type="dxa"/>
          </w:tcPr>
          <w:p>
            <w:pPr>
              <w:jc w:val="center"/>
              <w:rPr>
                <w:rFonts w:ascii="Times New Roman" w:hAnsi="Times New Roman" w:cs="Times New Roman"/>
                <w:noProof/>
                <w:sz w:val="20"/>
                <w:szCs w:val="20"/>
              </w:rPr>
            </w:pPr>
            <w:r>
              <w:rPr>
                <w:rFonts w:ascii="Times New Roman" w:hAnsi="Times New Roman"/>
                <w:noProof/>
                <w:sz w:val="20"/>
              </w:rPr>
              <w:t>15</w:t>
            </w:r>
          </w:p>
        </w:tc>
        <w:tc>
          <w:tcPr>
            <w:tcW w:w="6791" w:type="dxa"/>
          </w:tcPr>
          <w:p>
            <w:pPr>
              <w:jc w:val="both"/>
              <w:rPr>
                <w:rFonts w:ascii="Times New Roman" w:hAnsi="Times New Roman" w:cs="Times New Roman"/>
                <w:noProof/>
                <w:sz w:val="20"/>
                <w:szCs w:val="20"/>
              </w:rPr>
            </w:pPr>
            <w:r>
              <w:rPr>
                <w:rFonts w:ascii="Times New Roman" w:hAnsi="Times New Roman"/>
                <w:noProof/>
                <w:sz w:val="20"/>
              </w:rPr>
              <w:t>Regula (ES) 2019/128, ar ko izveido Eiropas Profesionālās izglītības attīstības centru (</w:t>
            </w:r>
            <w:r>
              <w:rPr>
                <w:rFonts w:ascii="Times New Roman" w:hAnsi="Times New Roman"/>
                <w:i/>
                <w:noProof/>
                <w:sz w:val="20"/>
              </w:rPr>
              <w:t>Cedefop</w:t>
            </w:r>
            <w:r>
              <w:rPr>
                <w:rFonts w:ascii="Times New Roman" w:hAnsi="Times New Roman"/>
                <w:noProof/>
                <w:sz w:val="20"/>
              </w:rPr>
              <w:t>) un atceļ Regulu (EEK) Nr. 337/75</w:t>
            </w:r>
          </w:p>
        </w:tc>
        <w:tc>
          <w:tcPr>
            <w:tcW w:w="1848" w:type="dxa"/>
          </w:tcPr>
          <w:p>
            <w:pPr>
              <w:rPr>
                <w:rFonts w:ascii="Times New Roman" w:hAnsi="Times New Roman" w:cs="Times New Roman"/>
                <w:noProof/>
                <w:sz w:val="20"/>
                <w:szCs w:val="20"/>
              </w:rPr>
            </w:pPr>
            <w:hyperlink r:id="rId29">
              <w:r>
                <w:rPr>
                  <w:rStyle w:val="Hyperlink"/>
                  <w:rFonts w:ascii="Times New Roman" w:hAnsi="Times New Roman"/>
                  <w:noProof/>
                  <w:sz w:val="20"/>
                  <w:bdr w:val="none" w:sz="0" w:space="0" w:color="auto" w:frame="1"/>
                </w:rPr>
                <w:t>OV L 30</w:t>
              </w:r>
            </w:hyperlink>
            <w:r>
              <w:rPr>
                <w:rStyle w:val="epname"/>
                <w:rFonts w:ascii="Times New Roman" w:hAnsi="Times New Roman"/>
                <w:noProof/>
                <w:sz w:val="20"/>
                <w:bdr w:val="none" w:sz="0" w:space="0" w:color="auto" w:frame="1"/>
              </w:rPr>
              <w:t>, 31.1.2019., 90. lpp.</w:t>
            </w:r>
          </w:p>
        </w:tc>
      </w:tr>
      <w:tr>
        <w:trPr>
          <w:trHeight w:val="259"/>
        </w:trPr>
        <w:tc>
          <w:tcPr>
            <w:tcW w:w="541" w:type="dxa"/>
          </w:tcPr>
          <w:p>
            <w:pPr>
              <w:jc w:val="center"/>
              <w:rPr>
                <w:rFonts w:ascii="Times New Roman" w:hAnsi="Times New Roman" w:cs="Times New Roman"/>
                <w:noProof/>
                <w:sz w:val="20"/>
                <w:szCs w:val="20"/>
              </w:rPr>
            </w:pPr>
            <w:r>
              <w:rPr>
                <w:rFonts w:ascii="Times New Roman" w:hAnsi="Times New Roman"/>
                <w:noProof/>
                <w:sz w:val="20"/>
              </w:rPr>
              <w:t>16</w:t>
            </w:r>
          </w:p>
        </w:tc>
        <w:tc>
          <w:tcPr>
            <w:tcW w:w="6791" w:type="dxa"/>
          </w:tcPr>
          <w:p>
            <w:pPr>
              <w:jc w:val="both"/>
              <w:rPr>
                <w:rFonts w:ascii="Times New Roman" w:hAnsi="Times New Roman" w:cs="Times New Roman"/>
                <w:noProof/>
                <w:sz w:val="20"/>
                <w:szCs w:val="20"/>
              </w:rPr>
            </w:pPr>
            <w:r>
              <w:rPr>
                <w:rFonts w:ascii="Times New Roman" w:hAnsi="Times New Roman"/>
                <w:noProof/>
                <w:sz w:val="20"/>
              </w:rPr>
              <w:t>Regula (ES) 2019/127, ar ko izveido Eiropas Dzīves un darba apstākļu uzlabošanas fondu (</w:t>
            </w:r>
            <w:r>
              <w:rPr>
                <w:rFonts w:ascii="Times New Roman" w:hAnsi="Times New Roman"/>
                <w:i/>
                <w:noProof/>
                <w:sz w:val="20"/>
              </w:rPr>
              <w:t>Eurofound</w:t>
            </w:r>
            <w:r>
              <w:rPr>
                <w:rFonts w:ascii="Times New Roman" w:hAnsi="Times New Roman"/>
                <w:noProof/>
                <w:sz w:val="20"/>
              </w:rPr>
              <w:t>) un atceļ Padomes Regulu (EEK) Nr. 1365/75</w:t>
            </w:r>
          </w:p>
        </w:tc>
        <w:tc>
          <w:tcPr>
            <w:tcW w:w="1848" w:type="dxa"/>
          </w:tcPr>
          <w:p>
            <w:pPr>
              <w:rPr>
                <w:rFonts w:ascii="Times New Roman" w:hAnsi="Times New Roman" w:cs="Times New Roman"/>
                <w:noProof/>
                <w:sz w:val="20"/>
                <w:szCs w:val="20"/>
              </w:rPr>
            </w:pPr>
            <w:hyperlink r:id="rId30">
              <w:r>
                <w:rPr>
                  <w:rStyle w:val="Hyperlink"/>
                  <w:rFonts w:ascii="Times New Roman" w:hAnsi="Times New Roman"/>
                  <w:noProof/>
                  <w:sz w:val="20"/>
                  <w:bdr w:val="none" w:sz="0" w:space="0" w:color="auto" w:frame="1"/>
                </w:rPr>
                <w:t>OV L 30</w:t>
              </w:r>
            </w:hyperlink>
            <w:r>
              <w:rPr>
                <w:rStyle w:val="epname"/>
                <w:rFonts w:ascii="Times New Roman" w:hAnsi="Times New Roman"/>
                <w:noProof/>
                <w:sz w:val="20"/>
                <w:bdr w:val="none" w:sz="0" w:space="0" w:color="auto" w:frame="1"/>
              </w:rPr>
              <w:t>, 31.1.2019., 74. lpp.</w:t>
            </w:r>
          </w:p>
        </w:tc>
      </w:tr>
      <w:tr>
        <w:trPr>
          <w:trHeight w:val="273"/>
        </w:trPr>
        <w:tc>
          <w:tcPr>
            <w:tcW w:w="541" w:type="dxa"/>
          </w:tcPr>
          <w:p>
            <w:pPr>
              <w:jc w:val="center"/>
              <w:rPr>
                <w:rFonts w:ascii="Times New Roman" w:hAnsi="Times New Roman" w:cs="Times New Roman"/>
                <w:noProof/>
                <w:sz w:val="20"/>
                <w:szCs w:val="20"/>
              </w:rPr>
            </w:pPr>
            <w:r>
              <w:rPr>
                <w:rFonts w:ascii="Times New Roman" w:hAnsi="Times New Roman"/>
                <w:noProof/>
                <w:sz w:val="20"/>
              </w:rPr>
              <w:t>17</w:t>
            </w:r>
          </w:p>
        </w:tc>
        <w:tc>
          <w:tcPr>
            <w:tcW w:w="6791" w:type="dxa"/>
          </w:tcPr>
          <w:p>
            <w:pPr>
              <w:jc w:val="both"/>
              <w:rPr>
                <w:rFonts w:ascii="Times New Roman" w:hAnsi="Times New Roman" w:cs="Times New Roman"/>
                <w:noProof/>
                <w:sz w:val="20"/>
                <w:szCs w:val="20"/>
              </w:rPr>
            </w:pPr>
            <w:r>
              <w:rPr>
                <w:rFonts w:ascii="Times New Roman" w:hAnsi="Times New Roman"/>
                <w:noProof/>
                <w:sz w:val="20"/>
              </w:rPr>
              <w:t>Regula (ES) 2019/126, ar ko izveido Eiropas Darba drošības un veselības aizsardzības aģentūru (</w:t>
            </w:r>
            <w:r>
              <w:rPr>
                <w:rFonts w:ascii="Times New Roman" w:hAnsi="Times New Roman"/>
                <w:i/>
                <w:noProof/>
                <w:sz w:val="20"/>
              </w:rPr>
              <w:t>EU-OSHA</w:t>
            </w:r>
            <w:r>
              <w:rPr>
                <w:rFonts w:ascii="Times New Roman" w:hAnsi="Times New Roman"/>
                <w:noProof/>
                <w:sz w:val="20"/>
              </w:rPr>
              <w:t>) un atceļ Padomes Regulu (EK) Nr. 2062/94</w:t>
            </w:r>
          </w:p>
        </w:tc>
        <w:tc>
          <w:tcPr>
            <w:tcW w:w="1848" w:type="dxa"/>
          </w:tcPr>
          <w:p>
            <w:pPr>
              <w:rPr>
                <w:rFonts w:ascii="Times New Roman" w:hAnsi="Times New Roman" w:cs="Times New Roman"/>
                <w:noProof/>
                <w:sz w:val="20"/>
                <w:szCs w:val="20"/>
              </w:rPr>
            </w:pPr>
            <w:hyperlink r:id="rId31">
              <w:r>
                <w:rPr>
                  <w:rStyle w:val="Hyperlink"/>
                  <w:rFonts w:ascii="Times New Roman" w:hAnsi="Times New Roman"/>
                  <w:noProof/>
                  <w:sz w:val="20"/>
                  <w:bdr w:val="none" w:sz="0" w:space="0" w:color="auto" w:frame="1"/>
                </w:rPr>
                <w:t>OV L 30</w:t>
              </w:r>
            </w:hyperlink>
            <w:r>
              <w:rPr>
                <w:rStyle w:val="epname"/>
                <w:rFonts w:ascii="Times New Roman" w:hAnsi="Times New Roman"/>
                <w:noProof/>
                <w:color w:val="505154"/>
                <w:sz w:val="20"/>
                <w:bdr w:val="none" w:sz="0" w:space="0" w:color="auto" w:frame="1"/>
              </w:rPr>
              <w:t xml:space="preserve">, </w:t>
            </w:r>
            <w:r>
              <w:rPr>
                <w:rStyle w:val="epname"/>
                <w:rFonts w:ascii="Times New Roman" w:hAnsi="Times New Roman"/>
                <w:noProof/>
                <w:sz w:val="20"/>
                <w:bdr w:val="none" w:sz="0" w:space="0" w:color="auto" w:frame="1"/>
              </w:rPr>
              <w:t>31.1.2019., 58. lpp.</w:t>
            </w:r>
          </w:p>
        </w:tc>
      </w:tr>
      <w:tr>
        <w:trPr>
          <w:trHeight w:val="273"/>
        </w:trPr>
        <w:tc>
          <w:tcPr>
            <w:tcW w:w="541" w:type="dxa"/>
          </w:tcPr>
          <w:p>
            <w:pPr>
              <w:jc w:val="center"/>
              <w:rPr>
                <w:rFonts w:ascii="Times New Roman" w:hAnsi="Times New Roman" w:cs="Times New Roman"/>
                <w:noProof/>
                <w:sz w:val="20"/>
                <w:szCs w:val="20"/>
              </w:rPr>
            </w:pPr>
            <w:r>
              <w:rPr>
                <w:rFonts w:ascii="Times New Roman" w:hAnsi="Times New Roman"/>
                <w:noProof/>
                <w:sz w:val="20"/>
              </w:rPr>
              <w:t>18</w:t>
            </w:r>
          </w:p>
        </w:tc>
        <w:tc>
          <w:tcPr>
            <w:tcW w:w="6791" w:type="dxa"/>
          </w:tcPr>
          <w:p>
            <w:pPr>
              <w:jc w:val="both"/>
              <w:rPr>
                <w:rFonts w:ascii="Times New Roman" w:hAnsi="Times New Roman" w:cs="Times New Roman"/>
                <w:noProof/>
                <w:sz w:val="20"/>
                <w:szCs w:val="20"/>
              </w:rPr>
            </w:pPr>
            <w:r>
              <w:rPr>
                <w:rFonts w:ascii="Times New Roman" w:hAnsi="Times New Roman"/>
                <w:noProof/>
                <w:sz w:val="20"/>
              </w:rPr>
              <w:t>Direktīva (ES) 2019/130, ar ko groza Direktīvu 2004/37/EK par darba ņēmēju aizsardzību pret risku, kas saistīts ar kancerogēnu vai mutagēnu iedarbību darbā (II daļa)</w:t>
            </w:r>
          </w:p>
        </w:tc>
        <w:tc>
          <w:tcPr>
            <w:tcW w:w="1848" w:type="dxa"/>
          </w:tcPr>
          <w:p>
            <w:pPr>
              <w:rPr>
                <w:rFonts w:ascii="Times New Roman" w:hAnsi="Times New Roman" w:cs="Times New Roman"/>
                <w:noProof/>
                <w:sz w:val="20"/>
                <w:szCs w:val="20"/>
              </w:rPr>
            </w:pPr>
            <w:hyperlink r:id="rId32">
              <w:r>
                <w:rPr>
                  <w:rStyle w:val="Hyperlink"/>
                  <w:rFonts w:ascii="Times New Roman" w:hAnsi="Times New Roman"/>
                  <w:noProof/>
                  <w:sz w:val="20"/>
                  <w:bdr w:val="none" w:sz="0" w:space="0" w:color="auto" w:frame="1"/>
                </w:rPr>
                <w:t>OV L 30</w:t>
              </w:r>
            </w:hyperlink>
            <w:r>
              <w:rPr>
                <w:rStyle w:val="epname"/>
                <w:rFonts w:ascii="Times New Roman" w:hAnsi="Times New Roman"/>
                <w:noProof/>
                <w:sz w:val="20"/>
                <w:bdr w:val="none" w:sz="0" w:space="0" w:color="auto" w:frame="1"/>
              </w:rPr>
              <w:t>, 31.1.2019., 112. lpp.</w:t>
            </w:r>
          </w:p>
        </w:tc>
      </w:tr>
      <w:tr>
        <w:trPr>
          <w:trHeight w:val="273"/>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19</w:t>
            </w:r>
          </w:p>
        </w:tc>
        <w:tc>
          <w:tcPr>
            <w:tcW w:w="6791" w:type="dxa"/>
          </w:tcPr>
          <w:p>
            <w:pPr>
              <w:jc w:val="both"/>
              <w:rPr>
                <w:rFonts w:ascii="Times New Roman" w:hAnsi="Times New Roman" w:cs="Times New Roman"/>
                <w:noProof/>
                <w:sz w:val="20"/>
                <w:szCs w:val="20"/>
              </w:rPr>
            </w:pPr>
            <w:r>
              <w:rPr>
                <w:rFonts w:ascii="Times New Roman" w:hAnsi="Times New Roman"/>
                <w:noProof/>
                <w:sz w:val="20"/>
              </w:rPr>
              <w:t>Priekšlikums direktīvai par dalībvalstu normatīvo un administratīvo aktu tuvināšanu attiecībā uz produktu un pakalpojumu pieejamības prasībām</w:t>
            </w:r>
          </w:p>
        </w:tc>
        <w:tc>
          <w:tcPr>
            <w:tcW w:w="1848" w:type="dxa"/>
            <w:vAlign w:val="center"/>
          </w:tcPr>
          <w:p>
            <w:pPr>
              <w:pStyle w:val="Default"/>
              <w:jc w:val="both"/>
              <w:rPr>
                <w:rFonts w:ascii="Times New Roman" w:hAnsi="Times New Roman" w:cs="Times New Roman"/>
                <w:noProof/>
                <w:sz w:val="20"/>
                <w:szCs w:val="20"/>
              </w:rPr>
            </w:pPr>
            <w:hyperlink r:id="rId33">
              <w:r>
                <w:rPr>
                  <w:rStyle w:val="Hyperlink"/>
                  <w:rFonts w:ascii="Times New Roman" w:hAnsi="Times New Roman"/>
                  <w:noProof/>
                  <w:sz w:val="20"/>
                </w:rPr>
                <w:t>COM(2015) 615</w:t>
              </w:r>
            </w:hyperlink>
            <w:r>
              <w:rPr>
                <w:rFonts w:ascii="Times New Roman" w:hAnsi="Times New Roman"/>
                <w:noProof/>
                <w:sz w:val="20"/>
              </w:rPr>
              <w:t xml:space="preserve"> </w:t>
            </w:r>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20</w:t>
            </w:r>
          </w:p>
        </w:tc>
        <w:tc>
          <w:tcPr>
            <w:tcW w:w="6791" w:type="dxa"/>
          </w:tcPr>
          <w:p>
            <w:pPr>
              <w:jc w:val="both"/>
              <w:rPr>
                <w:rFonts w:ascii="Times New Roman" w:hAnsi="Times New Roman" w:cs="Times New Roman"/>
                <w:noProof/>
                <w:sz w:val="20"/>
                <w:szCs w:val="20"/>
              </w:rPr>
            </w:pPr>
            <w:r>
              <w:rPr>
                <w:rFonts w:ascii="Times New Roman" w:hAnsi="Times New Roman"/>
                <w:noProof/>
                <w:sz w:val="20"/>
              </w:rPr>
              <w:t>Priekšlikums regulai, ar kuru groza Regulu (EK) Nr. 883/2004 par sociālās nodrošināšanas sistēmu koordinēšanu un Regulu (EK) Nr. 987/2009, ar ko nosaka īstenošanas kārtību Regulai (EK) Nr. 883/2004</w:t>
            </w:r>
          </w:p>
        </w:tc>
        <w:tc>
          <w:tcPr>
            <w:tcW w:w="1848" w:type="dxa"/>
            <w:vAlign w:val="center"/>
          </w:tcPr>
          <w:p>
            <w:pPr>
              <w:pStyle w:val="Default"/>
              <w:jc w:val="both"/>
              <w:rPr>
                <w:rFonts w:ascii="Times New Roman" w:hAnsi="Times New Roman" w:cs="Times New Roman"/>
                <w:noProof/>
                <w:sz w:val="20"/>
                <w:szCs w:val="20"/>
              </w:rPr>
            </w:pPr>
            <w:hyperlink r:id="rId34">
              <w:r>
                <w:rPr>
                  <w:rFonts w:ascii="Times New Roman" w:hAnsi="Times New Roman"/>
                  <w:noProof/>
                  <w:color w:val="0000FF"/>
                  <w:sz w:val="20"/>
                  <w:u w:val="single"/>
                </w:rPr>
                <w:t>COM(2016) 815</w:t>
              </w:r>
            </w:hyperlink>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21</w:t>
            </w:r>
          </w:p>
        </w:tc>
        <w:tc>
          <w:tcPr>
            <w:tcW w:w="6791" w:type="dxa"/>
          </w:tcPr>
          <w:p>
            <w:pPr>
              <w:jc w:val="both"/>
              <w:rPr>
                <w:rFonts w:ascii="Times New Roman" w:hAnsi="Times New Roman" w:cs="Times New Roman"/>
                <w:noProof/>
                <w:sz w:val="20"/>
                <w:szCs w:val="20"/>
              </w:rPr>
            </w:pPr>
            <w:r>
              <w:rPr>
                <w:rFonts w:ascii="Times New Roman" w:hAnsi="Times New Roman"/>
                <w:noProof/>
                <w:sz w:val="20"/>
              </w:rPr>
              <w:t>Priekšlikums direktīvai par darba un privātās dzīves līdzsvaru vecākiem un aprūpētājiem, un ar ko atceļ Padomes Direktīvu 2010/18/ES</w:t>
            </w:r>
          </w:p>
        </w:tc>
        <w:tc>
          <w:tcPr>
            <w:tcW w:w="1848" w:type="dxa"/>
            <w:vAlign w:val="center"/>
          </w:tcPr>
          <w:p>
            <w:pPr>
              <w:pStyle w:val="Default"/>
              <w:jc w:val="both"/>
              <w:rPr>
                <w:rFonts w:ascii="Times New Roman" w:hAnsi="Times New Roman" w:cs="Times New Roman"/>
                <w:noProof/>
                <w:sz w:val="20"/>
                <w:szCs w:val="20"/>
              </w:rPr>
            </w:pPr>
            <w:hyperlink r:id="rId35">
              <w:r>
                <w:rPr>
                  <w:rStyle w:val="Hyperlink"/>
                  <w:rFonts w:ascii="Times New Roman" w:hAnsi="Times New Roman"/>
                  <w:noProof/>
                  <w:sz w:val="20"/>
                </w:rPr>
                <w:t>COM(2017) 253</w:t>
              </w:r>
            </w:hyperlink>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22</w:t>
            </w:r>
          </w:p>
        </w:tc>
        <w:tc>
          <w:tcPr>
            <w:tcW w:w="6791" w:type="dxa"/>
          </w:tcPr>
          <w:p>
            <w:pPr>
              <w:jc w:val="both"/>
              <w:rPr>
                <w:rFonts w:ascii="Times New Roman" w:hAnsi="Times New Roman" w:cs="Times New Roman"/>
                <w:noProof/>
                <w:sz w:val="20"/>
                <w:szCs w:val="20"/>
              </w:rPr>
            </w:pPr>
            <w:r>
              <w:rPr>
                <w:rFonts w:ascii="Times New Roman" w:hAnsi="Times New Roman"/>
                <w:noProof/>
                <w:sz w:val="20"/>
              </w:rPr>
              <w:t>Priekšlikums Eiropas Parlamenta un Padomes direktīvai par pārredzamiem un paredzamiem darba nosacījumiem Eiropas Savienībā</w:t>
            </w:r>
          </w:p>
        </w:tc>
        <w:tc>
          <w:tcPr>
            <w:tcW w:w="1848" w:type="dxa"/>
            <w:vAlign w:val="center"/>
          </w:tcPr>
          <w:p>
            <w:pPr>
              <w:pStyle w:val="Default"/>
              <w:jc w:val="both"/>
              <w:rPr>
                <w:rFonts w:ascii="Times New Roman" w:hAnsi="Times New Roman" w:cs="Times New Roman"/>
                <w:noProof/>
                <w:sz w:val="20"/>
                <w:szCs w:val="20"/>
              </w:rPr>
            </w:pPr>
            <w:hyperlink r:id="rId36">
              <w:r>
                <w:rPr>
                  <w:rStyle w:val="Hyperlink"/>
                  <w:rFonts w:ascii="Times New Roman" w:hAnsi="Times New Roman"/>
                  <w:noProof/>
                  <w:sz w:val="20"/>
                </w:rPr>
                <w:t>COM(2017) 797</w:t>
              </w:r>
            </w:hyperlink>
          </w:p>
        </w:tc>
      </w:tr>
      <w:tr>
        <w:trPr>
          <w:trHeight w:val="273"/>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23</w:t>
            </w:r>
          </w:p>
        </w:tc>
        <w:tc>
          <w:tcPr>
            <w:tcW w:w="6791" w:type="dxa"/>
          </w:tcPr>
          <w:p>
            <w:pPr>
              <w:jc w:val="both"/>
              <w:rPr>
                <w:rFonts w:ascii="Times New Roman" w:hAnsi="Times New Roman" w:cs="Times New Roman"/>
                <w:noProof/>
                <w:sz w:val="20"/>
                <w:szCs w:val="20"/>
              </w:rPr>
            </w:pPr>
            <w:r>
              <w:rPr>
                <w:rFonts w:ascii="Times New Roman" w:hAnsi="Times New Roman"/>
                <w:noProof/>
                <w:sz w:val="20"/>
              </w:rPr>
              <w:t>Priekšlikums Eiropas Parlamenta un Padomes Regulai, ar ko izveido Eiropas Darba iestādi</w:t>
            </w:r>
          </w:p>
        </w:tc>
        <w:tc>
          <w:tcPr>
            <w:tcW w:w="1848" w:type="dxa"/>
            <w:vAlign w:val="center"/>
          </w:tcPr>
          <w:p>
            <w:pPr>
              <w:jc w:val="both"/>
              <w:rPr>
                <w:rFonts w:ascii="Times New Roman" w:hAnsi="Times New Roman" w:cs="Times New Roman"/>
                <w:noProof/>
                <w:sz w:val="20"/>
                <w:szCs w:val="20"/>
              </w:rPr>
            </w:pPr>
            <w:hyperlink r:id="rId37">
              <w:r>
                <w:rPr>
                  <w:rStyle w:val="Hyperlink"/>
                  <w:rFonts w:ascii="Times New Roman" w:hAnsi="Times New Roman"/>
                  <w:noProof/>
                  <w:sz w:val="20"/>
                </w:rPr>
                <w:t>COM(2018) 131</w:t>
              </w:r>
            </w:hyperlink>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24</w:t>
            </w:r>
          </w:p>
        </w:tc>
        <w:tc>
          <w:tcPr>
            <w:tcW w:w="6791" w:type="dxa"/>
          </w:tcPr>
          <w:p>
            <w:pPr>
              <w:jc w:val="both"/>
              <w:rPr>
                <w:rFonts w:ascii="Times New Roman" w:hAnsi="Times New Roman" w:cs="Times New Roman"/>
                <w:noProof/>
                <w:sz w:val="20"/>
                <w:szCs w:val="20"/>
              </w:rPr>
            </w:pPr>
            <w:r>
              <w:rPr>
                <w:rFonts w:ascii="Times New Roman" w:hAnsi="Times New Roman"/>
                <w:noProof/>
                <w:sz w:val="20"/>
              </w:rPr>
              <w:t>Priekšlikums ieteikumam par darbinieku un pašnodarbināto personu piekļuvi sociālajai aizsardzībai</w:t>
            </w:r>
          </w:p>
        </w:tc>
        <w:tc>
          <w:tcPr>
            <w:tcW w:w="1848" w:type="dxa"/>
            <w:vAlign w:val="center"/>
          </w:tcPr>
          <w:p>
            <w:pPr>
              <w:pStyle w:val="Default"/>
              <w:jc w:val="both"/>
              <w:rPr>
                <w:rFonts w:ascii="Times New Roman" w:hAnsi="Times New Roman" w:cs="Times New Roman"/>
                <w:noProof/>
                <w:sz w:val="20"/>
                <w:szCs w:val="20"/>
              </w:rPr>
            </w:pPr>
            <w:hyperlink r:id="rId38">
              <w:r>
                <w:rPr>
                  <w:rStyle w:val="Hyperlink"/>
                  <w:rFonts w:ascii="Times New Roman" w:hAnsi="Times New Roman"/>
                  <w:noProof/>
                  <w:sz w:val="20"/>
                </w:rPr>
                <w:t>COM(2018) 132</w:t>
              </w:r>
            </w:hyperlink>
          </w:p>
        </w:tc>
      </w:tr>
      <w:tr>
        <w:trPr>
          <w:trHeight w:val="273"/>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25</w:t>
            </w:r>
          </w:p>
        </w:tc>
        <w:tc>
          <w:tcPr>
            <w:tcW w:w="6791" w:type="dxa"/>
          </w:tcPr>
          <w:p>
            <w:pPr>
              <w:jc w:val="both"/>
              <w:rPr>
                <w:rFonts w:ascii="Times New Roman" w:hAnsi="Times New Roman" w:cs="Times New Roman"/>
                <w:noProof/>
                <w:sz w:val="20"/>
                <w:szCs w:val="20"/>
              </w:rPr>
            </w:pPr>
            <w:r>
              <w:rPr>
                <w:rFonts w:ascii="Times New Roman" w:hAnsi="Times New Roman"/>
                <w:noProof/>
                <w:sz w:val="20"/>
              </w:rPr>
              <w:t>Priekšlikums direktīvai, ar ko groza Direktīvu 2004/37/EK par darba ņēmēju aizsardzību pret risku, kas saistīts ar kancerogēnu vai mutagēnu iedarbību darbā (III daļa)</w:t>
            </w:r>
          </w:p>
        </w:tc>
        <w:tc>
          <w:tcPr>
            <w:tcW w:w="1848" w:type="dxa"/>
            <w:vAlign w:val="center"/>
          </w:tcPr>
          <w:p>
            <w:pPr>
              <w:pStyle w:val="Default"/>
              <w:jc w:val="both"/>
              <w:rPr>
                <w:rFonts w:ascii="Times New Roman" w:hAnsi="Times New Roman" w:cs="Times New Roman"/>
                <w:noProof/>
                <w:sz w:val="20"/>
                <w:szCs w:val="20"/>
              </w:rPr>
            </w:pPr>
            <w:hyperlink r:id="rId39">
              <w:r>
                <w:rPr>
                  <w:rStyle w:val="Hyperlink"/>
                  <w:rFonts w:ascii="Times New Roman" w:hAnsi="Times New Roman"/>
                  <w:noProof/>
                  <w:sz w:val="20"/>
                </w:rPr>
                <w:t>COM(2018) 171</w:t>
              </w:r>
            </w:hyperlink>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26</w:t>
            </w:r>
          </w:p>
        </w:tc>
        <w:tc>
          <w:tcPr>
            <w:tcW w:w="6791" w:type="dxa"/>
          </w:tcPr>
          <w:p>
            <w:pPr>
              <w:jc w:val="both"/>
              <w:rPr>
                <w:rFonts w:ascii="Times New Roman" w:hAnsi="Times New Roman" w:cs="Times New Roman"/>
                <w:noProof/>
                <w:sz w:val="20"/>
                <w:szCs w:val="20"/>
              </w:rPr>
            </w:pPr>
            <w:r>
              <w:rPr>
                <w:rFonts w:ascii="Times New Roman" w:hAnsi="Times New Roman"/>
                <w:noProof/>
                <w:sz w:val="20"/>
              </w:rPr>
              <w:t>Priekšlikums regulai par Eiropas Globalizācijas pielāgošanās fondu (EGF)</w:t>
            </w:r>
          </w:p>
        </w:tc>
        <w:tc>
          <w:tcPr>
            <w:tcW w:w="1848" w:type="dxa"/>
            <w:vAlign w:val="center"/>
          </w:tcPr>
          <w:p>
            <w:pPr>
              <w:pStyle w:val="Default"/>
              <w:jc w:val="both"/>
              <w:rPr>
                <w:rFonts w:ascii="Times New Roman" w:hAnsi="Times New Roman" w:cs="Times New Roman"/>
                <w:noProof/>
                <w:sz w:val="20"/>
                <w:szCs w:val="20"/>
              </w:rPr>
            </w:pPr>
            <w:hyperlink r:id="rId40">
              <w:r>
                <w:rPr>
                  <w:rStyle w:val="Hyperlink"/>
                  <w:rFonts w:ascii="Times New Roman" w:hAnsi="Times New Roman"/>
                  <w:noProof/>
                  <w:sz w:val="20"/>
                </w:rPr>
                <w:t>COM(2018) 380</w:t>
              </w:r>
            </w:hyperlink>
          </w:p>
        </w:tc>
      </w:tr>
      <w:tr>
        <w:trPr>
          <w:trHeight w:val="273"/>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27</w:t>
            </w:r>
          </w:p>
        </w:tc>
        <w:tc>
          <w:tcPr>
            <w:tcW w:w="6791" w:type="dxa"/>
          </w:tcPr>
          <w:p>
            <w:pPr>
              <w:jc w:val="both"/>
              <w:rPr>
                <w:rFonts w:ascii="Times New Roman" w:hAnsi="Times New Roman" w:cs="Times New Roman"/>
                <w:noProof/>
                <w:sz w:val="20"/>
                <w:szCs w:val="20"/>
              </w:rPr>
            </w:pPr>
            <w:r>
              <w:rPr>
                <w:rFonts w:ascii="Times New Roman" w:hAnsi="Times New Roman"/>
                <w:noProof/>
                <w:sz w:val="20"/>
              </w:rPr>
              <w:t>Priekšlikums regulai par Eiropas Sociālo fondu Plus (ESF+)</w:t>
            </w:r>
          </w:p>
        </w:tc>
        <w:tc>
          <w:tcPr>
            <w:tcW w:w="1848" w:type="dxa"/>
            <w:vAlign w:val="center"/>
          </w:tcPr>
          <w:p>
            <w:pPr>
              <w:jc w:val="both"/>
              <w:rPr>
                <w:rFonts w:ascii="Times New Roman" w:hAnsi="Times New Roman" w:cs="Times New Roman"/>
                <w:noProof/>
                <w:sz w:val="20"/>
                <w:szCs w:val="20"/>
              </w:rPr>
            </w:pPr>
            <w:hyperlink r:id="rId41">
              <w:r>
                <w:rPr>
                  <w:rStyle w:val="Hyperlink"/>
                  <w:rFonts w:ascii="Times New Roman" w:hAnsi="Times New Roman"/>
                  <w:noProof/>
                  <w:sz w:val="20"/>
                </w:rPr>
                <w:t>COM(2018) 382</w:t>
              </w:r>
            </w:hyperlink>
          </w:p>
        </w:tc>
      </w:tr>
    </w:tbl>
    <w:p>
      <w:pPr>
        <w:jc w:val="right"/>
        <w:rPr>
          <w:rFonts w:ascii="Times New Roman" w:hAnsi="Times New Roman" w:cs="Times New Roman"/>
          <w:noProof/>
          <w:sz w:val="24"/>
          <w:szCs w:val="24"/>
        </w:rPr>
      </w:pPr>
    </w:p>
    <w:p>
      <w:pPr>
        <w:rPr>
          <w:rFonts w:ascii="Times New Roman" w:hAnsi="Times New Roman" w:cs="Times New Roman"/>
          <w:noProof/>
        </w:rPr>
      </w:pPr>
    </w:p>
    <w:sectPr>
      <w:headerReference w:type="even" r:id="rId42"/>
      <w:headerReference w:type="default" r:id="rId43"/>
      <w:footerReference w:type="even" r:id="rId44"/>
      <w:footerReference w:type="default" r:id="rId45"/>
      <w:headerReference w:type="first" r:id="rId46"/>
      <w:footerReference w:type="first" r:id="rId47"/>
      <w:pgSz w:w="11906" w:h="16838"/>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413">
    <w:altName w:val="MS Gothic"/>
    <w:charset w:val="8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786329"/>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noProof/>
          </w:rPr>
          <w:fldChar w:fldCharType="end"/>
        </w:r>
      </w:p>
    </w:sdtContent>
  </w:sdt>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1"/>
        <w:spacing w:after="0" w:line="240" w:lineRule="auto"/>
        <w:ind w:left="284" w:hanging="284"/>
        <w:jc w:val="both"/>
        <w:rPr>
          <w:rFonts w:ascii="Times New Roman" w:eastAsiaTheme="minorHAnsi" w:hAnsi="Times New Roman" w:cs="Times New Roman"/>
          <w:lang w:eastAsia="en-US"/>
        </w:rPr>
      </w:pPr>
      <w:r>
        <w:rPr>
          <w:rStyle w:val="FootnoteReference"/>
          <w:rFonts w:ascii="Times New Roman" w:hAnsi="Times New Roman"/>
        </w:rPr>
        <w:footnoteRef/>
      </w:r>
      <w:r>
        <w:rPr>
          <w:rFonts w:ascii="Times New Roman" w:hAnsi="Times New Roman"/>
        </w:rPr>
        <w:t xml:space="preserve"> </w:t>
      </w:r>
      <w:r>
        <w:tab/>
      </w:r>
      <w:r>
        <w:rPr>
          <w:rFonts w:ascii="Times New Roman" w:eastAsiaTheme="minorHAnsi" w:hAnsi="Times New Roman"/>
        </w:rPr>
        <w:t>Darba ņēmēju sociālā nodrošinājuma un sociālās aizsardzības joma (LESD 153. panta 1. punkta c) apakšpunkts) pārklājas ar sociālās aizsardzības sistēmu modernizācijas jomu (LESD 153. panta 1. punkta k) apakšpunkts). Šādos gadījumos k) apakšpunkts paredz prioritātes noteikumu, saskaņā ar kuru minēto apakšpunktu piemēro, neskarot c) apakšpunktu.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B302C"/>
    <w:multiLevelType w:val="hybridMultilevel"/>
    <w:tmpl w:val="AF9A16BC"/>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1371E6"/>
    <w:multiLevelType w:val="hybridMultilevel"/>
    <w:tmpl w:val="B542345E"/>
    <w:lvl w:ilvl="0" w:tplc="46349112">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nsid w:val="7D556E7A"/>
    <w:multiLevelType w:val="hybridMultilevel"/>
    <w:tmpl w:val="FD98557E"/>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TONE Annelisa (EMPL)">
    <w15:presenceInfo w15:providerId="None" w15:userId="COTONE Annelisa (EMP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hideGrammaticalErrors/>
  <w:revisionView w:markup="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okumentam"/>
    <w:docVar w:name="LW_ANNEX_NBR_FIRST" w:val="1"/>
    <w:docVar w:name="LW_ANNEX_NBR_LAST" w:val="2"/>
    <w:docVar w:name="LW_ANNEX_UNIQUE" w:val="0"/>
    <w:docVar w:name="LW_CORRIGENDUM" w:val="&lt;UNUSED&gt;"/>
    <w:docVar w:name="LW_COVERPAGE_EXISTS" w:val="True"/>
    <w:docVar w:name="LW_COVERPAGE_GUID" w:val="34C6E2D4-6B44-4D05-B648-D747B5FA12C4"/>
    <w:docVar w:name="LW_COVERPAGE_TYPE" w:val="1"/>
    <w:docVar w:name="LW_CROSSREFERENCE" w:val="&lt;UNUSED&gt;"/>
    <w:docVar w:name="LW_DocType" w:val="NORMAL"/>
    <w:docVar w:name="LW_EMISSION" w:val="16.4.2019"/>
    <w:docVar w:name="LW_EMISSION_ISODATE" w:val="2019-04-16"/>
    <w:docVar w:name="LW_EMISSION_LOCATION" w:val="STR"/>
    <w:docVar w:name="LW_EMISSION_PREFIX" w:val="Strasbūrā, "/>
    <w:docVar w:name="LW_EMISSION_SUFFIX" w:val="."/>
    <w:docVar w:name="LW_ID_DOCTYPE_NONLW" w:val="CP-039"/>
    <w:docVar w:name="LW_LANGUE" w:val="LV"/>
    <w:docVar w:name="LW_LEVEL_OF_SENSITIVITY" w:val="Standard treatment"/>
    <w:docVar w:name="LW_NOM.INST" w:val="EIROPAS KOMISIJA"/>
    <w:docVar w:name="LW_NOM.INST_JOINTDOC" w:val="&lt;EMPTY&gt;"/>
    <w:docVar w:name="LW_OBJETACTEPRINCIPAL.CP" w:val="Efekt\u299?v\u257?ka l\u275?mumu pie\u326?em\u353?ana soci\u257?laj\u257? politik\u257?:_x000b__x000b_nosak\u257?m jomas, kur\u257?s j\u257?virz\u257?s uz kvalific\u275?ta vair\u257?kuma balso\u353?anas pastiprin\u257?tu izmanto\u353?anu_x000b_"/>
    <w:docVar w:name="LW_PART_NBR" w:val="&lt;UNUSED&gt;"/>
    <w:docVar w:name="LW_PART_NBR_TOTAL" w:val="&lt;UNUSED&gt;"/>
    <w:docVar w:name="LW_REF.INST.NEW" w:val="COM"/>
    <w:docVar w:name="LW_REF.INST.NEW_ADOPTED" w:val="final"/>
    <w:docVar w:name="LW_REF.INST.NEW_TEXT" w:val="(2019) 1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PIELIKUMI_x000b_"/>
    <w:docVar w:name="LW_TYPEACTEPRINCIPAL.CP" w:val="KOMISIJAS PAZI\u325?OJUMS EIROPAS PARLAMENTAM, EIROPADOMEI, PADOMEI, EIROPAS EKONOMIKAS UN SOCI\u256?LO LIETU KOMITEJAI UN RE\u290?IONU KOMITEJA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563C1"/>
      <w:u w:val="single"/>
    </w:rPr>
  </w:style>
  <w:style w:type="character" w:styleId="FootnoteReference">
    <w:name w:val="footnote reference"/>
    <w:aliases w:val="Footnote symbol,Footnote reference number,Times 10 Point,Exposant 3 Point,EN Footnote Reference,note TESI,Footnote,BVI fnr,Footnote Reference Number,E FNZ,-E Fußnotenzeichen,Footnote#,Ref,de nota al pie,SUPERS,Footnotes refss,Fussnota"/>
    <w:uiPriority w:val="99"/>
    <w:qFormat/>
    <w:rPr>
      <w:vertAlign w:val="superscript"/>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suppressAutoHyphens/>
      <w:spacing w:after="200" w:line="276" w:lineRule="auto"/>
      <w:ind w:left="720"/>
    </w:pPr>
    <w:rPr>
      <w:rFonts w:ascii="Calibri" w:eastAsia="SimSun" w:hAnsi="Calibri" w:cs="font413"/>
    </w:rPr>
  </w:style>
  <w:style w:type="paragraph" w:customStyle="1" w:styleId="footnotetext1">
    <w:name w:val="footnote text1"/>
    <w:aliases w:val="footnote text,fußn,Fußnote,Footnotes,fn,Fussnote"/>
    <w:basedOn w:val="Normal"/>
    <w:uiPriority w:val="99"/>
    <w:qFormat/>
    <w:pPr>
      <w:suppressLineNumbers/>
      <w:suppressAutoHyphens/>
      <w:spacing w:after="200" w:line="276" w:lineRule="auto"/>
      <w:ind w:left="283" w:hanging="283"/>
    </w:pPr>
    <w:rPr>
      <w:rFonts w:ascii="Calibri" w:eastAsia="SimSun" w:hAnsi="Calibri" w:cs="font413"/>
      <w:sz w:val="20"/>
      <w:szCs w:val="20"/>
    </w:rPr>
  </w:style>
  <w:style w:type="paragraph" w:styleId="Header">
    <w:name w:val="header"/>
    <w:basedOn w:val="Normal"/>
    <w:link w:val="HeaderChar"/>
    <w:uiPriority w:val="99"/>
    <w:unhideWhenUsed/>
    <w:pPr>
      <w:tabs>
        <w:tab w:val="center" w:pos="4513"/>
        <w:tab w:val="right" w:pos="9026"/>
      </w:tabs>
      <w:suppressAutoHyphens/>
      <w:spacing w:after="0" w:line="240" w:lineRule="auto"/>
    </w:pPr>
    <w:rPr>
      <w:rFonts w:ascii="Calibri" w:eastAsia="SimSun" w:hAnsi="Calibri" w:cs="font413"/>
    </w:rPr>
  </w:style>
  <w:style w:type="character" w:customStyle="1" w:styleId="HeaderChar">
    <w:name w:val="Header Char"/>
    <w:basedOn w:val="DefaultParagraphFont"/>
    <w:link w:val="Header"/>
    <w:uiPriority w:val="99"/>
    <w:rPr>
      <w:rFonts w:ascii="Calibri" w:eastAsia="SimSun" w:hAnsi="Calibri" w:cs="font413"/>
      <w:lang w:eastAsia="lv-LV"/>
    </w:rPr>
  </w:style>
  <w:style w:type="paragraph" w:styleId="Footer">
    <w:name w:val="footer"/>
    <w:basedOn w:val="Normal"/>
    <w:link w:val="FooterChar"/>
    <w:uiPriority w:val="99"/>
    <w:unhideWhenUsed/>
    <w:pPr>
      <w:tabs>
        <w:tab w:val="center" w:pos="4513"/>
        <w:tab w:val="right" w:pos="9026"/>
      </w:tabs>
      <w:suppressAutoHyphens/>
      <w:spacing w:after="0" w:line="240" w:lineRule="auto"/>
    </w:pPr>
    <w:rPr>
      <w:rFonts w:ascii="Calibri" w:eastAsia="SimSun" w:hAnsi="Calibri" w:cs="font413"/>
    </w:rPr>
  </w:style>
  <w:style w:type="character" w:customStyle="1" w:styleId="FooterChar">
    <w:name w:val="Footer Char"/>
    <w:basedOn w:val="DefaultParagraphFont"/>
    <w:link w:val="Footer"/>
    <w:uiPriority w:val="99"/>
    <w:rPr>
      <w:rFonts w:ascii="Calibri" w:eastAsia="SimSun" w:hAnsi="Calibri" w:cs="font413"/>
      <w:lang w:eastAsia="lv-LV"/>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overPage">
    <w:name w:val="Footer Cover Page"/>
    <w:basedOn w:val="Normal"/>
    <w:link w:val="FooterCoverPageChar"/>
    <w:pPr>
      <w:tabs>
        <w:tab w:val="center" w:pos="4535"/>
        <w:tab w:val="right" w:pos="9071"/>
        <w:tab w:val="right" w:pos="9921"/>
      </w:tabs>
      <w:suppressAutoHyphen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uppressAutoHyphen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rPr>
      <w:rFonts w:ascii="Calibri" w:eastAsia="SimSun" w:hAnsi="Calibri" w:cs="font413"/>
      <w:lang w:eastAsia="lv-LV"/>
    </w:rPr>
  </w:style>
  <w:style w:type="character" w:customStyle="1" w:styleId="epname">
    <w:name w:val="ep_name"/>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563C1"/>
      <w:u w:val="single"/>
    </w:rPr>
  </w:style>
  <w:style w:type="character" w:styleId="FootnoteReference">
    <w:name w:val="footnote reference"/>
    <w:aliases w:val="Footnote symbol,Footnote reference number,Times 10 Point,Exposant 3 Point,EN Footnote Reference,note TESI,Footnote,BVI fnr,Footnote Reference Number,E FNZ,-E Fußnotenzeichen,Footnote#,Ref,de nota al pie,SUPERS,Footnotes refss,Fussnota"/>
    <w:uiPriority w:val="99"/>
    <w:qFormat/>
    <w:rPr>
      <w:vertAlign w:val="superscript"/>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suppressAutoHyphens/>
      <w:spacing w:after="200" w:line="276" w:lineRule="auto"/>
      <w:ind w:left="720"/>
    </w:pPr>
    <w:rPr>
      <w:rFonts w:ascii="Calibri" w:eastAsia="SimSun" w:hAnsi="Calibri" w:cs="font413"/>
    </w:rPr>
  </w:style>
  <w:style w:type="paragraph" w:customStyle="1" w:styleId="footnotetext1">
    <w:name w:val="footnote text1"/>
    <w:aliases w:val="footnote text,fußn,Fußnote,Footnotes,fn,Fussnote"/>
    <w:basedOn w:val="Normal"/>
    <w:uiPriority w:val="99"/>
    <w:qFormat/>
    <w:pPr>
      <w:suppressLineNumbers/>
      <w:suppressAutoHyphens/>
      <w:spacing w:after="200" w:line="276" w:lineRule="auto"/>
      <w:ind w:left="283" w:hanging="283"/>
    </w:pPr>
    <w:rPr>
      <w:rFonts w:ascii="Calibri" w:eastAsia="SimSun" w:hAnsi="Calibri" w:cs="font413"/>
      <w:sz w:val="20"/>
      <w:szCs w:val="20"/>
    </w:rPr>
  </w:style>
  <w:style w:type="paragraph" w:styleId="Header">
    <w:name w:val="header"/>
    <w:basedOn w:val="Normal"/>
    <w:link w:val="HeaderChar"/>
    <w:uiPriority w:val="99"/>
    <w:unhideWhenUsed/>
    <w:pPr>
      <w:tabs>
        <w:tab w:val="center" w:pos="4513"/>
        <w:tab w:val="right" w:pos="9026"/>
      </w:tabs>
      <w:suppressAutoHyphens/>
      <w:spacing w:after="0" w:line="240" w:lineRule="auto"/>
    </w:pPr>
    <w:rPr>
      <w:rFonts w:ascii="Calibri" w:eastAsia="SimSun" w:hAnsi="Calibri" w:cs="font413"/>
    </w:rPr>
  </w:style>
  <w:style w:type="character" w:customStyle="1" w:styleId="HeaderChar">
    <w:name w:val="Header Char"/>
    <w:basedOn w:val="DefaultParagraphFont"/>
    <w:link w:val="Header"/>
    <w:uiPriority w:val="99"/>
    <w:rPr>
      <w:rFonts w:ascii="Calibri" w:eastAsia="SimSun" w:hAnsi="Calibri" w:cs="font413"/>
      <w:lang w:eastAsia="lv-LV"/>
    </w:rPr>
  </w:style>
  <w:style w:type="paragraph" w:styleId="Footer">
    <w:name w:val="footer"/>
    <w:basedOn w:val="Normal"/>
    <w:link w:val="FooterChar"/>
    <w:uiPriority w:val="99"/>
    <w:unhideWhenUsed/>
    <w:pPr>
      <w:tabs>
        <w:tab w:val="center" w:pos="4513"/>
        <w:tab w:val="right" w:pos="9026"/>
      </w:tabs>
      <w:suppressAutoHyphens/>
      <w:spacing w:after="0" w:line="240" w:lineRule="auto"/>
    </w:pPr>
    <w:rPr>
      <w:rFonts w:ascii="Calibri" w:eastAsia="SimSun" w:hAnsi="Calibri" w:cs="font413"/>
    </w:rPr>
  </w:style>
  <w:style w:type="character" w:customStyle="1" w:styleId="FooterChar">
    <w:name w:val="Footer Char"/>
    <w:basedOn w:val="DefaultParagraphFont"/>
    <w:link w:val="Footer"/>
    <w:uiPriority w:val="99"/>
    <w:rPr>
      <w:rFonts w:ascii="Calibri" w:eastAsia="SimSun" w:hAnsi="Calibri" w:cs="font413"/>
      <w:lang w:eastAsia="lv-LV"/>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overPage">
    <w:name w:val="Footer Cover Page"/>
    <w:basedOn w:val="Normal"/>
    <w:link w:val="FooterCoverPageChar"/>
    <w:pPr>
      <w:tabs>
        <w:tab w:val="center" w:pos="4535"/>
        <w:tab w:val="right" w:pos="9071"/>
        <w:tab w:val="right" w:pos="9921"/>
      </w:tabs>
      <w:suppressAutoHyphen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uppressAutoHyphen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rPr>
      <w:rFonts w:ascii="Calibri" w:eastAsia="SimSun" w:hAnsi="Calibri" w:cs="font413"/>
      <w:lang w:eastAsia="lv-LV"/>
    </w:rPr>
  </w:style>
  <w:style w:type="character" w:customStyle="1" w:styleId="epname">
    <w:name w:val="ep_name"/>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eur-lex.europa.eu/legal-content/LV/ALL/?uri=OJ:L:2016:280:TOC" TargetMode="External"/><Relationship Id="rId26" Type="http://schemas.openxmlformats.org/officeDocument/2006/relationships/hyperlink" Target="https://eur-lex.europa.eu/legal-content/LV/ALL/?uri=OJ:C:2018:153:TOC" TargetMode="External"/><Relationship Id="rId39" Type="http://schemas.openxmlformats.org/officeDocument/2006/relationships/hyperlink" Target="https://eur-lex.europa.eu/legal-content/LV/TXT/?uri=CELEX:52018PC0171" TargetMode="External"/><Relationship Id="rId3" Type="http://schemas.microsoft.com/office/2007/relationships/stylesWithEffects" Target="stylesWithEffects.xml"/><Relationship Id="rId21" Type="http://schemas.openxmlformats.org/officeDocument/2006/relationships/hyperlink" Target="https://eur-lex.europa.eu/legal-content/LV/ALL/?uri=OJ:C:2016:484:TOC" TargetMode="External"/><Relationship Id="rId34" Type="http://schemas.openxmlformats.org/officeDocument/2006/relationships/hyperlink" Target="https://eur-lex.europa.eu/legal-content/LV/TXT/?uri=CELEX:52016PC0815" TargetMode="External"/><Relationship Id="rId42" Type="http://schemas.openxmlformats.org/officeDocument/2006/relationships/header" Target="header4.xml"/><Relationship Id="rId47" Type="http://schemas.openxmlformats.org/officeDocument/2006/relationships/footer" Target="footer6.xm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ur-lex.europa.eu/legal-content/LV/ALL/?uri=OJ:L:2015:268:TOC" TargetMode="External"/><Relationship Id="rId25" Type="http://schemas.openxmlformats.org/officeDocument/2006/relationships/hyperlink" Target="https://eur-lex.europa.eu/legal-content/LV/ALL/?uri=OJ:L:2018:022:TOC" TargetMode="External"/><Relationship Id="rId33" Type="http://schemas.openxmlformats.org/officeDocument/2006/relationships/hyperlink" Target="https://eur-lex.europa.eu/legal-content/LV/TXT/?uri=CELEX:52015PC0615" TargetMode="External"/><Relationship Id="rId38" Type="http://schemas.openxmlformats.org/officeDocument/2006/relationships/hyperlink" Target="https://eur-lex.europa.eu/legal-content/LV/TXT/?uri=CELEX:52018DC0132" TargetMode="External"/><Relationship Id="rId46"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s://eur-lex.europa.eu/legal-content/LV/ALL/?uri=OJ:C:2016:067:TOC" TargetMode="External"/><Relationship Id="rId20" Type="http://schemas.openxmlformats.org/officeDocument/2006/relationships/hyperlink" Target="https://eur-lex.europa.eu/legal-content/LV/ALL/?uri=OJ:C:2017:189:TOC" TargetMode="External"/><Relationship Id="rId29" Type="http://schemas.openxmlformats.org/officeDocument/2006/relationships/hyperlink" Target="https://eur-lex.europa.eu/legal-content/LV/TXT/?uri=OJ:L:2019:030:TOC" TargetMode="External"/><Relationship Id="rId41" Type="http://schemas.openxmlformats.org/officeDocument/2006/relationships/hyperlink" Target="https://eur-lex.europa.eu/legal-content/LV/TXT/?uri=CELEX:52018PC038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ur-lex.europa.eu/legal-content/LV/ALL/?uri=OJ:L:2017:335:TOC" TargetMode="External"/><Relationship Id="rId32" Type="http://schemas.openxmlformats.org/officeDocument/2006/relationships/hyperlink" Target="https://eur-lex.europa.eu/legal-content/LV/TXT/?uri=OJ:L:2019:030:TOC" TargetMode="External"/><Relationship Id="rId37" Type="http://schemas.openxmlformats.org/officeDocument/2006/relationships/hyperlink" Target="https://eur-lex.europa.eu/legal-content/LV/TXT/?uri=CELEX:52018PC0131" TargetMode="External"/><Relationship Id="rId40" Type="http://schemas.openxmlformats.org/officeDocument/2006/relationships/hyperlink" Target="https://eur-lex.europa.eu/legal-content/EN/HIS/?uri=CELEX:52018PC0380" TargetMode="Externa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eur-lex.europa.eu/legal-content/LV/ALL/?uri=OJ:L:2015:126:TOC" TargetMode="External"/><Relationship Id="rId23" Type="http://schemas.openxmlformats.org/officeDocument/2006/relationships/hyperlink" Target="https://eur-lex.europa.eu/legal-content/LV/TXT/?uri=OJ:L:2018:173:TOC" TargetMode="External"/><Relationship Id="rId28" Type="http://schemas.openxmlformats.org/officeDocument/2006/relationships/hyperlink" Target="https://eur-lex.europa.eu/legal-content/LV/AUTO/?uri=uriserv:OJ.L_.2018.224.01.0004.01.ENG&amp;toc=OJ:L:2018:224:TOC" TargetMode="External"/><Relationship Id="rId36" Type="http://schemas.openxmlformats.org/officeDocument/2006/relationships/hyperlink" Target="https://eur-lex.europa.eu/legal-content/LV/TXT/?uri=CELEX:52017PC0797"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eur-lex.europa.eu/legal-content/LV/ALL/?uri=OJ:L:2017:345:TOC" TargetMode="External"/><Relationship Id="rId31" Type="http://schemas.openxmlformats.org/officeDocument/2006/relationships/hyperlink" Target="https://eur-lex.europa.eu/legal-content/LV/TXT/?uri=OJ:L:2019:030:TOC"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eur-lex.europa.eu/legal-content/LV/ALL/?uri=OJ:L:2017:025:TOC" TargetMode="External"/><Relationship Id="rId27" Type="http://schemas.openxmlformats.org/officeDocument/2006/relationships/hyperlink" Target="https://eur-lex.europa.eu/legal-content/LV/ALL/?uri=OJ:L:2018:112:TOC" TargetMode="External"/><Relationship Id="rId30" Type="http://schemas.openxmlformats.org/officeDocument/2006/relationships/hyperlink" Target="https://eur-lex.europa.eu/legal-content/LV/TXT/?uri=OJ:L:2019:030:TOC" TargetMode="External"/><Relationship Id="rId35" Type="http://schemas.openxmlformats.org/officeDocument/2006/relationships/hyperlink" Target="https://eur-lex.europa.eu/legal-content/LV/TXT/?uri=CELEX:52017PC0253" TargetMode="External"/><Relationship Id="rId43" Type="http://schemas.openxmlformats.org/officeDocument/2006/relationships/header" Target="header5.xml"/><Relationship Id="rId48" Type="http://schemas.openxmlformats.org/officeDocument/2006/relationships/fontTable" Target="fontTable.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1667</Words>
  <Characters>10638</Characters>
  <Application>Microsoft Office Word</Application>
  <DocSecurity>0</DocSecurity>
  <Lines>279</Lines>
  <Paragraphs>168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SUBHAN Marie Olga (EMPL)</dc:creator>
  <cp:keywords/>
  <dc:description/>
  <cp:lastModifiedBy>WES PDFC Administrator</cp:lastModifiedBy>
  <cp:revision>12</cp:revision>
  <dcterms:created xsi:type="dcterms:W3CDTF">2019-04-11T15:13:00Z</dcterms:created>
  <dcterms:modified xsi:type="dcterms:W3CDTF">2019-04-24T08:14:00Z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2</vt:lpwstr>
  </property>
  <property fmtid="{D5CDD505-2E9C-101B-9397-08002B2CF9AE}" pid="5" name="Unique annex">
    <vt:lpwstr>0</vt:lpwstr>
  </property>
  <property fmtid="{D5CDD505-2E9C-101B-9397-08002B2CF9AE}" pid="6" name="Part">
    <vt:lpwstr>&lt;UNUSED&gt;</vt:lpwstr>
  </property>
  <property fmtid="{D5CDD505-2E9C-101B-9397-08002B2CF9AE}" pid="7" name="Total parts">
    <vt:lpwstr>&lt;UNUSED&gt;</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ies>
</file>