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3A0C479-658F-4581-902F-4054A04FFB97" style="width:451pt;height:407pt">
            <v:imagedata r:id="rId8" o:title=""/>
          </v:shape>
        </w:pict>
      </w:r>
    </w:p>
    <w:bookmarkEnd w:id="0"/>
    <w:p>
      <w:pPr>
        <w:rPr>
          <w:rFonts w:ascii="Times New Roman" w:hAnsi="Times New Roman" w:cs="Times New Roman"/>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Lisa 1. </w:t>
      </w:r>
      <w:r>
        <w:rPr>
          <w:noProof/>
        </w:rPr>
        <w:tab/>
      </w:r>
      <w:r>
        <w:rPr>
          <w:rFonts w:ascii="Times New Roman" w:hAnsi="Times New Roman"/>
          <w:b/>
          <w:noProof/>
          <w:sz w:val="24"/>
        </w:rPr>
        <w:t>Ajaline ülevaade</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 Liidu sotsiaalne eesmärk on sätestatud ELi aluslepingutes. Seda on järgitud juba liidu loomisest saati, kuigi konkreetsete ELi õigusaktide väljatöötamine on toimunud järk-järgult. Sotsiaalpoliitikat laiemas mõistes käsitleti algselt kui vahendit turu integreerimise tagamiseks, nüüd on see kujunenud sotsiaalsete tulemuste saavutamise viisiks. Euroopa integratsiooni 60 aasta jooksul on sotsiaalpoliitika ELi jaoks muutunud üha kesksemaks, nagu on näha ka igast aluslepingute läbivaatamise etapist.</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Rooma lepingu</w:t>
      </w:r>
      <w:r>
        <w:rPr>
          <w:rFonts w:ascii="Times New Roman" w:hAnsi="Times New Roman"/>
          <w:noProof/>
          <w:sz w:val="24"/>
        </w:rPr>
        <w:t xml:space="preserve"> (1957) kohaselt jäi suurem osa sotsiaalpoliitika volitustest väljapoole ühenduse meetmete kohaldamisala ning ühtne sotsiaalpoliitika piirdus liikmesriikide tiheda koostöö edendamisega Euroopa Sotsiaalfondi toetusel. Komisjon võis esitada arvamusi töötervishoiu ja -ohutuse kohta. Lepinguga kehtestati töötajate liikumisvabadus ja kohustus võtta sotsiaalkindlustuse koordineerimiseks meetmeid. Nendes valdkondades võeti otsused vastu ühehäälselt nõukogus ja parlamendil ei olnud mingit rolli.</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Ühtse Euroopa aktiga</w:t>
      </w:r>
      <w:r>
        <w:rPr>
          <w:rFonts w:ascii="Times New Roman" w:hAnsi="Times New Roman"/>
          <w:noProof/>
          <w:sz w:val="24"/>
        </w:rPr>
        <w:t>, mis võeti vastu 1986. aastal, nähti sotsiaalpoliitika valdkonnas ette võimalus, et nõukogu võtab töötajate tervise ja ohutuse miinimumnõuded vastu kvalifitseeritud häälteenamusega ja koostöös Euroopa Parlamendiga.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ELi sotsiaalpoliitika meetmete kohaldamisala laiendati 1992. aastal </w:t>
      </w:r>
      <w:r>
        <w:rPr>
          <w:rFonts w:ascii="Times New Roman" w:hAnsi="Times New Roman"/>
          <w:b/>
          <w:noProof/>
          <w:sz w:val="24"/>
        </w:rPr>
        <w:t>Maastrichti lepingu</w:t>
      </w:r>
      <w:r>
        <w:rPr>
          <w:rFonts w:ascii="Times New Roman" w:hAnsi="Times New Roman"/>
          <w:noProof/>
          <w:sz w:val="24"/>
        </w:rPr>
        <w:t xml:space="preserve"> sotsiaalprotokollis ning see on jäänud hiljem sisuliselt samaks. Sotsiaalprotokollis on </w:t>
      </w:r>
      <w:r>
        <w:rPr>
          <w:rFonts w:ascii="Times New Roman" w:hAnsi="Times New Roman"/>
          <w:b/>
          <w:noProof/>
          <w:sz w:val="24"/>
        </w:rPr>
        <w:t>kvalifitseeritud häälteenamust nõudev hääletuskord</w:t>
      </w:r>
      <w:r>
        <w:rPr>
          <w:rFonts w:ascii="Times New Roman" w:hAnsi="Times New Roman"/>
          <w:noProof/>
          <w:sz w:val="24"/>
        </w:rPr>
        <w:t xml:space="preserve"> ette nähtud järgmistes küsimustes: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töötingimused;</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töötajate teavitamine ja ärakuulamine</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võrdsete võimaluste tagamine meestele ja naistele ning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tööturult väljatõrjutud isikute integreerimine.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Protokolliga nähti ette, et nõukogu otsus peab olema </w:t>
      </w:r>
      <w:r>
        <w:rPr>
          <w:rFonts w:ascii="Times New Roman" w:hAnsi="Times New Roman"/>
          <w:b/>
          <w:noProof/>
          <w:sz w:val="24"/>
        </w:rPr>
        <w:t>ühehäälne</w:t>
      </w:r>
      <w:r>
        <w:rPr>
          <w:rFonts w:ascii="Times New Roman" w:hAnsi="Times New Roman"/>
          <w:noProof/>
          <w:sz w:val="24"/>
        </w:rPr>
        <w:t xml:space="preserve"> järgmistes küsimustes: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töötajate sotsiaalkindlustus ja sotsiaalkaitse,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vallandamine,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töötajate ja tööandjate huvide esindamine ja kollektiivne kaitse, sh otsustusõigus, ning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seaduslikult ELi territooriumil elavate kolmandate riikide kodanike töötingimused.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Viimati nimetatud valdkondades tuleb parlamendiga konsulteerida kooskõlas seadusandliku erimenetlusega. Protokolli kohaselt on konkreetselt </w:t>
      </w:r>
      <w:r>
        <w:rPr>
          <w:rFonts w:ascii="Times New Roman" w:hAnsi="Times New Roman"/>
          <w:b/>
          <w:noProof/>
          <w:sz w:val="24"/>
        </w:rPr>
        <w:t>välja jäetud</w:t>
      </w:r>
      <w:r>
        <w:rPr>
          <w:rFonts w:ascii="Times New Roman" w:hAnsi="Times New Roman"/>
          <w:noProof/>
          <w:sz w:val="24"/>
        </w:rPr>
        <w:t xml:space="preserve"> järgmised valdkonnad:</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töötasu,</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ühinemisõigus,</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õigus streikida ning </w:t>
      </w:r>
    </w:p>
    <w:p>
      <w:pPr>
        <w:pStyle w:val="ListParagraph"/>
        <w:numPr>
          <w:ilvl w:val="0"/>
          <w:numId w:val="1"/>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töösuluõigus.</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Protokoll lisati 1997. aastal </w:t>
      </w:r>
      <w:r>
        <w:rPr>
          <w:rFonts w:ascii="Times New Roman" w:hAnsi="Times New Roman"/>
          <w:b/>
          <w:noProof/>
          <w:sz w:val="24"/>
        </w:rPr>
        <w:t>Amsterdami lepingusse</w:t>
      </w:r>
      <w:r>
        <w:rPr>
          <w:rFonts w:ascii="Times New Roman" w:hAnsi="Times New Roman"/>
          <w:noProof/>
          <w:sz w:val="24"/>
        </w:rPr>
        <w:t xml:space="preserve">, millega muudeti sätted kohaldatavateks kõikide liikmesriikide suhtes ja loodi alus Euroopa Liidu toimimise lepingu X jaotisele. Sellega loodi uus õiguslik alus diskrimineerimise vastu võitlemiseks, mida kohaldatakse ka praegu: Euroopa Ühenduse asutamislepingu artiklis 13 (praegune ELi toimimise lepingu </w:t>
      </w:r>
      <w:r>
        <w:rPr>
          <w:rFonts w:ascii="Times New Roman" w:hAnsi="Times New Roman"/>
          <w:noProof/>
          <w:sz w:val="24"/>
        </w:rPr>
        <w:lastRenderedPageBreak/>
        <w:t>artikli 19 lõige 1) on sätestatud, et nõukogu võib komisjoni ettepaneku põhjal ja pärast konsulteerimist Euroopa Parlamendiga võtta ühehäälselt asjakohaseid meetmeid, et võidelda diskrimineerimisega soo, rassilise või etnilise päritolu, usutunnistuse või veendumuste, puude või seksuaalse sättumuse alusel.</w:t>
      </w:r>
    </w:p>
    <w:p>
      <w:p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Nice’i lepingu</w:t>
      </w:r>
      <w:r>
        <w:rPr>
          <w:rFonts w:ascii="Times New Roman" w:hAnsi="Times New Roman"/>
          <w:noProof/>
          <w:sz w:val="24"/>
        </w:rPr>
        <w:t xml:space="preserve"> artikliga 137 (ELi toimimise lepingu artikli 153 lõike 1 punktid j ja k) lisati 2001. aastal kaks uut koostöövaldkonda ning anti liidule volitused toetada ja täiendada liikmesriikide tegevust järgmistes valdkondades:</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sotsiaalse tõrjutuse vastane võitlus ning </w:t>
      </w:r>
    </w:p>
    <w:p>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sotsiaalkaitsesüsteemide ajakohastamine.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Lepinguga ei nähtud ette õigust võtta vastu direktiive, millega kehtestatakse miinimumnõuded nendes valdkondades</w:t>
      </w:r>
      <w:r>
        <w:rPr>
          <w:rStyle w:val="FootnoteReference"/>
          <w:rFonts w:ascii="Times New Roman" w:hAnsi="Times New Roman"/>
          <w:noProof/>
          <w:sz w:val="24"/>
        </w:rPr>
        <w:footnoteReference w:id="2"/>
      </w:r>
      <w:r>
        <w:rPr>
          <w:rFonts w:ascii="Times New Roman" w:hAnsi="Times New Roman"/>
          <w:noProof/>
          <w:sz w:val="24"/>
        </w:rPr>
        <w:t xml:space="preserve">. Samuti ei muudetud aluslepingus ühtegi sotsiaalpoliitika valdkonnas kehtivat ühehäälsuse nõuet, vaid võeti kasutusele </w:t>
      </w:r>
      <w:r>
        <w:rPr>
          <w:rFonts w:ascii="Times New Roman" w:hAnsi="Times New Roman"/>
          <w:b/>
          <w:noProof/>
          <w:sz w:val="24"/>
        </w:rPr>
        <w:t>spetsiaalne sillaklausel</w:t>
      </w:r>
      <w:r>
        <w:rPr>
          <w:rFonts w:ascii="Times New Roman" w:hAnsi="Times New Roman"/>
          <w:noProof/>
          <w:sz w:val="24"/>
        </w:rPr>
        <w:t xml:space="preserve"> (Euroopa Liidu toimimise lepingu artikli 153 lõige 2).</w:t>
      </w:r>
    </w:p>
    <w:p>
      <w:p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Lissaboni lepinguga</w:t>
      </w:r>
      <w:r>
        <w:rPr>
          <w:rFonts w:ascii="Times New Roman" w:hAnsi="Times New Roman"/>
          <w:noProof/>
          <w:sz w:val="24"/>
        </w:rPr>
        <w:t xml:space="preserve">, mis jõustus 1. detsembril 2009, seati liidu eesmärgiks saavutada kõrge konkurentsivõimega sotsiaalne turumajandus. Töötajate vaba liikumisega seotud sotsiaalkindlustuse koordineerimist käsitlevate meetmete vastuvõtmise suhtes (ELi toimimise lepingu artikkel 48) hakkas ühehäälsuse asemel kehtima kvalifitseeritud häälteenamust nõudev hääletuskord seadusandliku tavamenetluse kohaselt.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Ühehäälsuse ja parlamendiga konsulteerimise nõue säilitati järgmistes valdkondades (ELi toimimise lepingu artikli 153 lõike 1 punktid c, d, f ja g ning artikkel 19):</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töötajate sotsiaalkindlustus ja sotsiaalkaitse (v.a piiriülesed juhtumid)</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vallandamine,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töötajate ja tööandjate huvide esindamine ja kollektiivne kaitse, sh otsustusõigus, </w:t>
      </w:r>
    </w:p>
    <w:p>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seaduslikult ELi territooriumil elavate kolmandate riikide kodanike töötingimused ning </w:t>
      </w:r>
    </w:p>
    <w:p>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meetmed diskrimineerimise vastu võitlemiseks.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Samal ajal lisati Euroopa Liidu lepingu artikli 48 lõikesse 7 </w:t>
      </w:r>
      <w:r>
        <w:rPr>
          <w:rFonts w:ascii="Times New Roman" w:hAnsi="Times New Roman"/>
          <w:b/>
          <w:noProof/>
          <w:sz w:val="24"/>
        </w:rPr>
        <w:t>sillaklausel</w:t>
      </w:r>
      <w:r>
        <w:rPr>
          <w:rFonts w:ascii="Times New Roman" w:hAnsi="Times New Roman"/>
          <w:noProof/>
          <w:sz w:val="24"/>
        </w:rPr>
        <w:t>, millega loodi võimalus minna ühehäälsuse nõudelt üle kvalifitseeritud häälteenamusele või seadusandlikule tavamenetlusele valdkondades, kus konkreetset sillaklauslit ei kohaldata, nagu diskrimineerimiskeeld, töötajate sotsiaalkindlustus ja sotsiaalkaitse.</w:t>
      </w:r>
    </w:p>
    <w:p>
      <w:pPr>
        <w:spacing w:after="240" w:line="240" w:lineRule="auto"/>
        <w:rPr>
          <w:rFonts w:ascii="Times New Roman" w:eastAsia="Times New Roman" w:hAnsi="Times New Roman" w:cs="Times New Roman"/>
          <w:noProof/>
          <w:sz w:val="24"/>
          <w:szCs w:val="24"/>
        </w:rPr>
      </w:pPr>
      <w:r>
        <w:rPr>
          <w:noProof/>
        </w:rPr>
        <w:br w:type="page"/>
      </w:r>
    </w:p>
    <w:p>
      <w:pPr>
        <w:spacing w:after="240" w:line="240" w:lineRule="auto"/>
        <w:ind w:left="284" w:hanging="284"/>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Lisa 2.</w:t>
      </w:r>
      <w:r>
        <w:rPr>
          <w:noProof/>
        </w:rPr>
        <w:tab/>
      </w:r>
      <w:r>
        <w:rPr>
          <w:rFonts w:ascii="Times New Roman" w:hAnsi="Times New Roman"/>
          <w:b/>
          <w:noProof/>
          <w:color w:val="000000" w:themeColor="text1"/>
          <w:sz w:val="24"/>
        </w:rPr>
        <w:t>Sotsiaalvaldkonda käsitlevad õigusaktid (2014–2019)</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Komisjon on teinud 27 õigusakti ettepanekut, et ajakohastada ELi sotsiaalset turumajandust ja saavutada sotsiaalvaldkonnas nn AAA-reiting. Kokkulepe on saavutatud 24 õigusakti puhul ja ülejäänud kolm on arutamisel. </w:t>
      </w:r>
    </w:p>
    <w:tbl>
      <w:tblPr>
        <w:tblStyle w:val="TableGrid"/>
        <w:tblW w:w="9180" w:type="dxa"/>
        <w:tblLook w:val="04A0" w:firstRow="1" w:lastRow="0" w:firstColumn="1" w:lastColumn="0" w:noHBand="0" w:noVBand="1"/>
      </w:tblPr>
      <w:tblGrid>
        <w:gridCol w:w="541"/>
        <w:gridCol w:w="6791"/>
        <w:gridCol w:w="1848"/>
      </w:tblGrid>
      <w:tr>
        <w:trPr>
          <w:trHeight w:val="259"/>
        </w:trPr>
        <w:tc>
          <w:tcPr>
            <w:tcW w:w="541" w:type="dxa"/>
            <w:vAlign w:val="center"/>
          </w:tcPr>
          <w:p>
            <w:pPr>
              <w:jc w:val="center"/>
              <w:rPr>
                <w:rFonts w:ascii="Times New Roman" w:hAnsi="Times New Roman" w:cs="Times New Roman"/>
                <w:b/>
                <w:noProof/>
                <w:sz w:val="20"/>
                <w:szCs w:val="20"/>
              </w:rPr>
            </w:pPr>
            <w:r>
              <w:rPr>
                <w:rFonts w:ascii="Times New Roman" w:hAnsi="Times New Roman"/>
                <w:b/>
                <w:noProof/>
                <w:sz w:val="20"/>
              </w:rPr>
              <w:t>Nr</w:t>
            </w:r>
          </w:p>
        </w:tc>
        <w:tc>
          <w:tcPr>
            <w:tcW w:w="6791" w:type="dxa"/>
            <w:vAlign w:val="center"/>
          </w:tcPr>
          <w:p>
            <w:pPr>
              <w:jc w:val="center"/>
              <w:rPr>
                <w:rFonts w:ascii="Times New Roman" w:hAnsi="Times New Roman" w:cs="Times New Roman"/>
                <w:b/>
                <w:noProof/>
                <w:sz w:val="20"/>
                <w:szCs w:val="20"/>
              </w:rPr>
            </w:pPr>
            <w:r>
              <w:rPr>
                <w:rFonts w:ascii="Times New Roman" w:hAnsi="Times New Roman"/>
                <w:b/>
                <w:noProof/>
                <w:sz w:val="20"/>
              </w:rPr>
              <w:t>Lühipealkiri</w:t>
            </w:r>
          </w:p>
        </w:tc>
        <w:tc>
          <w:tcPr>
            <w:tcW w:w="1848" w:type="dxa"/>
            <w:vAlign w:val="center"/>
          </w:tcPr>
          <w:p>
            <w:pPr>
              <w:jc w:val="center"/>
              <w:rPr>
                <w:rFonts w:ascii="Times New Roman" w:hAnsi="Times New Roman" w:cs="Times New Roman"/>
                <w:b/>
                <w:noProof/>
                <w:sz w:val="20"/>
                <w:szCs w:val="20"/>
              </w:rPr>
            </w:pPr>
            <w:r>
              <w:rPr>
                <w:rFonts w:ascii="Times New Roman" w:hAnsi="Times New Roman"/>
                <w:b/>
                <w:noProof/>
                <w:sz w:val="20"/>
              </w:rPr>
              <w:t xml:space="preserve">Avaldamine </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w:t>
            </w:r>
          </w:p>
        </w:tc>
        <w:tc>
          <w:tcPr>
            <w:tcW w:w="6791" w:type="dxa"/>
          </w:tcPr>
          <w:p>
            <w:pPr>
              <w:jc w:val="both"/>
              <w:rPr>
                <w:rFonts w:ascii="Times New Roman" w:hAnsi="Times New Roman" w:cs="Times New Roman"/>
                <w:noProof/>
                <w:sz w:val="20"/>
                <w:szCs w:val="20"/>
              </w:rPr>
            </w:pPr>
            <w:r>
              <w:rPr>
                <w:rFonts w:ascii="Times New Roman" w:hAnsi="Times New Roman"/>
                <w:noProof/>
                <w:sz w:val="20"/>
              </w:rPr>
              <w:t>Määrus (EL) 2015/779, millega muudetakse määrust (EL) nr 1304/2013, et suurendada noorte tööhõive algatuse raames toetust saavatele rakenduskavadele makstava täiendava esialgse eelmakse summat</w:t>
            </w:r>
          </w:p>
        </w:tc>
        <w:tc>
          <w:tcPr>
            <w:tcW w:w="1848" w:type="dxa"/>
            <w:vAlign w:val="center"/>
          </w:tcPr>
          <w:p>
            <w:pPr>
              <w:rPr>
                <w:rFonts w:ascii="Times New Roman" w:hAnsi="Times New Roman" w:cs="Times New Roman"/>
                <w:noProof/>
                <w:sz w:val="20"/>
                <w:szCs w:val="20"/>
              </w:rPr>
            </w:pPr>
            <w:hyperlink r:id="rId15">
              <w:r>
                <w:rPr>
                  <w:rStyle w:val="Hyperlink"/>
                  <w:rFonts w:ascii="Times New Roman" w:hAnsi="Times New Roman"/>
                  <w:noProof/>
                  <w:sz w:val="20"/>
                </w:rPr>
                <w:t>ELT L 126</w:t>
              </w:r>
            </w:hyperlink>
            <w:r>
              <w:rPr>
                <w:rStyle w:val="Hyperlink"/>
                <w:rFonts w:ascii="Times New Roman" w:hAnsi="Times New Roman"/>
                <w:noProof/>
                <w:color w:val="auto"/>
                <w:sz w:val="20"/>
                <w:u w:val="none"/>
              </w:rPr>
              <w:t>,</w:t>
            </w:r>
            <w:r>
              <w:rPr>
                <w:rFonts w:ascii="Times New Roman" w:hAnsi="Times New Roman"/>
                <w:noProof/>
                <w:sz w:val="20"/>
              </w:rPr>
              <w:t xml:space="preserve"> 21.5.2015, lk 1</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soovitus, mis käsitleb pikaajaliste töötute integreerimist tööturule</w:t>
            </w:r>
          </w:p>
        </w:tc>
        <w:tc>
          <w:tcPr>
            <w:tcW w:w="1848" w:type="dxa"/>
            <w:vAlign w:val="center"/>
          </w:tcPr>
          <w:p>
            <w:pPr>
              <w:rPr>
                <w:rFonts w:ascii="Times New Roman" w:hAnsi="Times New Roman" w:cs="Times New Roman"/>
                <w:noProof/>
                <w:sz w:val="20"/>
                <w:szCs w:val="20"/>
              </w:rPr>
            </w:pPr>
            <w:hyperlink r:id="rId16">
              <w:r>
                <w:rPr>
                  <w:rStyle w:val="Hyperlink"/>
                  <w:rFonts w:ascii="Times New Roman" w:hAnsi="Times New Roman"/>
                  <w:noProof/>
                  <w:sz w:val="20"/>
                </w:rPr>
                <w:t>ELT C 67</w:t>
              </w:r>
            </w:hyperlink>
            <w:r>
              <w:rPr>
                <w:rFonts w:ascii="Times New Roman" w:hAnsi="Times New Roman"/>
                <w:noProof/>
                <w:sz w:val="20"/>
              </w:rPr>
              <w:t>, 20.2.2016, lk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3.</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2015. aasta otsus (EL) 2015/1848 liikmesriikide tööhõivepoliitika suuniste kohta</w:t>
            </w:r>
          </w:p>
        </w:tc>
        <w:tc>
          <w:tcPr>
            <w:tcW w:w="1848" w:type="dxa"/>
            <w:vAlign w:val="center"/>
          </w:tcPr>
          <w:p>
            <w:pPr>
              <w:rPr>
                <w:rFonts w:ascii="Times New Roman" w:hAnsi="Times New Roman" w:cs="Times New Roman"/>
                <w:noProof/>
                <w:sz w:val="20"/>
                <w:szCs w:val="20"/>
              </w:rPr>
            </w:pPr>
            <w:hyperlink r:id="rId17">
              <w:r>
                <w:rPr>
                  <w:rStyle w:val="Hyperlink"/>
                  <w:rFonts w:ascii="Times New Roman" w:hAnsi="Times New Roman"/>
                  <w:noProof/>
                  <w:sz w:val="20"/>
                </w:rPr>
                <w:t>ELT L 268</w:t>
              </w:r>
            </w:hyperlink>
            <w:r>
              <w:rPr>
                <w:rFonts w:ascii="Times New Roman" w:hAnsi="Times New Roman"/>
                <w:noProof/>
                <w:sz w:val="20"/>
              </w:rPr>
              <w:t>, 15.10.2015, lk 28</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4.</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2016. aasta otsus (EL) 2016/1838 liikmesriikide tööhõivepoliitika suuniste kohta</w:t>
            </w:r>
          </w:p>
        </w:tc>
        <w:tc>
          <w:tcPr>
            <w:tcW w:w="1848" w:type="dxa"/>
            <w:vAlign w:val="center"/>
          </w:tcPr>
          <w:p>
            <w:pPr>
              <w:rPr>
                <w:rFonts w:ascii="Times New Roman" w:hAnsi="Times New Roman" w:cs="Times New Roman"/>
                <w:noProof/>
                <w:sz w:val="20"/>
                <w:szCs w:val="20"/>
              </w:rPr>
            </w:pPr>
            <w:hyperlink r:id="rId18">
              <w:r>
                <w:rPr>
                  <w:rStyle w:val="Hyperlink"/>
                  <w:rFonts w:ascii="Times New Roman" w:hAnsi="Times New Roman"/>
                  <w:noProof/>
                  <w:sz w:val="20"/>
                </w:rPr>
                <w:t>ELT L 280</w:t>
              </w:r>
            </w:hyperlink>
            <w:r>
              <w:rPr>
                <w:rFonts w:ascii="Times New Roman" w:hAnsi="Times New Roman"/>
                <w:noProof/>
                <w:sz w:val="20"/>
              </w:rPr>
              <w:t>, 18.10.2016, lk 30</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5.</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Direktiiv (EL) 2017/2398, millega muudetakse direktiivi 2004/37/EÜ töötajate kaitse kohta tööl kantserogeenide ja mutageenidega kokkupuutest tulenevate ohtude eest</w:t>
            </w:r>
          </w:p>
        </w:tc>
        <w:tc>
          <w:tcPr>
            <w:tcW w:w="1848" w:type="dxa"/>
            <w:vAlign w:val="center"/>
          </w:tcPr>
          <w:p>
            <w:pPr>
              <w:rPr>
                <w:rFonts w:ascii="Times New Roman" w:hAnsi="Times New Roman" w:cs="Times New Roman"/>
                <w:noProof/>
                <w:sz w:val="20"/>
                <w:szCs w:val="20"/>
              </w:rPr>
            </w:pPr>
            <w:hyperlink r:id="rId19">
              <w:r>
                <w:rPr>
                  <w:rStyle w:val="Hyperlink"/>
                  <w:rFonts w:ascii="Times New Roman" w:hAnsi="Times New Roman"/>
                  <w:noProof/>
                  <w:sz w:val="20"/>
                </w:rPr>
                <w:t>ELT L 345</w:t>
              </w:r>
            </w:hyperlink>
            <w:r>
              <w:rPr>
                <w:rFonts w:ascii="Times New Roman" w:hAnsi="Times New Roman"/>
                <w:noProof/>
                <w:sz w:val="20"/>
              </w:rPr>
              <w:t>, 27.12.2017, lk 87</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6.</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soovitus, milles käsitletakse elukestva õppe Euroopa kvalifikatsiooniraamistikku ning millega tunnistatakse kehtetuks Euroopa Parlamendi ja nõukogu 23. aprilli 2008. aasta soovitus Euroopa kvalifikatsiooniraamistiku loomise kohta elukestva õppe valdkonnas</w:t>
            </w:r>
          </w:p>
        </w:tc>
        <w:tc>
          <w:tcPr>
            <w:tcW w:w="1848" w:type="dxa"/>
            <w:vAlign w:val="center"/>
          </w:tcPr>
          <w:p>
            <w:pPr>
              <w:rPr>
                <w:rFonts w:ascii="Times New Roman" w:hAnsi="Times New Roman" w:cs="Times New Roman"/>
                <w:noProof/>
                <w:sz w:val="20"/>
                <w:szCs w:val="20"/>
              </w:rPr>
            </w:pPr>
            <w:hyperlink r:id="rId20">
              <w:r>
                <w:rPr>
                  <w:rStyle w:val="Hyperlink"/>
                  <w:rFonts w:ascii="Times New Roman" w:hAnsi="Times New Roman"/>
                  <w:noProof/>
                  <w:sz w:val="20"/>
                </w:rPr>
                <w:t>ELT C 189</w:t>
              </w:r>
            </w:hyperlink>
            <w:r>
              <w:rPr>
                <w:rFonts w:ascii="Times New Roman" w:hAnsi="Times New Roman"/>
                <w:noProof/>
                <w:sz w:val="20"/>
              </w:rPr>
              <w:t>, 15.6.2017, lk 15</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7.</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soovitus uued võimalused täiskasvanutele</w:t>
            </w:r>
          </w:p>
        </w:tc>
        <w:tc>
          <w:tcPr>
            <w:tcW w:w="1848" w:type="dxa"/>
            <w:vAlign w:val="center"/>
          </w:tcPr>
          <w:p>
            <w:pPr>
              <w:rPr>
                <w:rFonts w:ascii="Times New Roman" w:hAnsi="Times New Roman" w:cs="Times New Roman"/>
                <w:noProof/>
                <w:sz w:val="20"/>
                <w:szCs w:val="20"/>
              </w:rPr>
            </w:pPr>
            <w:hyperlink r:id="rId21">
              <w:r>
                <w:rPr>
                  <w:rStyle w:val="Hyperlink"/>
                  <w:rFonts w:ascii="Times New Roman" w:hAnsi="Times New Roman"/>
                  <w:noProof/>
                  <w:sz w:val="20"/>
                </w:rPr>
                <w:t>ELT C 484</w:t>
              </w:r>
            </w:hyperlink>
            <w:r>
              <w:rPr>
                <w:rFonts w:ascii="Times New Roman" w:hAnsi="Times New Roman"/>
                <w:noProof/>
                <w:sz w:val="20"/>
              </w:rPr>
              <w:t>, 24.12.2016, lk 1</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8.</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Direktiiv (EL) 2017/159, millega rakendatakse Euroopa Liidu põllumajandusühistute üldise liidu (Cogeca), Euroopa Transporditöötajate Föderatsiooni (ETF) ja Euroopa Liidu kalandusettevõtete riiklike organisatsioonide ühenduse (Europêche) vahel 21. mail 2012 sõlmitud kokkulepe, mis käsitleb Rahvusvahelise Tööorganisatsiooni 2007. aasta kalandustöö konventsiooni rakendamist</w:t>
            </w:r>
          </w:p>
        </w:tc>
        <w:tc>
          <w:tcPr>
            <w:tcW w:w="1848" w:type="dxa"/>
            <w:vAlign w:val="center"/>
          </w:tcPr>
          <w:p>
            <w:pPr>
              <w:rPr>
                <w:rFonts w:ascii="Times New Roman" w:hAnsi="Times New Roman" w:cs="Times New Roman"/>
                <w:noProof/>
                <w:sz w:val="20"/>
                <w:szCs w:val="20"/>
              </w:rPr>
            </w:pPr>
            <w:hyperlink r:id="rId22">
              <w:r>
                <w:rPr>
                  <w:rStyle w:val="Hyperlink"/>
                  <w:rFonts w:ascii="Times New Roman" w:hAnsi="Times New Roman"/>
                  <w:noProof/>
                  <w:sz w:val="20"/>
                </w:rPr>
                <w:t>ELT L 25</w:t>
              </w:r>
            </w:hyperlink>
            <w:r>
              <w:rPr>
                <w:rFonts w:ascii="Times New Roman" w:hAnsi="Times New Roman"/>
                <w:noProof/>
                <w:sz w:val="20"/>
              </w:rPr>
              <w:t>, 31.1.2017, lk 12</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9.</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Direktiiv (EL) 2018/957, millega muudetakse direktiivi 96/71/EÜ töötajate lähetamise kohta seoses teenuste osutamisega</w:t>
            </w:r>
          </w:p>
        </w:tc>
        <w:tc>
          <w:tcPr>
            <w:tcW w:w="1848" w:type="dxa"/>
            <w:vAlign w:val="center"/>
          </w:tcPr>
          <w:p>
            <w:pPr>
              <w:rPr>
                <w:rFonts w:ascii="Times New Roman" w:hAnsi="Times New Roman" w:cs="Times New Roman"/>
                <w:noProof/>
                <w:sz w:val="20"/>
                <w:szCs w:val="20"/>
              </w:rPr>
            </w:pPr>
            <w:hyperlink r:id="rId23">
              <w:r>
                <w:rPr>
                  <w:rStyle w:val="Hyperlink"/>
                  <w:rFonts w:ascii="Times New Roman" w:hAnsi="Times New Roman"/>
                  <w:noProof/>
                  <w:sz w:val="20"/>
                </w:rPr>
                <w:t>ELT L 173</w:t>
              </w:r>
            </w:hyperlink>
            <w:r>
              <w:rPr>
                <w:rFonts w:ascii="Times New Roman" w:hAnsi="Times New Roman"/>
                <w:noProof/>
                <w:color w:val="000000" w:themeColor="text1"/>
                <w:sz w:val="20"/>
              </w:rPr>
              <w:t>, 9.7.2018, lk 16</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10.</w:t>
            </w:r>
          </w:p>
        </w:tc>
        <w:tc>
          <w:tcPr>
            <w:tcW w:w="6791" w:type="dxa"/>
          </w:tcPr>
          <w:p>
            <w:pPr>
              <w:jc w:val="both"/>
              <w:rPr>
                <w:rFonts w:ascii="Times New Roman" w:hAnsi="Times New Roman" w:cs="Times New Roman"/>
                <w:noProof/>
                <w:sz w:val="20"/>
                <w:szCs w:val="20"/>
              </w:rPr>
            </w:pPr>
            <w:r>
              <w:rPr>
                <w:rFonts w:ascii="Times New Roman" w:hAnsi="Times New Roman"/>
                <w:noProof/>
                <w:sz w:val="20"/>
              </w:rPr>
              <w:t>Määrus (EL) 2017/2305, millega muudetakse määrust (EL) nr 1303/2013 seoses majandusliku, sotsiaalse ja territoriaalse ühtekuuluvuse vahendite ning majanduskasvu ja tööhõivesse investeerimise eesmärgi ning Euroopa territoriaalse koostöö eesmärgi jaoks ette nähtud vahendite muutmisega</w:t>
            </w:r>
          </w:p>
        </w:tc>
        <w:tc>
          <w:tcPr>
            <w:tcW w:w="1848" w:type="dxa"/>
            <w:vAlign w:val="center"/>
          </w:tcPr>
          <w:p>
            <w:pPr>
              <w:rPr>
                <w:rFonts w:ascii="Times New Roman" w:hAnsi="Times New Roman" w:cs="Times New Roman"/>
                <w:noProof/>
                <w:sz w:val="20"/>
                <w:szCs w:val="20"/>
              </w:rPr>
            </w:pPr>
            <w:hyperlink r:id="rId24">
              <w:r>
                <w:rPr>
                  <w:rStyle w:val="Hyperlink"/>
                  <w:rFonts w:ascii="Times New Roman" w:hAnsi="Times New Roman"/>
                  <w:noProof/>
                  <w:sz w:val="20"/>
                </w:rPr>
                <w:t>ELT L 335</w:t>
              </w:r>
            </w:hyperlink>
            <w:r>
              <w:rPr>
                <w:rFonts w:ascii="Times New Roman" w:hAnsi="Times New Roman"/>
                <w:noProof/>
                <w:sz w:val="20"/>
              </w:rPr>
              <w:t>, 15.12.2017, lk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11.</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Direktiiv (EL) 2018/131, millega rakendatakse Euroopa Ühenduse Reederite Ühingu ja Euroopa Liidu Transporditöötajate Ametiühingute Liidu sõlmitud kokkulepet muuta direktiivi 2009/13/EÜ kooskõlas 2006. aasta meretöönormide konventsiooni 2014. aasta muudatustega, mille Rahvusvaheline Töökonverents kiitis heaks 11. juunil 2014</w:t>
            </w:r>
          </w:p>
        </w:tc>
        <w:tc>
          <w:tcPr>
            <w:tcW w:w="1848" w:type="dxa"/>
            <w:vAlign w:val="center"/>
          </w:tcPr>
          <w:p>
            <w:pPr>
              <w:rPr>
                <w:rFonts w:ascii="Times New Roman" w:hAnsi="Times New Roman" w:cs="Times New Roman"/>
                <w:noProof/>
                <w:sz w:val="20"/>
                <w:szCs w:val="20"/>
              </w:rPr>
            </w:pPr>
            <w:hyperlink r:id="rId25">
              <w:r>
                <w:rPr>
                  <w:rStyle w:val="Hyperlink"/>
                  <w:rFonts w:ascii="Times New Roman" w:hAnsi="Times New Roman"/>
                  <w:noProof/>
                  <w:sz w:val="20"/>
                </w:rPr>
                <w:t>ELT L 22</w:t>
              </w:r>
            </w:hyperlink>
            <w:r>
              <w:rPr>
                <w:rFonts w:ascii="Times New Roman" w:hAnsi="Times New Roman"/>
                <w:noProof/>
                <w:sz w:val="20"/>
              </w:rPr>
              <w:t>, 26.1.2018, lk 28</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12.</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soovitus kvaliteetse ja tõhusa õpipoisiõppe Euroopa raamistiku kohta</w:t>
            </w:r>
          </w:p>
        </w:tc>
        <w:tc>
          <w:tcPr>
            <w:tcW w:w="1848" w:type="dxa"/>
            <w:vAlign w:val="center"/>
          </w:tcPr>
          <w:p>
            <w:pPr>
              <w:rPr>
                <w:rFonts w:ascii="Times New Roman" w:hAnsi="Times New Roman" w:cs="Times New Roman"/>
                <w:noProof/>
                <w:sz w:val="20"/>
                <w:szCs w:val="20"/>
              </w:rPr>
            </w:pPr>
            <w:hyperlink r:id="rId26">
              <w:r>
                <w:rPr>
                  <w:rStyle w:val="Hyperlink"/>
                  <w:rFonts w:ascii="Times New Roman" w:hAnsi="Times New Roman"/>
                  <w:noProof/>
                  <w:sz w:val="20"/>
                </w:rPr>
                <w:t>ELT C 153</w:t>
              </w:r>
            </w:hyperlink>
            <w:r>
              <w:rPr>
                <w:rFonts w:ascii="Times New Roman" w:hAnsi="Times New Roman"/>
                <w:noProof/>
                <w:sz w:val="20"/>
              </w:rPr>
              <w:t>, 2.5.2018, lk 1</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13.</w:t>
            </w:r>
          </w:p>
        </w:tc>
        <w:tc>
          <w:tcPr>
            <w:tcW w:w="6791" w:type="dxa"/>
          </w:tcPr>
          <w:p>
            <w:pPr>
              <w:jc w:val="both"/>
              <w:rPr>
                <w:rFonts w:ascii="Times New Roman" w:hAnsi="Times New Roman" w:cs="Times New Roman"/>
                <w:noProof/>
                <w:sz w:val="20"/>
                <w:szCs w:val="20"/>
              </w:rPr>
            </w:pPr>
            <w:r>
              <w:rPr>
                <w:rFonts w:ascii="Times New Roman" w:hAnsi="Times New Roman"/>
                <w:noProof/>
                <w:sz w:val="20"/>
              </w:rPr>
              <w:t>Otsus (EL) 2018/646, milles käsitletakse oskuste ja kvalifikatsioonidega seotud paremate teenuste pakkumise ühist raamistikku (Europass) ning millega tunnistatakse kehtetuks otsus nr 2241/2004/EÜ</w:t>
            </w:r>
          </w:p>
        </w:tc>
        <w:tc>
          <w:tcPr>
            <w:tcW w:w="1848" w:type="dxa"/>
            <w:vAlign w:val="center"/>
          </w:tcPr>
          <w:p>
            <w:pPr>
              <w:rPr>
                <w:rFonts w:ascii="Times New Roman" w:hAnsi="Times New Roman" w:cs="Times New Roman"/>
                <w:noProof/>
                <w:sz w:val="20"/>
                <w:szCs w:val="20"/>
              </w:rPr>
            </w:pPr>
            <w:hyperlink r:id="rId27">
              <w:r>
                <w:rPr>
                  <w:rStyle w:val="Hyperlink"/>
                  <w:rFonts w:ascii="Times New Roman" w:hAnsi="Times New Roman"/>
                  <w:noProof/>
                  <w:sz w:val="20"/>
                </w:rPr>
                <w:t>ELT L 112</w:t>
              </w:r>
            </w:hyperlink>
            <w:r>
              <w:rPr>
                <w:rFonts w:ascii="Times New Roman" w:hAnsi="Times New Roman"/>
                <w:noProof/>
                <w:sz w:val="20"/>
              </w:rPr>
              <w:t>, 2.5.2018, lk 42</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14.</w:t>
            </w:r>
          </w:p>
        </w:tc>
        <w:tc>
          <w:tcPr>
            <w:tcW w:w="6791" w:type="dxa"/>
          </w:tcPr>
          <w:p>
            <w:pPr>
              <w:jc w:val="both"/>
              <w:rPr>
                <w:rFonts w:ascii="Times New Roman" w:hAnsi="Times New Roman" w:cs="Times New Roman"/>
                <w:noProof/>
                <w:sz w:val="20"/>
                <w:szCs w:val="20"/>
              </w:rPr>
            </w:pPr>
            <w:r>
              <w:rPr>
                <w:rFonts w:ascii="Times New Roman" w:hAnsi="Times New Roman"/>
                <w:noProof/>
                <w:sz w:val="20"/>
              </w:rPr>
              <w:t>Nõukogu otsus (EL) 2018/1215 liikmesriikide tööhõivepoliitika suuniste kohta</w:t>
            </w:r>
          </w:p>
        </w:tc>
        <w:tc>
          <w:tcPr>
            <w:tcW w:w="1848" w:type="dxa"/>
            <w:vAlign w:val="center"/>
          </w:tcPr>
          <w:p>
            <w:pPr>
              <w:rPr>
                <w:rFonts w:ascii="Times New Roman" w:hAnsi="Times New Roman" w:cs="Times New Roman"/>
                <w:noProof/>
                <w:sz w:val="20"/>
                <w:szCs w:val="20"/>
              </w:rPr>
            </w:pPr>
            <w:hyperlink r:id="rId28">
              <w:r>
                <w:rPr>
                  <w:rStyle w:val="Hyperlink"/>
                  <w:rFonts w:ascii="Times New Roman" w:hAnsi="Times New Roman"/>
                  <w:noProof/>
                  <w:color w:val="0000FF"/>
                  <w:sz w:val="20"/>
                </w:rPr>
                <w:t>ELT L 224</w:t>
              </w:r>
            </w:hyperlink>
            <w:r>
              <w:rPr>
                <w:rFonts w:ascii="Times New Roman" w:hAnsi="Times New Roman"/>
                <w:noProof/>
                <w:color w:val="0000FF"/>
                <w:sz w:val="20"/>
              </w:rPr>
              <w:t xml:space="preserve">, </w:t>
            </w:r>
            <w:r>
              <w:rPr>
                <w:rFonts w:ascii="Times New Roman" w:hAnsi="Times New Roman"/>
                <w:noProof/>
                <w:sz w:val="20"/>
              </w:rPr>
              <w:t>5.9.2018, lk 4</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15.</w:t>
            </w:r>
          </w:p>
        </w:tc>
        <w:tc>
          <w:tcPr>
            <w:tcW w:w="6791" w:type="dxa"/>
          </w:tcPr>
          <w:p>
            <w:pPr>
              <w:jc w:val="both"/>
              <w:rPr>
                <w:rFonts w:ascii="Times New Roman" w:hAnsi="Times New Roman" w:cs="Times New Roman"/>
                <w:noProof/>
                <w:sz w:val="20"/>
                <w:szCs w:val="20"/>
              </w:rPr>
            </w:pPr>
            <w:r>
              <w:rPr>
                <w:rFonts w:ascii="Times New Roman" w:hAnsi="Times New Roman"/>
                <w:noProof/>
                <w:sz w:val="20"/>
              </w:rPr>
              <w:t>Määrus (EL) 2019/128, millega asutatakse Euroopa Kutseõppe Arenduskeskus (Cedefop) ja tunnistatakse kehtetuks nõukogu määrus (EMÜ) nr 337/75</w:t>
            </w:r>
          </w:p>
        </w:tc>
        <w:tc>
          <w:tcPr>
            <w:tcW w:w="1848" w:type="dxa"/>
          </w:tcPr>
          <w:p>
            <w:pPr>
              <w:rPr>
                <w:rFonts w:ascii="Times New Roman" w:hAnsi="Times New Roman" w:cs="Times New Roman"/>
                <w:noProof/>
                <w:sz w:val="20"/>
                <w:szCs w:val="20"/>
              </w:rPr>
            </w:pPr>
            <w:hyperlink r:id="rId29">
              <w:r>
                <w:rPr>
                  <w:rStyle w:val="Hyperlink"/>
                  <w:rFonts w:ascii="Times New Roman" w:hAnsi="Times New Roman"/>
                  <w:noProof/>
                  <w:sz w:val="20"/>
                  <w:bdr w:val="none" w:sz="0" w:space="0" w:color="auto" w:frame="1"/>
                </w:rPr>
                <w:t>ELT L 30</w:t>
              </w:r>
            </w:hyperlink>
            <w:r>
              <w:rPr>
                <w:rStyle w:val="epname"/>
                <w:rFonts w:ascii="Times New Roman" w:hAnsi="Times New Roman"/>
                <w:noProof/>
                <w:sz w:val="20"/>
                <w:bdr w:val="none" w:sz="0" w:space="0" w:color="auto" w:frame="1"/>
              </w:rPr>
              <w:t>, 31.1.2019, lk 90</w:t>
            </w:r>
          </w:p>
        </w:tc>
      </w:tr>
      <w:tr>
        <w:trPr>
          <w:trHeight w:val="259"/>
        </w:trPr>
        <w:tc>
          <w:tcPr>
            <w:tcW w:w="541" w:type="dxa"/>
          </w:tcPr>
          <w:p>
            <w:pPr>
              <w:jc w:val="center"/>
              <w:rPr>
                <w:rFonts w:ascii="Times New Roman" w:hAnsi="Times New Roman" w:cs="Times New Roman"/>
                <w:noProof/>
                <w:sz w:val="20"/>
                <w:szCs w:val="20"/>
              </w:rPr>
            </w:pPr>
            <w:r>
              <w:rPr>
                <w:rFonts w:ascii="Times New Roman" w:hAnsi="Times New Roman"/>
                <w:noProof/>
                <w:sz w:val="20"/>
              </w:rPr>
              <w:t>16.</w:t>
            </w:r>
          </w:p>
        </w:tc>
        <w:tc>
          <w:tcPr>
            <w:tcW w:w="6791" w:type="dxa"/>
          </w:tcPr>
          <w:p>
            <w:pPr>
              <w:jc w:val="both"/>
              <w:rPr>
                <w:rFonts w:ascii="Times New Roman" w:hAnsi="Times New Roman" w:cs="Times New Roman"/>
                <w:noProof/>
                <w:sz w:val="20"/>
                <w:szCs w:val="20"/>
              </w:rPr>
            </w:pPr>
            <w:r>
              <w:rPr>
                <w:rFonts w:ascii="Times New Roman" w:hAnsi="Times New Roman"/>
                <w:noProof/>
                <w:sz w:val="20"/>
              </w:rPr>
              <w:t>Määrus (EL) 2019/127, millega asutatakse Euroopa Elu- ja Töötingimuste Parandamise Sihtasutus (Eurofound) ning tunnistatakse kehtetuks nõukogu määrus (EMÜ) nr 1365/75</w:t>
            </w:r>
          </w:p>
        </w:tc>
        <w:tc>
          <w:tcPr>
            <w:tcW w:w="1848" w:type="dxa"/>
          </w:tcPr>
          <w:p>
            <w:pPr>
              <w:rPr>
                <w:rFonts w:ascii="Times New Roman" w:hAnsi="Times New Roman" w:cs="Times New Roman"/>
                <w:noProof/>
                <w:sz w:val="20"/>
                <w:szCs w:val="20"/>
              </w:rPr>
            </w:pPr>
            <w:hyperlink r:id="rId30">
              <w:r>
                <w:rPr>
                  <w:rStyle w:val="Hyperlink"/>
                  <w:rFonts w:ascii="Times New Roman" w:hAnsi="Times New Roman"/>
                  <w:noProof/>
                  <w:sz w:val="20"/>
                  <w:bdr w:val="none" w:sz="0" w:space="0" w:color="auto" w:frame="1"/>
                </w:rPr>
                <w:t>ELT L 30</w:t>
              </w:r>
            </w:hyperlink>
            <w:r>
              <w:rPr>
                <w:rStyle w:val="epname"/>
                <w:rFonts w:ascii="Times New Roman" w:hAnsi="Times New Roman"/>
                <w:noProof/>
                <w:sz w:val="20"/>
                <w:bdr w:val="none" w:sz="0" w:space="0" w:color="auto" w:frame="1"/>
              </w:rPr>
              <w:t>, 31.1.2019, lk 74</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17.</w:t>
            </w:r>
          </w:p>
        </w:tc>
        <w:tc>
          <w:tcPr>
            <w:tcW w:w="6791" w:type="dxa"/>
          </w:tcPr>
          <w:p>
            <w:pPr>
              <w:jc w:val="both"/>
              <w:rPr>
                <w:rFonts w:ascii="Times New Roman" w:hAnsi="Times New Roman" w:cs="Times New Roman"/>
                <w:noProof/>
                <w:sz w:val="20"/>
                <w:szCs w:val="20"/>
              </w:rPr>
            </w:pPr>
            <w:r>
              <w:rPr>
                <w:rFonts w:ascii="Times New Roman" w:hAnsi="Times New Roman"/>
                <w:noProof/>
                <w:sz w:val="20"/>
              </w:rPr>
              <w:t>Määrus (EL) 2019/126, millega luuakse Euroopa Tööohutuse ja Töötervishoiu Agentuur (EU-OSHA) ning tunnistatakse kehtetuks nõukogu määrus (EÜ) nr 2062/94</w:t>
            </w:r>
          </w:p>
        </w:tc>
        <w:tc>
          <w:tcPr>
            <w:tcW w:w="1848" w:type="dxa"/>
          </w:tcPr>
          <w:p>
            <w:pPr>
              <w:rPr>
                <w:rFonts w:ascii="Times New Roman" w:hAnsi="Times New Roman" w:cs="Times New Roman"/>
                <w:noProof/>
                <w:sz w:val="20"/>
                <w:szCs w:val="20"/>
              </w:rPr>
            </w:pPr>
            <w:hyperlink r:id="rId31">
              <w:r>
                <w:rPr>
                  <w:rStyle w:val="Hyperlink"/>
                  <w:rFonts w:ascii="Times New Roman" w:hAnsi="Times New Roman"/>
                  <w:noProof/>
                  <w:sz w:val="20"/>
                  <w:bdr w:val="none" w:sz="0" w:space="0" w:color="auto" w:frame="1"/>
                </w:rPr>
                <w:t>ELT L 30</w:t>
              </w:r>
            </w:hyperlink>
            <w:r>
              <w:rPr>
                <w:rStyle w:val="epname"/>
                <w:rFonts w:ascii="Times New Roman" w:hAnsi="Times New Roman"/>
                <w:noProof/>
                <w:color w:val="505154"/>
                <w:sz w:val="20"/>
                <w:bdr w:val="none" w:sz="0" w:space="0" w:color="auto" w:frame="1"/>
              </w:rPr>
              <w:t xml:space="preserve">, </w:t>
            </w:r>
            <w:r>
              <w:rPr>
                <w:rStyle w:val="epname"/>
                <w:rFonts w:ascii="Times New Roman" w:hAnsi="Times New Roman"/>
                <w:noProof/>
                <w:sz w:val="20"/>
                <w:bdr w:val="none" w:sz="0" w:space="0" w:color="auto" w:frame="1"/>
              </w:rPr>
              <w:t>31.1.2019, lk 58</w:t>
            </w:r>
          </w:p>
        </w:tc>
      </w:tr>
      <w:tr>
        <w:trPr>
          <w:trHeight w:val="273"/>
        </w:trPr>
        <w:tc>
          <w:tcPr>
            <w:tcW w:w="541" w:type="dxa"/>
          </w:tcPr>
          <w:p>
            <w:pPr>
              <w:jc w:val="center"/>
              <w:rPr>
                <w:rFonts w:ascii="Times New Roman" w:hAnsi="Times New Roman" w:cs="Times New Roman"/>
                <w:noProof/>
                <w:sz w:val="20"/>
                <w:szCs w:val="20"/>
              </w:rPr>
            </w:pPr>
            <w:r>
              <w:rPr>
                <w:rFonts w:ascii="Times New Roman" w:hAnsi="Times New Roman"/>
                <w:noProof/>
                <w:sz w:val="20"/>
              </w:rPr>
              <w:t>18.</w:t>
            </w:r>
          </w:p>
        </w:tc>
        <w:tc>
          <w:tcPr>
            <w:tcW w:w="6791" w:type="dxa"/>
          </w:tcPr>
          <w:p>
            <w:pPr>
              <w:jc w:val="both"/>
              <w:rPr>
                <w:rFonts w:ascii="Times New Roman" w:hAnsi="Times New Roman" w:cs="Times New Roman"/>
                <w:noProof/>
                <w:sz w:val="20"/>
                <w:szCs w:val="20"/>
              </w:rPr>
            </w:pPr>
            <w:r>
              <w:rPr>
                <w:rFonts w:ascii="Times New Roman" w:hAnsi="Times New Roman"/>
                <w:noProof/>
                <w:sz w:val="20"/>
              </w:rPr>
              <w:t>Direktiiv (EL) 2019/130, millega muudetakse direktiivi 2004/37/EÜ töötajate kaitse kohta tööl kantserogeenide ja mutageenidega kokkupuutest tulenevate ohtude eest</w:t>
            </w:r>
            <w:r>
              <w:rPr>
                <w:rStyle w:val="epname"/>
                <w:rFonts w:ascii="Times New Roman" w:hAnsi="Times New Roman"/>
                <w:noProof/>
                <w:color w:val="505154"/>
                <w:sz w:val="20"/>
                <w:bdr w:val="none" w:sz="0" w:space="0" w:color="auto" w:frame="1"/>
              </w:rPr>
              <w:t xml:space="preserve"> </w:t>
            </w:r>
          </w:p>
        </w:tc>
        <w:tc>
          <w:tcPr>
            <w:tcW w:w="1848" w:type="dxa"/>
          </w:tcPr>
          <w:p>
            <w:pPr>
              <w:rPr>
                <w:rFonts w:ascii="Times New Roman" w:hAnsi="Times New Roman" w:cs="Times New Roman"/>
                <w:noProof/>
                <w:sz w:val="20"/>
                <w:szCs w:val="20"/>
              </w:rPr>
            </w:pPr>
            <w:hyperlink r:id="rId32">
              <w:r>
                <w:rPr>
                  <w:rStyle w:val="Hyperlink"/>
                  <w:rFonts w:ascii="Times New Roman" w:hAnsi="Times New Roman"/>
                  <w:noProof/>
                  <w:sz w:val="20"/>
                  <w:bdr w:val="none" w:sz="0" w:space="0" w:color="auto" w:frame="1"/>
                </w:rPr>
                <w:t>ELT L 30</w:t>
              </w:r>
            </w:hyperlink>
            <w:r>
              <w:rPr>
                <w:rStyle w:val="epname"/>
                <w:rFonts w:ascii="Times New Roman" w:hAnsi="Times New Roman"/>
                <w:noProof/>
                <w:sz w:val="20"/>
                <w:bdr w:val="none" w:sz="0" w:space="0" w:color="auto" w:frame="1"/>
              </w:rPr>
              <w:t>, 31.1.2019, lk 112</w:t>
            </w:r>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19.</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direktiiv liikmesriikide õigus- ja haldusnormide ühtlustamise kohta seoses toodete ja teenuste ligipääsetavusnõuetega</w:t>
            </w:r>
          </w:p>
        </w:tc>
        <w:tc>
          <w:tcPr>
            <w:tcW w:w="1848" w:type="dxa"/>
            <w:vAlign w:val="center"/>
          </w:tcPr>
          <w:p>
            <w:pPr>
              <w:pStyle w:val="Default"/>
              <w:jc w:val="both"/>
              <w:rPr>
                <w:rFonts w:ascii="Times New Roman" w:hAnsi="Times New Roman" w:cs="Times New Roman"/>
                <w:noProof/>
                <w:sz w:val="20"/>
                <w:szCs w:val="20"/>
              </w:rPr>
            </w:pPr>
            <w:hyperlink r:id="rId33">
              <w:r>
                <w:rPr>
                  <w:rStyle w:val="Hyperlink"/>
                  <w:rFonts w:ascii="Times New Roman" w:hAnsi="Times New Roman"/>
                  <w:noProof/>
                  <w:sz w:val="20"/>
                </w:rPr>
                <w:t>COM (2015) 615</w:t>
              </w:r>
            </w:hyperlink>
            <w:r>
              <w:rPr>
                <w:rFonts w:ascii="Times New Roman" w:hAnsi="Times New Roman"/>
                <w:noProof/>
                <w:sz w:val="20"/>
              </w:rPr>
              <w:t xml:space="preserve"> </w:t>
            </w:r>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20.</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määrus, millega muudetakse määrust (EÜ) nr 883/2004 sotsiaalkindlustussüsteemide koordineerimise kohta ja määrust (EÜ) nr 987/2009, milles sätestatakse määruse (EÜ) nr 883/2004 rakendamise kord</w:t>
            </w:r>
          </w:p>
        </w:tc>
        <w:tc>
          <w:tcPr>
            <w:tcW w:w="1848" w:type="dxa"/>
            <w:vAlign w:val="center"/>
          </w:tcPr>
          <w:p>
            <w:pPr>
              <w:pStyle w:val="Default"/>
              <w:jc w:val="both"/>
              <w:rPr>
                <w:rFonts w:ascii="Times New Roman" w:hAnsi="Times New Roman" w:cs="Times New Roman"/>
                <w:noProof/>
                <w:sz w:val="20"/>
                <w:szCs w:val="20"/>
              </w:rPr>
            </w:pPr>
            <w:hyperlink r:id="rId34">
              <w:r>
                <w:rPr>
                  <w:rFonts w:ascii="Times New Roman" w:hAnsi="Times New Roman"/>
                  <w:noProof/>
                  <w:color w:val="0000FF"/>
                  <w:sz w:val="20"/>
                  <w:u w:val="single"/>
                </w:rPr>
                <w:t>COM (2016) 815</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21.</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direktiiv, milles käsitletakse lapsevanemate ja hooldajate töö- ja eraelu tasakaalustamist ning millega tunnistatakse kehtetuks nõukogu direktiiv 2010/18/EL</w:t>
            </w:r>
          </w:p>
        </w:tc>
        <w:tc>
          <w:tcPr>
            <w:tcW w:w="1848" w:type="dxa"/>
            <w:vAlign w:val="center"/>
          </w:tcPr>
          <w:p>
            <w:pPr>
              <w:pStyle w:val="Default"/>
              <w:jc w:val="both"/>
              <w:rPr>
                <w:rFonts w:ascii="Times New Roman" w:hAnsi="Times New Roman" w:cs="Times New Roman"/>
                <w:noProof/>
                <w:sz w:val="20"/>
                <w:szCs w:val="20"/>
              </w:rPr>
            </w:pPr>
            <w:hyperlink r:id="rId35">
              <w:r>
                <w:rPr>
                  <w:rStyle w:val="Hyperlink"/>
                  <w:rFonts w:ascii="Times New Roman" w:hAnsi="Times New Roman"/>
                  <w:noProof/>
                  <w:sz w:val="20"/>
                </w:rPr>
                <w:t>COM (2017) 253</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22.</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Euroopa Parlamendi ja nõukogu direktiiv läbipaistvate ja prognoositavate töötingimuste kohta Euroopa Liidus</w:t>
            </w:r>
          </w:p>
        </w:tc>
        <w:tc>
          <w:tcPr>
            <w:tcW w:w="1848" w:type="dxa"/>
            <w:vAlign w:val="center"/>
          </w:tcPr>
          <w:p>
            <w:pPr>
              <w:pStyle w:val="Default"/>
              <w:jc w:val="both"/>
              <w:rPr>
                <w:rFonts w:ascii="Times New Roman" w:hAnsi="Times New Roman" w:cs="Times New Roman"/>
                <w:noProof/>
                <w:sz w:val="20"/>
                <w:szCs w:val="20"/>
              </w:rPr>
            </w:pPr>
            <w:hyperlink r:id="rId36">
              <w:r>
                <w:rPr>
                  <w:rStyle w:val="Hyperlink"/>
                  <w:rFonts w:ascii="Times New Roman" w:hAnsi="Times New Roman"/>
                  <w:noProof/>
                  <w:sz w:val="20"/>
                </w:rPr>
                <w:t>COM(2017) 797</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23.</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Euroopa Parlamendi ja nõukogu määrus, millega asutatakse Euroopa Tööjõuamet</w:t>
            </w:r>
          </w:p>
        </w:tc>
        <w:tc>
          <w:tcPr>
            <w:tcW w:w="1848" w:type="dxa"/>
            <w:vAlign w:val="center"/>
          </w:tcPr>
          <w:p>
            <w:pPr>
              <w:jc w:val="both"/>
              <w:rPr>
                <w:rFonts w:ascii="Times New Roman" w:hAnsi="Times New Roman" w:cs="Times New Roman"/>
                <w:noProof/>
                <w:sz w:val="20"/>
                <w:szCs w:val="20"/>
              </w:rPr>
            </w:pPr>
            <w:hyperlink r:id="rId37">
              <w:r>
                <w:rPr>
                  <w:rStyle w:val="Hyperlink"/>
                  <w:rFonts w:ascii="Times New Roman" w:hAnsi="Times New Roman"/>
                  <w:noProof/>
                  <w:sz w:val="20"/>
                </w:rPr>
                <w:t>COM (2018) 131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24.</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soovituse kohta, milles käsitletakse töötajate ja füüsilisest isikust ettevõtjate juurdepääsu sotsiaalkaitsele</w:t>
            </w:r>
          </w:p>
        </w:tc>
        <w:tc>
          <w:tcPr>
            <w:tcW w:w="1848" w:type="dxa"/>
            <w:vAlign w:val="center"/>
          </w:tcPr>
          <w:p>
            <w:pPr>
              <w:pStyle w:val="Default"/>
              <w:jc w:val="both"/>
              <w:rPr>
                <w:rFonts w:ascii="Times New Roman" w:hAnsi="Times New Roman" w:cs="Times New Roman"/>
                <w:noProof/>
                <w:sz w:val="20"/>
                <w:szCs w:val="20"/>
              </w:rPr>
            </w:pPr>
            <w:hyperlink r:id="rId38">
              <w:r>
                <w:rPr>
                  <w:rStyle w:val="Hyperlink"/>
                  <w:rFonts w:ascii="Times New Roman" w:hAnsi="Times New Roman"/>
                  <w:noProof/>
                  <w:sz w:val="20"/>
                </w:rPr>
                <w:t>COM (2018) 132</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25.</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direktiiv, millega muudetakse direktiivi 2004/37/EÜ töötajate kaitse kohta tööl kantserogeenide ja mutageenidega kokkupuutest tulenevate ohtude eest</w:t>
            </w:r>
          </w:p>
        </w:tc>
        <w:tc>
          <w:tcPr>
            <w:tcW w:w="1848" w:type="dxa"/>
            <w:vAlign w:val="center"/>
          </w:tcPr>
          <w:p>
            <w:pPr>
              <w:pStyle w:val="Default"/>
              <w:jc w:val="both"/>
              <w:rPr>
                <w:rFonts w:ascii="Times New Roman" w:hAnsi="Times New Roman" w:cs="Times New Roman"/>
                <w:noProof/>
                <w:sz w:val="20"/>
                <w:szCs w:val="20"/>
              </w:rPr>
            </w:pPr>
            <w:hyperlink r:id="rId39">
              <w:r>
                <w:rPr>
                  <w:rStyle w:val="Hyperlink"/>
                  <w:rFonts w:ascii="Times New Roman" w:hAnsi="Times New Roman"/>
                  <w:noProof/>
                  <w:sz w:val="20"/>
                </w:rPr>
                <w:t>COM (2018) 171</w:t>
              </w:r>
            </w:hyperlink>
          </w:p>
        </w:tc>
      </w:tr>
      <w:tr>
        <w:trPr>
          <w:trHeight w:val="259"/>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26.</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määrus Globaliseerumisega Kohanemise Euroopa Fondi (EGF) kohta</w:t>
            </w:r>
          </w:p>
        </w:tc>
        <w:tc>
          <w:tcPr>
            <w:tcW w:w="1848" w:type="dxa"/>
            <w:vAlign w:val="center"/>
          </w:tcPr>
          <w:p>
            <w:pPr>
              <w:pStyle w:val="Default"/>
              <w:jc w:val="both"/>
              <w:rPr>
                <w:rFonts w:ascii="Times New Roman" w:hAnsi="Times New Roman" w:cs="Times New Roman"/>
                <w:noProof/>
                <w:sz w:val="20"/>
                <w:szCs w:val="20"/>
              </w:rPr>
            </w:pPr>
            <w:hyperlink r:id="rId40">
              <w:r>
                <w:rPr>
                  <w:rStyle w:val="Hyperlink"/>
                  <w:rFonts w:ascii="Times New Roman" w:hAnsi="Times New Roman"/>
                  <w:noProof/>
                  <w:sz w:val="20"/>
                </w:rPr>
                <w:t>COM (2018) 380</w:t>
              </w:r>
            </w:hyperlink>
          </w:p>
        </w:tc>
      </w:tr>
      <w:tr>
        <w:trPr>
          <w:trHeight w:val="273"/>
        </w:trPr>
        <w:tc>
          <w:tcPr>
            <w:tcW w:w="541" w:type="dxa"/>
            <w:vAlign w:val="center"/>
          </w:tcPr>
          <w:p>
            <w:pPr>
              <w:jc w:val="center"/>
              <w:rPr>
                <w:rFonts w:ascii="Times New Roman" w:hAnsi="Times New Roman" w:cs="Times New Roman"/>
                <w:noProof/>
                <w:sz w:val="20"/>
                <w:szCs w:val="20"/>
              </w:rPr>
            </w:pPr>
            <w:r>
              <w:rPr>
                <w:rFonts w:ascii="Times New Roman" w:hAnsi="Times New Roman"/>
                <w:noProof/>
                <w:sz w:val="20"/>
              </w:rPr>
              <w:t>27.</w:t>
            </w:r>
          </w:p>
        </w:tc>
        <w:tc>
          <w:tcPr>
            <w:tcW w:w="6791" w:type="dxa"/>
          </w:tcPr>
          <w:p>
            <w:pPr>
              <w:jc w:val="both"/>
              <w:rPr>
                <w:rFonts w:ascii="Times New Roman" w:hAnsi="Times New Roman" w:cs="Times New Roman"/>
                <w:noProof/>
                <w:sz w:val="20"/>
                <w:szCs w:val="20"/>
              </w:rPr>
            </w:pPr>
            <w:r>
              <w:rPr>
                <w:rFonts w:ascii="Times New Roman" w:hAnsi="Times New Roman"/>
                <w:noProof/>
                <w:sz w:val="20"/>
              </w:rPr>
              <w:t>Ettepanek: määrus Euroopa Sotsiaalfond+ (ESF+) kohta</w:t>
            </w:r>
          </w:p>
        </w:tc>
        <w:tc>
          <w:tcPr>
            <w:tcW w:w="1848" w:type="dxa"/>
            <w:vAlign w:val="center"/>
          </w:tcPr>
          <w:p>
            <w:pPr>
              <w:jc w:val="both"/>
              <w:rPr>
                <w:rFonts w:ascii="Times New Roman" w:hAnsi="Times New Roman" w:cs="Times New Roman"/>
                <w:noProof/>
                <w:sz w:val="20"/>
                <w:szCs w:val="20"/>
              </w:rPr>
            </w:pPr>
            <w:hyperlink r:id="rId41">
              <w:r>
                <w:rPr>
                  <w:rStyle w:val="Hyperlink"/>
                  <w:rFonts w:ascii="Times New Roman" w:hAnsi="Times New Roman"/>
                  <w:noProof/>
                  <w:sz w:val="20"/>
                </w:rPr>
                <w:t>COM (2018) 382</w:t>
              </w:r>
            </w:hyperlink>
          </w:p>
        </w:tc>
      </w:tr>
    </w:tbl>
    <w:p>
      <w:pPr>
        <w:jc w:val="right"/>
        <w:rPr>
          <w:rFonts w:ascii="Times New Roman" w:hAnsi="Times New Roman" w:cs="Times New Roman"/>
          <w:noProof/>
          <w:sz w:val="24"/>
          <w:szCs w:val="24"/>
        </w:rPr>
      </w:pPr>
    </w:p>
    <w:p>
      <w:pPr>
        <w:rPr>
          <w:rFonts w:ascii="Times New Roman" w:hAnsi="Times New Roman" w:cs="Times New Roman"/>
          <w:noProof/>
        </w:rPr>
      </w:pPr>
    </w:p>
    <w:sectPr>
      <w:headerReference w:type="even" r:id="rId42"/>
      <w:headerReference w:type="default" r:id="rId43"/>
      <w:footerReference w:type="even" r:id="rId44"/>
      <w:footerReference w:type="default" r:id="rId45"/>
      <w:headerReference w:type="first" r:id="rId46"/>
      <w:footerReference w:type="first" r:id="rId47"/>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8632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Töötajate sotsiaalkindlustuse ja sotsiaalkaitse valdkonnas (ELi toimimise lepingu artikli 153 lõike 1 punkt c) kattub sotsiaalkaitse süsteemide ajakohastamise valdkonnaga (ELi toimimise lepingu artikli 153 lõike 1 punkt k). Sellistel juhtudel on prioriteetsed punkti k sätted, kuid nende kohaldamine ei piira punkti c sätete kohaldamist.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2"/>
    <w:docVar w:name="LW_ANNEX_UNIQUE" w:val="0"/>
    <w:docVar w:name="LW_CORRIGENDUM" w:val="&lt;UNUSED&gt;"/>
    <w:docVar w:name="LW_COVERPAGE_EXISTS" w:val="True"/>
    <w:docVar w:name="LW_COVERPAGE_GUID" w:val="B3A0C479-658F-4581-902F-4054A04FFB97"/>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Strasbourg, "/>
    <w:docVar w:name="LW_EMISSION_SUFFIX" w:val=" "/>
    <w:docVar w:name="LW_ID_DOCTYPE_NONLW" w:val="CP-039"/>
    <w:docVar w:name="LW_LANGUE" w:val="ET"/>
    <w:docVar w:name="LW_LEVEL_OF_SENSITIVITY" w:val="Standard treatment"/>
    <w:docVar w:name="LW_NOM.INST" w:val="EUROOPA KOMISJON"/>
    <w:docVar w:name="LW_NOM.INST_JOINTDOC" w:val="&lt;EMPTY&gt;"/>
    <w:docVar w:name="LW_OBJETACTEPRINCIPAL.CP" w:val="Tõhusam otsustusprotsess sotsiaalpoliitikas: _x000b_valdkondade määratlemine, milles liikuda kvalifitseeritud häälteenamuse suunas"/>
    <w:docVar w:name="LW_PART_NBR" w:val="&lt;UNUSED&gt;"/>
    <w:docVar w:name="LW_PART_NBR_TOTAL" w:val="&lt;UNUSED&gt;"/>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D_x000b_"/>
    <w:docVar w:name="LW_TYPEACTEPRINCIPAL.CP" w:val="KOMISJONI ARUANNE EUROOPA PARLAMENDILE, EUROOPA ÜLEMKOGU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et-EE"/>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et-EE"/>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et-EE"/>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et-E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et-EE"/>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legal-content/ETALL/?uri=OJ:L:2016:280:TOC" TargetMode="External"/><Relationship Id="rId26" Type="http://schemas.openxmlformats.org/officeDocument/2006/relationships/hyperlink" Target="https://eur-lex.europa.eu/legal-content/ET/ALL/?uri=OJ:C:2018:153:TOC" TargetMode="External"/><Relationship Id="rId39" Type="http://schemas.openxmlformats.org/officeDocument/2006/relationships/hyperlink" Target="https://eur-lex.europa.eu/legal-content/ET/TXT/?uri=CELEX:52018PC0171" TargetMode="External"/><Relationship Id="rId3" Type="http://schemas.microsoft.com/office/2007/relationships/stylesWithEffects" Target="stylesWithEffects.xml"/><Relationship Id="rId21" Type="http://schemas.openxmlformats.org/officeDocument/2006/relationships/hyperlink" Target="https://eur-lex.europa.eu/legal-content/ET/ALL/?uri=OJ:C:2016:484:TOC" TargetMode="External"/><Relationship Id="rId34" Type="http://schemas.openxmlformats.org/officeDocument/2006/relationships/hyperlink" Target="https://eur-lex.europa.eu/legal-content/ET/TXT/?uri=CELEX:52016PC0815" TargetMode="External"/><Relationship Id="rId42" Type="http://schemas.openxmlformats.org/officeDocument/2006/relationships/header" Target="header4.xml"/><Relationship Id="rId47" Type="http://schemas.openxmlformats.org/officeDocument/2006/relationships/footer" Target="footer6.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ET/ALL/?uri=OJ:L:2015:268:TOC" TargetMode="External"/><Relationship Id="rId25" Type="http://schemas.openxmlformats.org/officeDocument/2006/relationships/hyperlink" Target="https://eur-lex.europa.eu/legal-content/ET/ALL/?uri=OJ:L:2018:022:TOC" TargetMode="External"/><Relationship Id="rId33" Type="http://schemas.openxmlformats.org/officeDocument/2006/relationships/hyperlink" Target="https://eur-lex.europa.eu/legal-content/ET/TXT/?uri=CELEX:52015PC0615" TargetMode="External"/><Relationship Id="rId38" Type="http://schemas.openxmlformats.org/officeDocument/2006/relationships/hyperlink" Target="https://eur-lex.europa.eu/legal-content/ET/TXT/?uri=CELEX:52018DC0132"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ur-lex.europa.eu/legal-content/ET/ALL/?uri=OJ:C:2016:067:TOC" TargetMode="External"/><Relationship Id="rId20" Type="http://schemas.openxmlformats.org/officeDocument/2006/relationships/hyperlink" Target="https://eur-lex.europa.eu/legal-content/ET/ALL/?uri=OJ:C:2017:189:TOC" TargetMode="External"/><Relationship Id="rId29" Type="http://schemas.openxmlformats.org/officeDocument/2006/relationships/hyperlink" Target="https://eur-lex.europa.eu/legal-content/ET/TXT/?uri=OJ:L:2019:030:TOC" TargetMode="External"/><Relationship Id="rId41" Type="http://schemas.openxmlformats.org/officeDocument/2006/relationships/hyperlink" Target="https://eur-lex.europa.eu/legal-content/ET/TXT/?uri=CELEX:52018PC03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ET/ALL/?uri=OJ:L:2017:335:TOC" TargetMode="External"/><Relationship Id="rId32" Type="http://schemas.openxmlformats.org/officeDocument/2006/relationships/hyperlink" Target="https://eur-lex.europa.eu/legal-content/ET/TXT/?uri=OJ:L:2019:030:TOC" TargetMode="External"/><Relationship Id="rId37" Type="http://schemas.openxmlformats.org/officeDocument/2006/relationships/hyperlink" Target="https://eur-lex.europa.eu/legal-content/ET/TXT/?uri=CELEX:52018PC0131" TargetMode="External"/><Relationship Id="rId40" Type="http://schemas.openxmlformats.org/officeDocument/2006/relationships/hyperlink" Target="https://eur-lex.europa.eu/legal-content/EN/HIS/?uri=CELEX:52018PC0380"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ur-lex.europa.eu/legal-content/ET/ALL/?uri=OJ:L:2015:126:TOC" TargetMode="External"/><Relationship Id="rId23" Type="http://schemas.openxmlformats.org/officeDocument/2006/relationships/hyperlink" Target="https://eur-lex.europa.eu/legal-content/EN/TXT/?uri=OJ:L:2018:173:TOC" TargetMode="External"/><Relationship Id="rId28" Type="http://schemas.openxmlformats.org/officeDocument/2006/relationships/hyperlink" Target="https://eur-lex.europa.eu/legal-content/ET/AUTO/?uri=uriserv:OJ.L_.2018.224.01.0004.01.ENG&amp;toc=OJ:L:2018:224:TOC" TargetMode="External"/><Relationship Id="rId36" Type="http://schemas.openxmlformats.org/officeDocument/2006/relationships/hyperlink" Target="https://eur-lex.europa.eu/legal-content/ET/TXT/?uri=CELEX:52017PC0797"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ur-lex.europa.eu/legal-content/ET/ALL/?uri=OJ:L:2017:345:TOC" TargetMode="External"/><Relationship Id="rId31" Type="http://schemas.openxmlformats.org/officeDocument/2006/relationships/hyperlink" Target="https://eur-lex.europa.eu/legal-content/ET/TXT/?uri=OJ:L:2019:030:TOC"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lex.europa.eu/legal-content/ET/ALL/?uri=OJ:L:2017:025:TOC" TargetMode="External"/><Relationship Id="rId27" Type="http://schemas.openxmlformats.org/officeDocument/2006/relationships/hyperlink" Target="https://eur-lex.europa.eu/legal-content/ET/ALL/?uri=OJ:L:2018:112:TOC" TargetMode="External"/><Relationship Id="rId30" Type="http://schemas.openxmlformats.org/officeDocument/2006/relationships/hyperlink" Target="https://eur-lex.europa.eu/legal-content/ET/TXT/?uri=OJ:L:2019:030:TOC" TargetMode="External"/><Relationship Id="rId35" Type="http://schemas.openxmlformats.org/officeDocument/2006/relationships/hyperlink" Target="https://eur-lex.europa.eu/legal-content/ET/TXT/?uri=CELEX:52017PC0253"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10885</Characters>
  <Application>Microsoft Office Word</Application>
  <DocSecurity>0</DocSecurity>
  <Lines>272</Lines>
  <Paragraphs>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 Marie Olga (EMPL)</dc:creator>
  <cp:lastModifiedBy>WES PDFC Administrator</cp:lastModifiedBy>
  <cp:revision>8</cp:revision>
  <dcterms:created xsi:type="dcterms:W3CDTF">2019-04-23T06:59:00Z</dcterms:created>
  <dcterms:modified xsi:type="dcterms:W3CDTF">2019-04-24T08:14:00Z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