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C45A88F-109C-4A09-AE09-2A10EBF69FFA" style="width:450pt;height:406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PRIEDAS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prie </w:t>
      </w:r>
    </w:p>
    <w:p>
      <w:pPr>
        <w:pStyle w:val="Typeacteprincipal"/>
        <w:rPr>
          <w:noProof/>
        </w:rPr>
      </w:pPr>
      <w:r>
        <w:rPr>
          <w:noProof/>
        </w:rPr>
        <w:t>KOMISIJOS KOMUNIKATO EUROPOS PARLAMENTUI, TARYBAI, EUROPOS EKONOMIKOS IR SOCIALINIŲ REIKALŲ KOMITETUI, REGIONŲ KOMITETUI IR AUDITO RŪMAMS</w:t>
      </w:r>
    </w:p>
    <w:p>
      <w:pPr>
        <w:pStyle w:val="Objetacteprincipal"/>
        <w:rPr>
          <w:noProof/>
        </w:rPr>
      </w:pPr>
      <w:r>
        <w:rPr>
          <w:noProof/>
        </w:rPr>
        <w:t>Komisijos kovos su sukčiavimu strategija: aktyvesni ES biudžeto apsaugos veiksmai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Komisijos kovos su sukčiavimu strategijos tikslai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>1 tikslas.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Duomenų rinkimas ir analizė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Toliau gerinti supratimą apie ES biudžetui kenkiančio sukčiavimo būdus, sukčiautojų profilį ir su tokiu sukčiavimu susijusias sistemines pažeidžiamas sritis.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 tikslas.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u w:val="single"/>
        </w:rPr>
        <w:t>Koordinavimas, bendradarbiavimas ir procesai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Optimizuoti kovos su sukčiavimu koordinavimą, šios srities bendradarbiavimą ir darbo srautus, ypač tarp Komisijos tarnybų ir vykdomųjų įstaigų.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3 tikslas.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Sąžiningumas ir reikalavimų laikymasis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</w:r>
      <w:r>
        <w:rPr>
          <w:rStyle w:val="Heading2Char"/>
          <w:rFonts w:eastAsiaTheme="minorHAnsi"/>
          <w:b w:val="0"/>
          <w:noProof/>
        </w:rPr>
        <w:t>Užtikrinti, kad ES politikos formuotojai ir institucijų darbuotojai laikytųsi aukščiausių profesinės etikos standartų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</w:rPr>
        <w:t>.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4 tikslas.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Praktinės žinios ir įranga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Užtikrinti, kad ES institucijų darbuotojai turėtų pakankamai praktinių žinių apie kovą su sukčiavimu, kad tos žinios būtų gilinamos ir kad būtų aprūpinama tinkama technine įranga valstybių narių lygmeniu.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 xml:space="preserve">5 tikslas.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Skaidrumas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Užtikrinti ir skatinti skaidrumą kaip priemonę išvengti sukčiavimo.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6 tikslas.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Teisinė sistema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Optimizuoti ES teisės aktų ir kitų teisinių priemonių atsparumą sukčiavimui.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7 tikslas.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Kova su sukčiavimu pajamų srityje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Griežtinti kovos su sukčiavimu priemones tradicinių nuosavų išteklių (TNI) ir pridėtinės vertės mokesčio (PVM) srityse.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Konkrečiai sukčiavimo prevencijos ir nustatymo srityje.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ie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C45A88F-109C-4A09-AE09-2A10EBF69FFA"/>
    <w:docVar w:name="LW_COVERPAGE_TYPE" w:val="1"/>
    <w:docVar w:name="LW_CROSSREFERENCE" w:val="{SWD(2019) 170 final} - {SWD(2019) 171 final}"/>
    <w:docVar w:name="LW_DocType" w:val="NORMAL"/>
    <w:docVar w:name="LW_EMISSION" w:val="2019 04 29"/>
    <w:docVar w:name="LW_EMISSION_ISODATE" w:val="2019-04-29"/>
    <w:docVar w:name="LW_EMISSION_LOCATION" w:val="BRX"/>
    <w:docVar w:name="LW_EMISSION_PREFIX" w:val="Briuselis, "/>
    <w:docVar w:name="LW_EMISSION_SUFFIX" w:val=" "/>
    <w:docVar w:name="LW_ID_DOCTYPE_NONLW" w:val="CP-039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.CP" w:val="Komisijos kovos su suk\u269?iavimu strategija: aktyvesni ES biud\u382?eto apsaugos veiksmai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EDAS_x000b_"/>
    <w:docVar w:name="LW_TYPEACTEPRINCIPAL.CP" w:val="KOMISIJOS KOMUNIKATO EUROPOS PARLAMENTUI, TARYBAI, EUROPOS EKONOMIKOS IR SOCIALINI\u370? REIKAL\u370? KOMITETUI, REGION\u370? KOMITETUI IR AUDITO R\u362?MAM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1285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WES PDFC Administrator</cp:lastModifiedBy>
  <cp:revision>12</cp:revision>
  <dcterms:created xsi:type="dcterms:W3CDTF">2019-03-31T17:17:00Z</dcterms:created>
  <dcterms:modified xsi:type="dcterms:W3CDTF">2019-04-24T09:38:00Z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