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8B1B7931-C9B0-4392-9E1C-BCB6F4C1BCC7" style="width:450.8pt;height:420.7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1" w:name="_GoBack"/>
      <w:bookmarkEnd w:id="1"/>
      <w:r>
        <w:rPr>
          <w:noProof/>
        </w:rPr>
        <w:lastRenderedPageBreak/>
        <w:t>ALLEGATO</w:t>
      </w:r>
      <w:r>
        <w:rPr>
          <w:noProof/>
        </w:rPr>
        <w:br/>
      </w:r>
    </w:p>
    <w:p>
      <w:pPr>
        <w:pStyle w:val="Accompagnant"/>
        <w:rPr>
          <w:noProof/>
        </w:rPr>
      </w:pPr>
      <w:r>
        <w:rPr>
          <w:noProof/>
        </w:rPr>
        <w:t xml:space="preserve">della </w:t>
      </w:r>
    </w:p>
    <w:p>
      <w:pPr>
        <w:pStyle w:val="Typeacteprincipal"/>
        <w:rPr>
          <w:noProof/>
        </w:rPr>
      </w:pPr>
      <w:r>
        <w:rPr>
          <w:noProof/>
        </w:rPr>
        <w:t>COMUNICAZIONE DELLA COMMISSIONE AL PARLAMENTO EUROPEO, AL CONSIGLIO, AL COMITATO ECONOMICO E SOCIALE EUROPEO, AL COMITATO DELLE REGIONI E ALLA CORTE DEI CONTI</w:t>
      </w:r>
    </w:p>
    <w:p>
      <w:pPr>
        <w:pStyle w:val="Objetacteprincipal"/>
        <w:rPr>
          <w:noProof/>
        </w:rPr>
      </w:pPr>
      <w:r>
        <w:rPr>
          <w:noProof/>
        </w:rPr>
        <w:t>Strategia antifrode della Commissione: un'azione più incisiva a tutela del bilancio dell'UE</w:t>
      </w:r>
    </w:p>
    <w:p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</w:rPr>
        <w:t>Gli obiettivi della strategia antifrode della Commissione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</w:rPr>
        <w:t>Obiettivo n. 1: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raccolta e analisi di dati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Migliorare ulteriormente la comprensione delle tipologie di frode, dei profili dei truffatori e delle vulnerabilità sistemiche in relazione alle frodi che ledono il bilancio dell'UE.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Obiettivo n. 2:</w:t>
      </w:r>
      <w:r>
        <w:rPr>
          <w:noProof/>
        </w:rPr>
        <w:tab/>
      </w:r>
      <w:r>
        <w:rPr>
          <w:rFonts w:ascii="Times New Roman" w:hAnsi="Times New Roman"/>
          <w:noProof/>
          <w:sz w:val="24"/>
          <w:u w:val="single"/>
        </w:rPr>
        <w:t>coordinamento, cooperazione e processi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</w:rPr>
        <w:t>Ottimizzare il coordinamento, la cooperazione e i flussi di lavoro riguardanti la lotta contro le frodi, in particolare tra i servizi e le agenzie esecutive della Commissione.</w:t>
      </w:r>
    </w:p>
    <w:p>
      <w:pPr>
        <w:ind w:left="1701" w:hanging="1701"/>
        <w:jc w:val="both"/>
        <w:rPr>
          <w:rStyle w:val="Heading2Char"/>
          <w:rFonts w:eastAsiaTheme="minorHAnsi"/>
          <w:b w:val="0"/>
          <w:noProof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Obiettivo n. 3: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integrità e conformità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szCs w:val="24"/>
        </w:rPr>
        <w:br/>
      </w:r>
      <w:r>
        <w:rPr>
          <w:rStyle w:val="Heading2Char"/>
          <w:rFonts w:eastAsiaTheme="minorHAnsi"/>
          <w:b w:val="0"/>
          <w:noProof/>
        </w:rPr>
        <w:t>Garantire che i decisori politici e il personale dell'UE rispettino gli standard deontologici più elevati</w:t>
      </w:r>
      <w:r>
        <w:rPr>
          <w:rFonts w:ascii="Times New Roman" w:hAnsi="Times New Roman"/>
          <w:b/>
          <w:noProof/>
          <w:sz w:val="24"/>
          <w:vertAlign w:val="superscript"/>
        </w:rPr>
        <w:footnoteReference w:id="1"/>
      </w:r>
      <w:r>
        <w:rPr>
          <w:rStyle w:val="Heading2Char"/>
          <w:rFonts w:eastAsiaTheme="minorHAnsi"/>
          <w:b w:val="0"/>
          <w:noProof/>
        </w:rPr>
        <w:t>.</w:t>
      </w:r>
    </w:p>
    <w:p>
      <w:pPr>
        <w:tabs>
          <w:tab w:val="left" w:pos="720"/>
        </w:tabs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Obiettivo n. 4: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competenze e dotazioni strumentali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Garantire che il personale dell'UE disponga di un livello sufficiente di competenze in materia di lotta contro le frodi, migliorare tali competenze e fornire gli strumenti tecnici pertinenti a livello degli Stati membri.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Heading2Char"/>
          <w:rFonts w:eastAsiaTheme="minorHAnsi"/>
          <w:b w:val="0"/>
          <w:noProof/>
        </w:rPr>
        <w:t xml:space="preserve">Obiettivo n. 5: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trasparenza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Garantire e promuovere la trasparenza come antidoto contro le frodi.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Obiettivo n. 6: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quadro giuridico</w:t>
      </w:r>
      <w:r>
        <w:rPr>
          <w:noProof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Ottimizzare l'impermeabilità alle frodi della legislazione dell'UE e di altri strumenti giuridici.</w:t>
      </w:r>
    </w:p>
    <w:p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Style w:val="Heading2Char"/>
          <w:rFonts w:eastAsiaTheme="minorHAnsi"/>
          <w:b w:val="0"/>
          <w:noProof/>
        </w:rPr>
        <w:t xml:space="preserve">Obiettivo n. 7: </w:t>
      </w:r>
      <w:r>
        <w:rPr>
          <w:noProof/>
        </w:rPr>
        <w:tab/>
      </w:r>
      <w:r>
        <w:rPr>
          <w:rStyle w:val="Heading2Char"/>
          <w:rFonts w:eastAsiaTheme="minorHAnsi"/>
          <w:b w:val="0"/>
          <w:noProof/>
          <w:u w:val="single"/>
        </w:rPr>
        <w:t>lotta contro le frodi riguardanti le entrate</w:t>
      </w:r>
      <w:r>
        <w:rPr>
          <w:noProof/>
        </w:rPr>
        <w:tab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br/>
      </w:r>
      <w:r>
        <w:rPr>
          <w:rFonts w:ascii="Times New Roman" w:hAnsi="Times New Roman"/>
          <w:noProof/>
          <w:sz w:val="24"/>
        </w:rPr>
        <w:t>Rafforzare le misure antifrode nei settori delle risorse proprie tradizionali e dell'imposta sul valore aggiunto (IVA).</w:t>
      </w: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615740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Nello specifico in relazione alla prevenzione e all'individuazione delle frodi.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9214AA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lla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B1B7931-C9B0-4392-9E1C-BCB6F4C1BCC7"/>
    <w:docVar w:name="LW_COVERPAGE_TYPE" w:val="1"/>
    <w:docVar w:name="LW_CROSSREFERENCE" w:val="{SWD(2019) 170 final} - {SWD(2019) 171 final}"/>
    <w:docVar w:name="LW_DocType" w:val="NORMAL"/>
    <w:docVar w:name="LW_EMISSION" w:val="29.4.2019"/>
    <w:docVar w:name="LW_EMISSION_ISODATE" w:val="2019-04-29"/>
    <w:docVar w:name="LW_EMISSION_LOCATION" w:val="BRX"/>
    <w:docVar w:name="LW_EMISSION_PREFIX" w:val="Bruxelles, "/>
    <w:docVar w:name="LW_EMISSION_SUFFIX" w:val=" "/>
    <w:docVar w:name="LW_ID_DOCTYPE_NONLW" w:val="CP-039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.CP" w:val="Strategia antifrode della Commissione: un'azione più incisiva a tutela del bilancio dell'UE"/>
    <w:docVar w:name="LW_PART_NBR" w:val="1"/>
    <w:docVar w:name="LW_PART_NBR_TOTAL" w:val="1"/>
    <w:docVar w:name="LW_REF.INST.NEW" w:val="COM"/>
    <w:docVar w:name="LW_REF.INST.NEW_ADOPTED" w:val="final"/>
    <w:docVar w:name="LW_REF.INST.NEW_TEXT" w:val="(2019) 1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LLEGATO_x000b_"/>
    <w:docVar w:name="LW_TYPEACTEPRINCIPAL.CP" w:val="COMUNICAZIONE DELLA COMMISSIONE AL PARLAMENTO EUROPEO, AL CONSIGLIO, AL COMITATO ECONOMICO E SOCIALE EUROPEO, AL COMITATO DELLE REGIONI E ALLA CORTE DEI CONT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footnote text1,Fußnote,fn,Footnotes,Footnote ak,footnote text,ft"/>
    <w:basedOn w:val="Normal"/>
    <w:link w:val="Foot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1 Char,Fußnote Char,fn Char,Footnotes Char,Footnote ak Char,footnote text Char,ft Char"/>
    <w:basedOn w:val="DefaultParagraphFont"/>
    <w:link w:val="FootnoteText"/>
    <w:uiPriority w:val="99"/>
    <w:rPr>
      <w:sz w:val="20"/>
      <w:szCs w:val="20"/>
    </w:rPr>
  </w:style>
  <w:style w:type="paragraph" w:customStyle="1" w:styleId="Typedudocument">
    <w:name w:val="Type du document"/>
    <w:basedOn w:val="Normal"/>
    <w:next w:val="Normal"/>
    <w:link w:val="TypedudocumentChar"/>
    <w:pPr>
      <w:spacing w:before="360"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Accompagnant">
    <w:name w:val="Accompagnant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i/>
      <w:sz w:val="24"/>
    </w:rPr>
  </w:style>
  <w:style w:type="paragraph" w:customStyle="1" w:styleId="Typeacteprincipal">
    <w:name w:val="Type acte principal"/>
    <w:basedOn w:val="Normal"/>
    <w:next w:val="Normal"/>
    <w:pPr>
      <w:spacing w:after="24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Objetacteprincipal">
    <w:name w:val="Objet acte principal"/>
    <w:basedOn w:val="Normal"/>
    <w:next w:val="Normal"/>
    <w:pPr>
      <w:spacing w:after="360" w:line="24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TypedudocumentChar">
    <w:name w:val="Type du document Char"/>
    <w:basedOn w:val="DefaultParagraphFont"/>
    <w:link w:val="Typedudocument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1397</Characters>
  <Application>Microsoft Office Word</Application>
  <DocSecurity>0</DocSecurity>
  <Lines>35</Lines>
  <Paragraphs>14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2019-04-11T16:21:00Z</dcterms:created>
  <dcterms:modified xsi:type="dcterms:W3CDTF">2019-04-24T09:39:00Z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