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CBDE612-5456-4234-B6B1-AA4C23C2A92C" style="width:450.75pt;height:420.7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ANNEXE</w:t>
      </w:r>
      <w:r>
        <w:rPr>
          <w:noProof/>
        </w:rPr>
        <w:br/>
      </w:r>
    </w:p>
    <w:p>
      <w:pPr>
        <w:pStyle w:val="Accompagnant"/>
        <w:rPr>
          <w:noProof/>
        </w:rPr>
      </w:pPr>
      <w:r>
        <w:rPr>
          <w:noProof/>
        </w:rPr>
        <w:t xml:space="preserve">de la </w:t>
      </w:r>
    </w:p>
    <w:p>
      <w:pPr>
        <w:pStyle w:val="Typeacteprincipal"/>
        <w:rPr>
          <w:noProof/>
        </w:rPr>
      </w:pPr>
      <w:r>
        <w:rPr>
          <w:noProof/>
        </w:rPr>
        <w:t>COMMUNICATION DE LA COMMISSION AU PARLEMENT EUROPÉEN, AU CONSEIL, AU COMITÉ ÉCONOMIQUE ET SOCIAL EUROPÉEN, AU COMITÉ DES RÉGIONS ET À LA COUR DES COMPTES</w:t>
      </w:r>
    </w:p>
    <w:p>
      <w:pPr>
        <w:pStyle w:val="Objetacteprincipal"/>
        <w:rPr>
          <w:noProof/>
        </w:rPr>
      </w:pPr>
      <w:r>
        <w:rPr>
          <w:noProof/>
        </w:rPr>
        <w:t>Stratégie antifraude de la Commission: action renforcée pour protéger le budget de l’Union européenne</w:t>
      </w:r>
    </w:p>
    <w:p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t>Les objectifs de la stratégie antifraude de la Commission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>Objectif nº 1: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collecte et analyse de données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Renforcer la compréhension des mécanismes de fraude, des profils des fraudeurs et des vulnérabilités systémiques liées à la fraude portant atteinte au budget de l’Union européenne.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Objectif nº 2: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  <w:u w:val="single"/>
        </w:rPr>
        <w:t>coordination, coopération et processus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Optimiser la coordination, la coopération et les flux de travail en matière de lutte contre la fraude, en particulier entre les services de la Commission et les agences exécutives.</w:t>
      </w:r>
    </w:p>
    <w:p>
      <w:pPr>
        <w:ind w:left="1701" w:hanging="1701"/>
        <w:jc w:val="both"/>
        <w:rPr>
          <w:rStyle w:val="Heading2Char"/>
          <w:rFonts w:eastAsiaTheme="minorHAnsi"/>
          <w:b w:val="0"/>
          <w:noProof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Objectif nº 3: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intégrité et conformité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szCs w:val="24"/>
        </w:rPr>
        <w:br/>
      </w:r>
      <w:r>
        <w:rPr>
          <w:rStyle w:val="Heading2Char"/>
          <w:rFonts w:eastAsiaTheme="minorHAnsi"/>
          <w:b w:val="0"/>
          <w:noProof/>
        </w:rPr>
        <w:t>Veiller à ce que les décideurs et les membres du personnel de l’UE respectent les normes les plus élevées de déontologie professionnelle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Style w:val="Heading2Char"/>
          <w:rFonts w:eastAsiaTheme="minorHAnsi"/>
          <w:b w:val="0"/>
          <w:noProof/>
        </w:rPr>
        <w:t>.</w:t>
      </w:r>
    </w:p>
    <w:p>
      <w:pPr>
        <w:tabs>
          <w:tab w:val="left" w:pos="720"/>
        </w:tabs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Objectif nº 4: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savoir-faire et équipements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Veiller à ce que le personnel de l’UE dispose d’un niveau suffisant de savoir-faire en matière de lutte contre la fraude, améliorer ce savoir-faire et mettre de l’équipement technique relevant de la lutte contre la fraude à la disposition des États membres.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 xml:space="preserve">Objectif nº 5: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transparence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Mettre en œuvre et promouvoir la transparence en tant qu’antidote à la fraude.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Objectif nº 6: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cadre juridique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Optimiser la résilience à la fraude de la législation et des autres instruments juridiques de l’Union européenne.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Objectif nº 7: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lutte contre la fraude portant sur les recettes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Renforcer les mesures antifraude dans les domaines des ressources propres traditionnelles (RPT) et de la taxe sur la valeur ajoutée (TVA).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15740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En particulier en ce qui concerne la prévention et la détection de la fraude.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9214AA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FigNum" w:val="1"/>
    <w:docVar w:name="LW_ACCOMPAGNANT.CP" w:val="de la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CBDE612-5456-4234-B6B1-AA4C23C2A92C"/>
    <w:docVar w:name="LW_COVERPAGE_TYPE" w:val="1"/>
    <w:docVar w:name="LW_CROSSREFERENCE" w:val="{SWD(2019) 170 final} - {SWD(2019) 171 final}"/>
    <w:docVar w:name="LW_DocType" w:val="NORMAL"/>
    <w:docVar w:name="LW_EMISSION" w:val="29.4.2019"/>
    <w:docVar w:name="LW_EMISSION_ISODATE" w:val="2019-04-29"/>
    <w:docVar w:name="LW_EMISSION_LOCATION" w:val="BRX"/>
    <w:docVar w:name="LW_EMISSION_PREFIX" w:val="Bruxelles, le "/>
    <w:docVar w:name="LW_EMISSION_SUFFIX" w:val=" "/>
    <w:docVar w:name="LW_ID_DOCTYPE_NONLW" w:val="CP-039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.CP" w:val="Stratégie antifraude de la Commission: action renforcée pour protéger le budget de l\u8217?Union européenne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XE_x000b_"/>
    <w:docVar w:name="LW_TYPEACTEPRINCIPAL.CP" w:val="COMMUNICATION DE LA COMMISSION AU PARLEMENT EUROPÉEN, AU CONSEIL, AU COMITÉ ÉCONOMIQUE ET SOCIAL EUROPÉEN, AU COMITÉ DES RÉGIONS ET À LA COUR DES COMP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1469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ARAMPATZAKIS Georgios (OLAF)</dc:creator>
  <cp:lastModifiedBy>WES PDFC Administrator</cp:lastModifiedBy>
  <cp:revision>15</cp:revision>
  <dcterms:created xsi:type="dcterms:W3CDTF">2019-03-31T17:17:00Z</dcterms:created>
  <dcterms:modified xsi:type="dcterms:W3CDTF">2019-04-24T09:39:00Z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