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6B02C76-0A79-4073-8B79-E512D809B85D"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ZAŁĄCZNIK I</w:t>
      </w:r>
    </w:p>
    <w:p>
      <w:pPr>
        <w:jc w:val="center"/>
        <w:rPr>
          <w:b/>
          <w:noProof/>
        </w:rPr>
      </w:pPr>
    </w:p>
    <w:p>
      <w:pPr>
        <w:jc w:val="center"/>
        <w:rPr>
          <w:b/>
          <w:noProof/>
        </w:rPr>
      </w:pPr>
      <w:r>
        <w:rPr>
          <w:b/>
          <w:noProof/>
        </w:rPr>
        <w:t>DECYZJA NR 1/[../..] WSPÓLNEGO KOMITETU</w:t>
      </w:r>
    </w:p>
    <w:p>
      <w:pPr>
        <w:jc w:val="center"/>
        <w:rPr>
          <w:b/>
          <w:noProof/>
        </w:rPr>
      </w:pPr>
      <w:r>
        <w:rPr>
          <w:b/>
          <w:noProof/>
        </w:rPr>
        <w:t>w sprawie</w:t>
      </w:r>
    </w:p>
    <w:p>
      <w:pPr>
        <w:jc w:val="center"/>
        <w:rPr>
          <w:b/>
          <w:noProof/>
        </w:rPr>
      </w:pPr>
      <w:r>
        <w:rPr>
          <w:b/>
          <w:noProof/>
        </w:rPr>
        <w:t>przyjęcia jego regulaminu wewnętrznego</w:t>
      </w:r>
    </w:p>
    <w:p>
      <w:pPr>
        <w:rPr>
          <w:noProof/>
        </w:rPr>
      </w:pPr>
    </w:p>
    <w:p>
      <w:pPr>
        <w:rPr>
          <w:noProof/>
        </w:rPr>
      </w:pPr>
      <w:r>
        <w:rPr>
          <w:noProof/>
        </w:rPr>
        <w:t>WSPÓLNY KOMITET UE–FILIPINY,</w:t>
      </w:r>
    </w:p>
    <w:p>
      <w:pPr>
        <w:rPr>
          <w:noProof/>
        </w:rPr>
      </w:pPr>
      <w:r>
        <w:rPr>
          <w:noProof/>
        </w:rPr>
        <w:t>uwzględniając Umowę ramową o partnerstwie i współpracy między Unią Europejską i jej państwami członkowskimi, z jednej strony, a Republiką Filipin, z drugiej strony („Umowa”), w szczególności jej art. 48,</w:t>
      </w:r>
    </w:p>
    <w:p>
      <w:pPr>
        <w:rPr>
          <w:noProof/>
        </w:rPr>
      </w:pPr>
      <w:r>
        <w:rPr>
          <w:noProof/>
        </w:rPr>
        <w:t>a także mając na uwadze, co następuje:</w:t>
      </w:r>
    </w:p>
    <w:p>
      <w:pPr>
        <w:rPr>
          <w:noProof/>
        </w:rPr>
      </w:pPr>
      <w:r>
        <w:rPr>
          <w:noProof/>
        </w:rPr>
        <w:t>(1)</w:t>
      </w:r>
      <w:r>
        <w:rPr>
          <w:noProof/>
        </w:rPr>
        <w:tab/>
        <w:t>Umowa weszła w życie 1 marca 2018 r.</w:t>
      </w:r>
    </w:p>
    <w:p>
      <w:pPr>
        <w:rPr>
          <w:noProof/>
        </w:rPr>
      </w:pPr>
      <w:r>
        <w:rPr>
          <w:noProof/>
        </w:rPr>
        <w:t>(2)</w:t>
      </w:r>
      <w:r>
        <w:rPr>
          <w:noProof/>
        </w:rPr>
        <w:tab/>
        <w:t>Należy zatem przyjąć regulamin Wspólnego Komitetu,</w:t>
      </w:r>
    </w:p>
    <w:p>
      <w:pPr>
        <w:rPr>
          <w:noProof/>
        </w:rPr>
      </w:pPr>
      <w:r>
        <w:rPr>
          <w:noProof/>
        </w:rPr>
        <w:t>STANOWI, CO NASTĘPUJE:</w:t>
      </w:r>
    </w:p>
    <w:p>
      <w:pPr>
        <w:jc w:val="center"/>
        <w:rPr>
          <w:i/>
          <w:noProof/>
        </w:rPr>
      </w:pPr>
      <w:r>
        <w:rPr>
          <w:i/>
          <w:noProof/>
        </w:rPr>
        <w:t>Artykuł</w:t>
      </w:r>
    </w:p>
    <w:p>
      <w:pPr>
        <w:ind w:left="720" w:hanging="720"/>
        <w:rPr>
          <w:noProof/>
        </w:rPr>
      </w:pPr>
      <w:r>
        <w:rPr>
          <w:noProof/>
        </w:rPr>
        <w:t>1.</w:t>
      </w:r>
      <w:r>
        <w:rPr>
          <w:noProof/>
        </w:rPr>
        <w:tab/>
        <w:t xml:space="preserve">Niniejszym przyjmuje się regulamin wewnętrzny Wspólnego Komitetu zamieszczony w załączniku. </w:t>
      </w:r>
    </w:p>
    <w:p>
      <w:pPr>
        <w:rPr>
          <w:noProof/>
        </w:rPr>
      </w:pPr>
      <w:r>
        <w:rPr>
          <w:noProof/>
        </w:rPr>
        <w:t>2.</w:t>
      </w:r>
      <w:r>
        <w:rPr>
          <w:noProof/>
        </w:rPr>
        <w:tab/>
        <w:t>Niniejsza decyzja wchodzi w życie z dniem jej przyjęcia.</w:t>
      </w:r>
    </w:p>
    <w:p>
      <w:pPr>
        <w:rPr>
          <w:noProof/>
        </w:rPr>
      </w:pPr>
    </w:p>
    <w:p>
      <w:pPr>
        <w:rPr>
          <w:noProof/>
        </w:rPr>
      </w:pPr>
      <w:r>
        <w:rPr>
          <w:noProof/>
        </w:rPr>
        <w:t xml:space="preserve">Sporządzono w … </w:t>
      </w:r>
    </w:p>
    <w:p>
      <w:pPr>
        <w:rPr>
          <w:noProof/>
        </w:rPr>
      </w:pPr>
    </w:p>
    <w:p>
      <w:pPr>
        <w:ind w:left="5040"/>
        <w:jc w:val="left"/>
        <w:rPr>
          <w:i/>
          <w:noProof/>
        </w:rPr>
      </w:pPr>
      <w:r>
        <w:rPr>
          <w:i/>
          <w:noProof/>
        </w:rPr>
        <w:t xml:space="preserve">W imieniu Wspólnego Komitetu UE–Filipiny </w:t>
      </w:r>
      <w:r>
        <w:rPr>
          <w:i/>
          <w:noProof/>
        </w:rPr>
        <w:br/>
        <w:t>Przewodniczący</w:t>
      </w:r>
    </w:p>
    <w:p>
      <w:pPr>
        <w:rPr>
          <w:noProof/>
        </w:rPr>
      </w:pPr>
    </w:p>
    <w:p>
      <w:pPr>
        <w:spacing w:before="0" w:after="200" w:line="276" w:lineRule="auto"/>
        <w:jc w:val="left"/>
        <w:rPr>
          <w:noProof/>
        </w:rPr>
      </w:pPr>
      <w:r>
        <w:rPr>
          <w:noProof/>
        </w:rPr>
        <w:br w:type="page"/>
      </w:r>
    </w:p>
    <w:p>
      <w:pPr>
        <w:rPr>
          <w:noProof/>
        </w:rPr>
      </w:pPr>
    </w:p>
    <w:p>
      <w:pPr>
        <w:jc w:val="center"/>
        <w:rPr>
          <w:b/>
          <w:noProof/>
        </w:rPr>
      </w:pPr>
      <w:r>
        <w:rPr>
          <w:b/>
          <w:noProof/>
        </w:rPr>
        <w:t>Załącznik A</w:t>
      </w:r>
    </w:p>
    <w:p>
      <w:pPr>
        <w:jc w:val="center"/>
        <w:rPr>
          <w:b/>
          <w:noProof/>
        </w:rPr>
      </w:pPr>
      <w:r>
        <w:rPr>
          <w:b/>
          <w:noProof/>
        </w:rPr>
        <w:t>Regulamin wewnętrzny Wspólnego Komitetu</w:t>
      </w:r>
    </w:p>
    <w:p>
      <w:pPr>
        <w:jc w:val="center"/>
        <w:rPr>
          <w:b/>
          <w:noProof/>
        </w:rPr>
      </w:pPr>
    </w:p>
    <w:p>
      <w:pPr>
        <w:jc w:val="center"/>
        <w:rPr>
          <w:i/>
          <w:noProof/>
        </w:rPr>
      </w:pPr>
      <w:r>
        <w:rPr>
          <w:i/>
          <w:noProof/>
        </w:rPr>
        <w:t>Artykuł 1</w:t>
      </w:r>
    </w:p>
    <w:p>
      <w:pPr>
        <w:jc w:val="center"/>
        <w:rPr>
          <w:b/>
          <w:i/>
          <w:noProof/>
        </w:rPr>
      </w:pPr>
      <w:r>
        <w:rPr>
          <w:b/>
          <w:i/>
          <w:noProof/>
        </w:rPr>
        <w:t>Zadania i skład</w:t>
      </w:r>
    </w:p>
    <w:p>
      <w:pPr>
        <w:ind w:left="720" w:hanging="720"/>
        <w:rPr>
          <w:noProof/>
        </w:rPr>
      </w:pPr>
      <w:r>
        <w:rPr>
          <w:noProof/>
        </w:rPr>
        <w:t>1.</w:t>
      </w:r>
      <w:r>
        <w:rPr>
          <w:noProof/>
        </w:rPr>
        <w:tab/>
        <w:t>Wspólny Komitet wykonuje zadania, o których mowa w art. 48 Umowy ramowej o partnerstwie i współpracy między Unią Europejską i jej państwami członkowskimi, z jednej strony, a Republiką Filipin, z drugiej strony („Umowa”), zwanymi dalej wspólnie „Stronami” lub indywidualnie „Stroną”.</w:t>
      </w:r>
    </w:p>
    <w:p>
      <w:pPr>
        <w:ind w:left="720" w:hanging="720"/>
        <w:rPr>
          <w:noProof/>
        </w:rPr>
      </w:pPr>
      <w:r>
        <w:rPr>
          <w:noProof/>
        </w:rPr>
        <w:t>2.</w:t>
      </w:r>
      <w:r>
        <w:rPr>
          <w:noProof/>
        </w:rPr>
        <w:tab/>
        <w:t>Wspólny Komitet składa się z przedstawicieli obu stron na szczeblu wyższych urzędników.</w:t>
      </w:r>
    </w:p>
    <w:p>
      <w:pPr>
        <w:jc w:val="center"/>
        <w:rPr>
          <w:i/>
          <w:noProof/>
        </w:rPr>
      </w:pPr>
      <w:r>
        <w:rPr>
          <w:i/>
          <w:noProof/>
        </w:rPr>
        <w:t>Artykuł 2</w:t>
      </w:r>
    </w:p>
    <w:p>
      <w:pPr>
        <w:jc w:val="center"/>
        <w:rPr>
          <w:b/>
          <w:i/>
          <w:noProof/>
        </w:rPr>
      </w:pPr>
      <w:r>
        <w:rPr>
          <w:b/>
          <w:i/>
          <w:noProof/>
        </w:rPr>
        <w:t>Posiedzenia</w:t>
      </w:r>
    </w:p>
    <w:p>
      <w:pPr>
        <w:ind w:left="720" w:hanging="720"/>
        <w:rPr>
          <w:noProof/>
        </w:rPr>
      </w:pPr>
      <w:r>
        <w:rPr>
          <w:noProof/>
        </w:rPr>
        <w:t>1.</w:t>
      </w:r>
      <w:r>
        <w:rPr>
          <w:noProof/>
        </w:rPr>
        <w:tab/>
        <w:t>Posiedzenia Wspólnego Komitetu odbywają się zwyczajowo co dwa lata. Posiedzenia Wspólnego Komitetu są zwoływane przez przewodniczącego. Posiedzenia odbywają się na przemian w Manili i w Brukseli w terminie uzgodnionym przez Strony. Za zgodą Stron można zwoływać – na wniosek jednej ze Stron – sesje nadzwyczajne Wspólnego Komitetu.</w:t>
      </w:r>
    </w:p>
    <w:p>
      <w:pPr>
        <w:ind w:left="720" w:hanging="720"/>
        <w:rPr>
          <w:noProof/>
        </w:rPr>
      </w:pPr>
      <w:r>
        <w:rPr>
          <w:noProof/>
        </w:rPr>
        <w:t>2.</w:t>
      </w:r>
      <w:r>
        <w:rPr>
          <w:noProof/>
        </w:rPr>
        <w:tab/>
        <w:t>Za zgodą Stron posiedzenia Wspólnego Komitetu mogą odbywać się w drodze wyjątku w formie wideokonferencji lub telekonferencji.</w:t>
      </w:r>
    </w:p>
    <w:p>
      <w:pPr>
        <w:ind w:left="720" w:hanging="720"/>
        <w:rPr>
          <w:noProof/>
        </w:rPr>
      </w:pPr>
      <w:r>
        <w:rPr>
          <w:noProof/>
        </w:rPr>
        <w:t>3.</w:t>
      </w:r>
      <w:r>
        <w:rPr>
          <w:noProof/>
        </w:rPr>
        <w:tab/>
        <w:t>Posiedzenia Wspólnego Komitetu prowadzone są wyłącznie między przedstawicielami Stron i w tajemnicy, chyba że obie Strony postanowią inaczej.</w:t>
      </w:r>
    </w:p>
    <w:p>
      <w:pPr>
        <w:ind w:left="720" w:hanging="720"/>
        <w:rPr>
          <w:noProof/>
        </w:rPr>
      </w:pPr>
    </w:p>
    <w:p>
      <w:pPr>
        <w:jc w:val="center"/>
        <w:rPr>
          <w:i/>
          <w:noProof/>
        </w:rPr>
      </w:pPr>
      <w:r>
        <w:rPr>
          <w:i/>
          <w:noProof/>
        </w:rPr>
        <w:t>Artykuł 3</w:t>
      </w:r>
    </w:p>
    <w:p>
      <w:pPr>
        <w:jc w:val="center"/>
        <w:rPr>
          <w:b/>
          <w:i/>
          <w:noProof/>
        </w:rPr>
      </w:pPr>
      <w:r>
        <w:rPr>
          <w:b/>
          <w:i/>
          <w:noProof/>
        </w:rPr>
        <w:t>Przewodniczący</w:t>
      </w:r>
    </w:p>
    <w:p>
      <w:pPr>
        <w:rPr>
          <w:noProof/>
        </w:rPr>
      </w:pPr>
      <w:r>
        <w:rPr>
          <w:noProof/>
        </w:rPr>
        <w:t>Strona, która pełni funkcję gospodarza pierwszego posiedzenia Wspólnego Komitetu, przewodniczy Komitetowi od daty tego posiedzenia do dnia 31 grudnia tego samego roku. Następnie przewodniczący Wspólnego Komitetu zmienia się co dwa lata.</w:t>
      </w:r>
    </w:p>
    <w:p>
      <w:pPr>
        <w:rPr>
          <w:noProof/>
        </w:rPr>
      </w:pPr>
    </w:p>
    <w:p>
      <w:pPr>
        <w:jc w:val="center"/>
        <w:rPr>
          <w:i/>
          <w:noProof/>
        </w:rPr>
      </w:pPr>
      <w:r>
        <w:rPr>
          <w:i/>
          <w:noProof/>
        </w:rPr>
        <w:t>Artykuł 4</w:t>
      </w:r>
    </w:p>
    <w:p>
      <w:pPr>
        <w:jc w:val="center"/>
        <w:rPr>
          <w:b/>
          <w:noProof/>
        </w:rPr>
      </w:pPr>
      <w:r>
        <w:rPr>
          <w:b/>
          <w:noProof/>
        </w:rPr>
        <w:t>Uczestnicy</w:t>
      </w:r>
    </w:p>
    <w:p>
      <w:pPr>
        <w:ind w:left="720" w:hanging="720"/>
        <w:rPr>
          <w:noProof/>
        </w:rPr>
      </w:pPr>
      <w:r>
        <w:rPr>
          <w:noProof/>
        </w:rPr>
        <w:t>1.</w:t>
      </w:r>
      <w:r>
        <w:rPr>
          <w:noProof/>
        </w:rPr>
        <w:tab/>
        <w:t>Członkami delegatur każdej ze Stron są przedstawiciele Stron na szczeblu wyższych urzędników.</w:t>
      </w:r>
    </w:p>
    <w:p>
      <w:pPr>
        <w:ind w:left="720" w:hanging="720"/>
        <w:rPr>
          <w:noProof/>
        </w:rPr>
      </w:pPr>
      <w:r>
        <w:rPr>
          <w:noProof/>
        </w:rPr>
        <w:t>2.</w:t>
      </w:r>
      <w:r>
        <w:rPr>
          <w:noProof/>
        </w:rPr>
        <w:tab/>
        <w:t>Obie Strony informują swoich odpowiedników o rzeczywistym składzie swoich delegatur dwadzieścia jeden (21) dni roboczych przed posiedzeniem.</w:t>
      </w:r>
    </w:p>
    <w:p>
      <w:pPr>
        <w:ind w:left="720" w:hanging="720"/>
        <w:rPr>
          <w:noProof/>
        </w:rPr>
      </w:pPr>
      <w:r>
        <w:rPr>
          <w:noProof/>
        </w:rPr>
        <w:t>3.</w:t>
      </w:r>
      <w:r>
        <w:rPr>
          <w:noProof/>
        </w:rPr>
        <w:tab/>
        <w:t>Przewodniczący zapewnia, by wszyscy uczestnicy posiedzeń Wspólnego Komitetu byli odpowiednio wyznaczonymi przedstawicielami Stron. Obawy dotyczące składu delegatur przedstawia się przewodniczącemu.</w:t>
      </w:r>
    </w:p>
    <w:p>
      <w:pPr>
        <w:ind w:left="720" w:hanging="720"/>
        <w:rPr>
          <w:noProof/>
        </w:rPr>
      </w:pPr>
      <w:r>
        <w:rPr>
          <w:noProof/>
        </w:rPr>
        <w:t>4.</w:t>
      </w:r>
      <w:r>
        <w:rPr>
          <w:noProof/>
        </w:rPr>
        <w:tab/>
        <w:t xml:space="preserve">Po uprzednim uzgodnieniu Strony mogą zaprosić na posiedzenie osoby trzecie, jeżeli uznają to za konieczne, w celu uzyskania informacji na konkretny temat. Każda ze </w:t>
      </w:r>
      <w:r>
        <w:rPr>
          <w:noProof/>
        </w:rPr>
        <w:lastRenderedPageBreak/>
        <w:t>Stron musi poinformować swojego odpowiednika o zamiarze zaproszenia osoby trzeciej przynajmniej dwadzieścia jeden (21) dni roboczych przed posiedzeniem.</w:t>
      </w:r>
    </w:p>
    <w:p>
      <w:pPr>
        <w:rPr>
          <w:noProof/>
        </w:rPr>
      </w:pPr>
    </w:p>
    <w:p>
      <w:pPr>
        <w:jc w:val="center"/>
        <w:rPr>
          <w:i/>
          <w:noProof/>
        </w:rPr>
      </w:pPr>
      <w:r>
        <w:rPr>
          <w:i/>
          <w:noProof/>
        </w:rPr>
        <w:t>Artykuł 5</w:t>
      </w:r>
    </w:p>
    <w:p>
      <w:pPr>
        <w:jc w:val="center"/>
        <w:rPr>
          <w:b/>
          <w:noProof/>
        </w:rPr>
      </w:pPr>
      <w:r>
        <w:rPr>
          <w:b/>
          <w:noProof/>
        </w:rPr>
        <w:t>Sekretariat</w:t>
      </w:r>
    </w:p>
    <w:p>
      <w:pPr>
        <w:rPr>
          <w:noProof/>
        </w:rPr>
      </w:pPr>
      <w:r>
        <w:rPr>
          <w:noProof/>
        </w:rPr>
        <w:t>Przedstawiciel Europejskiej Służby Działań Zewnętrznych i przedstawiciel Departamentu Spraw Zagranicznych Republiki Filipin wspólnie sprawują funkcję sekretarzy Wspólnego Komitetu. Wszystkie komunikaty skierowane do przewodniczącego oraz od niego wychodzące przekazywane są sekretarzom. Korespondencja skierowana do przewodniczącego oraz od niego wychodząca może mieć dowolną formę pisemną, w tym wiadomości elektronicznej.</w:t>
      </w:r>
    </w:p>
    <w:p>
      <w:pPr>
        <w:rPr>
          <w:noProof/>
        </w:rPr>
      </w:pPr>
    </w:p>
    <w:p>
      <w:pPr>
        <w:jc w:val="center"/>
        <w:rPr>
          <w:i/>
          <w:noProof/>
        </w:rPr>
      </w:pPr>
      <w:r>
        <w:rPr>
          <w:i/>
          <w:noProof/>
        </w:rPr>
        <w:t>Artykuł 6</w:t>
      </w:r>
    </w:p>
    <w:p>
      <w:pPr>
        <w:jc w:val="center"/>
        <w:rPr>
          <w:b/>
          <w:noProof/>
        </w:rPr>
      </w:pPr>
      <w:r>
        <w:rPr>
          <w:b/>
          <w:noProof/>
        </w:rPr>
        <w:t>Porządek obrad</w:t>
      </w:r>
    </w:p>
    <w:p>
      <w:pPr>
        <w:ind w:left="720" w:hanging="720"/>
        <w:rPr>
          <w:noProof/>
        </w:rPr>
      </w:pPr>
      <w:r>
        <w:rPr>
          <w:noProof/>
        </w:rPr>
        <w:t>1.</w:t>
      </w:r>
      <w:r>
        <w:rPr>
          <w:noProof/>
        </w:rPr>
        <w:tab/>
        <w:t>Przewodniczący sporządza wstępny porządek obrad każdego posiedzenia. Wstępny porządek obrad wraz z odpowiednimi dokumentami przesyła się przynajmniej dwadzieścia jeden (21) dni roboczych przed posiedzeniem.</w:t>
      </w:r>
    </w:p>
    <w:p>
      <w:pPr>
        <w:ind w:left="720" w:hanging="720"/>
        <w:rPr>
          <w:noProof/>
        </w:rPr>
      </w:pPr>
      <w:r>
        <w:rPr>
          <w:noProof/>
        </w:rPr>
        <w:t>2.</w:t>
      </w:r>
      <w:r>
        <w:rPr>
          <w:noProof/>
        </w:rPr>
        <w:tab/>
        <w:t>Wspólny Komitet przyjmuje porządek obrad. Za zgodą Stron w porządku obrad można umieścić punkty, które nie znajdowały się we wstępnym porządku obrad.</w:t>
      </w:r>
    </w:p>
    <w:p>
      <w:pPr>
        <w:ind w:left="720" w:hanging="720"/>
        <w:rPr>
          <w:noProof/>
        </w:rPr>
      </w:pPr>
    </w:p>
    <w:p>
      <w:pPr>
        <w:jc w:val="center"/>
        <w:rPr>
          <w:i/>
          <w:noProof/>
        </w:rPr>
      </w:pPr>
      <w:r>
        <w:rPr>
          <w:i/>
          <w:noProof/>
        </w:rPr>
        <w:t>Artykuł 7</w:t>
      </w:r>
    </w:p>
    <w:p>
      <w:pPr>
        <w:jc w:val="center"/>
        <w:rPr>
          <w:b/>
          <w:noProof/>
        </w:rPr>
      </w:pPr>
      <w:r>
        <w:rPr>
          <w:b/>
          <w:noProof/>
        </w:rPr>
        <w:t>Protokół z obrad</w:t>
      </w:r>
    </w:p>
    <w:p>
      <w:pPr>
        <w:ind w:left="720" w:hanging="720"/>
        <w:rPr>
          <w:noProof/>
        </w:rPr>
      </w:pPr>
      <w:r>
        <w:rPr>
          <w:noProof/>
        </w:rPr>
        <w:t>1.</w:t>
      </w:r>
      <w:r>
        <w:rPr>
          <w:noProof/>
        </w:rPr>
        <w:tab/>
        <w:t>Obaj sekretarze wspólnie przygotowują projekt podsumowania wyników/wniosków z posiedzenia.</w:t>
      </w:r>
    </w:p>
    <w:p>
      <w:pPr>
        <w:ind w:left="720" w:hanging="720"/>
        <w:rPr>
          <w:noProof/>
        </w:rPr>
      </w:pPr>
      <w:r>
        <w:rPr>
          <w:noProof/>
        </w:rPr>
        <w:t>2.</w:t>
      </w:r>
      <w:r>
        <w:rPr>
          <w:noProof/>
        </w:rPr>
        <w:tab/>
        <w:t>Szef delegatury każdej ze Stron zatwierdza i podpisuje projekt podsumowania w dwóch egzemplarzach. Każda ze Stron otrzymuje jeden oryginał zatwierdzonego i podpisanego podsumowania.</w:t>
      </w:r>
    </w:p>
    <w:p>
      <w:pPr>
        <w:ind w:left="720" w:hanging="720"/>
        <w:rPr>
          <w:noProof/>
        </w:rPr>
      </w:pPr>
    </w:p>
    <w:p>
      <w:pPr>
        <w:jc w:val="center"/>
        <w:rPr>
          <w:i/>
          <w:noProof/>
        </w:rPr>
      </w:pPr>
      <w:r>
        <w:rPr>
          <w:i/>
          <w:noProof/>
        </w:rPr>
        <w:t>Artykuł 8</w:t>
      </w:r>
    </w:p>
    <w:p>
      <w:pPr>
        <w:jc w:val="center"/>
        <w:rPr>
          <w:b/>
          <w:noProof/>
        </w:rPr>
      </w:pPr>
      <w:r>
        <w:rPr>
          <w:b/>
          <w:noProof/>
        </w:rPr>
        <w:t>Decyzje i zalecenia</w:t>
      </w:r>
    </w:p>
    <w:p>
      <w:pPr>
        <w:ind w:left="720" w:hanging="720"/>
        <w:rPr>
          <w:noProof/>
        </w:rPr>
      </w:pPr>
      <w:r>
        <w:rPr>
          <w:noProof/>
        </w:rPr>
        <w:t>1.</w:t>
      </w:r>
      <w:r>
        <w:rPr>
          <w:noProof/>
        </w:rPr>
        <w:tab/>
        <w:t>Wspólny Komitet może podejmować decyzje lub wydawać zalecenia w celu osiągnięcia celów Umowy. Decyzje i zalecenia przyjmuje się za porozumieniem Stron. Decyzje i zalecenia przyjmuje się po zakończeniu przez Strony odpowiednich procedur wewnętrznych zgodnie z ich krajowymi przepisami ustawowymi i wykonawczymi.</w:t>
      </w:r>
    </w:p>
    <w:p>
      <w:pPr>
        <w:ind w:left="720" w:hanging="720"/>
        <w:rPr>
          <w:noProof/>
        </w:rPr>
      </w:pPr>
      <w:r>
        <w:rPr>
          <w:noProof/>
        </w:rPr>
        <w:t>2.</w:t>
      </w:r>
      <w:r>
        <w:rPr>
          <w:noProof/>
        </w:rPr>
        <w:tab/>
        <w:t>Wspólny Komitet może zadecydować o przyjęciu decyzji lub zaleceń w drodze procedury pisemnej. W takich przypadkach Strony ustalają okres trwania procedury. Jeżeli po upływie tego okresu żadna ze Stron nie wyrazi sprzeciwu wobec proponowanej decyzji lub proponowanego zalecenia, przewodniczący Wspólnego Komitetu ogłasza, że decyzję lub zalecenie przyjęto bez sprzeciwu.</w:t>
      </w:r>
    </w:p>
    <w:p>
      <w:pPr>
        <w:ind w:left="720" w:hanging="720"/>
        <w:rPr>
          <w:noProof/>
        </w:rPr>
      </w:pPr>
    </w:p>
    <w:p>
      <w:pPr>
        <w:ind w:left="720" w:hanging="720"/>
        <w:rPr>
          <w:noProof/>
        </w:rPr>
      </w:pPr>
    </w:p>
    <w:p>
      <w:pPr>
        <w:ind w:left="720" w:hanging="720"/>
        <w:rPr>
          <w:noProof/>
        </w:rPr>
      </w:pPr>
    </w:p>
    <w:p>
      <w:pPr>
        <w:jc w:val="center"/>
        <w:rPr>
          <w:i/>
          <w:noProof/>
        </w:rPr>
      </w:pPr>
      <w:r>
        <w:rPr>
          <w:i/>
          <w:noProof/>
        </w:rPr>
        <w:t>Artykuł 9</w:t>
      </w:r>
    </w:p>
    <w:p>
      <w:pPr>
        <w:jc w:val="center"/>
        <w:rPr>
          <w:b/>
          <w:noProof/>
        </w:rPr>
      </w:pPr>
      <w:r>
        <w:rPr>
          <w:b/>
          <w:noProof/>
        </w:rPr>
        <w:t>Wydatki</w:t>
      </w:r>
    </w:p>
    <w:p>
      <w:pPr>
        <w:ind w:left="720" w:hanging="720"/>
        <w:rPr>
          <w:noProof/>
        </w:rPr>
      </w:pPr>
      <w:r>
        <w:rPr>
          <w:noProof/>
        </w:rPr>
        <w:t>1.</w:t>
      </w:r>
      <w:r>
        <w:rPr>
          <w:noProof/>
        </w:rPr>
        <w:tab/>
        <w:t>Każda ze Stron pokrywa wszelkie poniesione przez siebie wydatki wynikające z uczestnictwa w posiedzeniach Wspólnego Komitetu, zarówno jeśli chodzi o koszty personelu, podróży i pobytu, jak i opłaty pocztowe i telekomunikacyjne.</w:t>
      </w:r>
    </w:p>
    <w:p>
      <w:pPr>
        <w:ind w:left="720" w:hanging="720"/>
        <w:rPr>
          <w:noProof/>
        </w:rPr>
      </w:pPr>
      <w:r>
        <w:rPr>
          <w:noProof/>
        </w:rPr>
        <w:t>2.</w:t>
      </w:r>
      <w:r>
        <w:rPr>
          <w:noProof/>
        </w:rPr>
        <w:tab/>
        <w:t>Każda ze Stron ponosi koszty związane z tłumaczeniem ustnym podczas posiedzeń oraz z tłumaczeniem pisemnym.</w:t>
      </w:r>
    </w:p>
    <w:p>
      <w:pPr>
        <w:ind w:left="720" w:hanging="720"/>
        <w:rPr>
          <w:noProof/>
        </w:rPr>
      </w:pPr>
      <w:r>
        <w:rPr>
          <w:noProof/>
        </w:rPr>
        <w:t>3.</w:t>
      </w:r>
      <w:r>
        <w:rPr>
          <w:noProof/>
        </w:rPr>
        <w:tab/>
        <w:t>Wydatki związane z organizacją posiedzeń oraz powielaniem dokumentów ponosi Strona, która pełni funkcję gospodarza posiedzenia.</w:t>
      </w:r>
    </w:p>
    <w:p>
      <w:pPr>
        <w:ind w:left="720" w:hanging="720"/>
        <w:rPr>
          <w:noProof/>
        </w:rPr>
      </w:pPr>
    </w:p>
    <w:p>
      <w:pPr>
        <w:jc w:val="center"/>
        <w:rPr>
          <w:i/>
          <w:noProof/>
        </w:rPr>
      </w:pPr>
      <w:r>
        <w:rPr>
          <w:i/>
          <w:noProof/>
        </w:rPr>
        <w:t>Artykuł 10</w:t>
      </w:r>
    </w:p>
    <w:p>
      <w:pPr>
        <w:jc w:val="center"/>
        <w:rPr>
          <w:b/>
          <w:noProof/>
        </w:rPr>
      </w:pPr>
      <w:r>
        <w:rPr>
          <w:b/>
          <w:noProof/>
        </w:rPr>
        <w:t>Specjalistyczne podkomitety</w:t>
      </w:r>
    </w:p>
    <w:p>
      <w:pPr>
        <w:ind w:left="720" w:hanging="720"/>
        <w:rPr>
          <w:noProof/>
        </w:rPr>
      </w:pPr>
      <w:r>
        <w:rPr>
          <w:noProof/>
        </w:rPr>
        <w:t>1.</w:t>
      </w:r>
      <w:r>
        <w:rPr>
          <w:noProof/>
        </w:rPr>
        <w:tab/>
        <w:t>Zgodnie z art. 48 ust. 3 Umowy Wspólny Komitet może ustanowić specjalistyczne podkomitety celem udzielenia mu wsparcia w wykonywaniu jego zadań. Specjalistyczne podkomitety składają Wspólnemu Komitetowi sprawozdania.</w:t>
      </w:r>
    </w:p>
    <w:p>
      <w:pPr>
        <w:ind w:left="720" w:hanging="720"/>
        <w:rPr>
          <w:noProof/>
        </w:rPr>
      </w:pPr>
      <w:r>
        <w:rPr>
          <w:noProof/>
        </w:rPr>
        <w:t>2.</w:t>
      </w:r>
      <w:r>
        <w:rPr>
          <w:noProof/>
        </w:rPr>
        <w:tab/>
        <w:t>Wspólny Komitet określa zakres uprawnień każdego specjalistycznego podkomitetu.</w:t>
      </w:r>
    </w:p>
    <w:p>
      <w:pPr>
        <w:ind w:left="720" w:hanging="720"/>
        <w:rPr>
          <w:noProof/>
        </w:rPr>
      </w:pPr>
      <w:r>
        <w:rPr>
          <w:noProof/>
        </w:rPr>
        <w:t>3.</w:t>
      </w:r>
      <w:r>
        <w:rPr>
          <w:noProof/>
        </w:rPr>
        <w:tab/>
        <w:t>Wspólny Komitet może podjąć decyzję o zmianie zakresu uprawnień lub rozwiązać każdy istniejący specjalistyczny podkomitet.</w:t>
      </w:r>
    </w:p>
    <w:p>
      <w:pPr>
        <w:ind w:left="720" w:hanging="720"/>
        <w:rPr>
          <w:noProof/>
        </w:rPr>
      </w:pPr>
      <w:r>
        <w:rPr>
          <w:noProof/>
        </w:rPr>
        <w:t>4.</w:t>
      </w:r>
      <w:r>
        <w:rPr>
          <w:noProof/>
        </w:rPr>
        <w:tab/>
        <w:t>Specjalistyczne podkomitety mogą wydawać zalecenia, które podlegają zatwierdzeniu przez Wspólny Komitet.</w:t>
      </w:r>
    </w:p>
    <w:p>
      <w:pPr>
        <w:ind w:left="720" w:hanging="720"/>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rStyle w:val="Marker"/>
          <w:noProof/>
        </w:rPr>
      </w:pPr>
      <w:r>
        <w:rPr>
          <w:noProof/>
        </w:rPr>
        <w:t>ZAŁĄCZNIK II</w:t>
      </w:r>
    </w:p>
    <w:p>
      <w:pPr>
        <w:jc w:val="center"/>
        <w:rPr>
          <w:b/>
          <w:noProof/>
        </w:rPr>
      </w:pPr>
      <w:r>
        <w:rPr>
          <w:b/>
          <w:noProof/>
        </w:rPr>
        <w:t>DECYZJA NR 2/[../..] WSPÓLNEGO KOMITETU UE–FILIPINY</w:t>
      </w:r>
    </w:p>
    <w:p>
      <w:pPr>
        <w:jc w:val="center"/>
        <w:rPr>
          <w:b/>
          <w:noProof/>
        </w:rPr>
      </w:pPr>
      <w:r>
        <w:rPr>
          <w:b/>
          <w:noProof/>
        </w:rPr>
        <w:t>w sprawie</w:t>
      </w:r>
    </w:p>
    <w:p>
      <w:pPr>
        <w:jc w:val="center"/>
        <w:rPr>
          <w:b/>
          <w:noProof/>
        </w:rPr>
      </w:pPr>
      <w:r>
        <w:rPr>
          <w:b/>
          <w:noProof/>
        </w:rPr>
        <w:t>ustanowienia specjalistycznych podkomitetów i przyjęcia zakresu ich uprawnień</w:t>
      </w:r>
    </w:p>
    <w:p>
      <w:pPr>
        <w:rPr>
          <w:noProof/>
        </w:rPr>
      </w:pPr>
    </w:p>
    <w:p>
      <w:pPr>
        <w:rPr>
          <w:noProof/>
        </w:rPr>
      </w:pPr>
      <w:r>
        <w:rPr>
          <w:noProof/>
        </w:rPr>
        <w:t>WSPÓLNY KOMITET UE–FILIPINY,</w:t>
      </w:r>
    </w:p>
    <w:p>
      <w:pPr>
        <w:rPr>
          <w:noProof/>
        </w:rPr>
      </w:pPr>
      <w:r>
        <w:rPr>
          <w:noProof/>
        </w:rPr>
        <w:t>uwzględniając Umowę ramową o partnerstwie i współpracy między Unią Europejską i jej państwami członkowskimi, z jednej strony, a Republiką Filipin, z drugiej strony („Umowa”), w szczególności jej art. 48 ust. 3 oraz art. [10] regulaminu wewnętrznego Wspólnego Komitetu,</w:t>
      </w:r>
    </w:p>
    <w:p>
      <w:pPr>
        <w:rPr>
          <w:noProof/>
        </w:rPr>
      </w:pPr>
      <w:r>
        <w:rPr>
          <w:noProof/>
        </w:rPr>
        <w:t>a także mając na uwadze, co następuje:</w:t>
      </w:r>
    </w:p>
    <w:p>
      <w:pPr>
        <w:ind w:left="720" w:hanging="720"/>
        <w:rPr>
          <w:noProof/>
        </w:rPr>
      </w:pPr>
      <w:r>
        <w:rPr>
          <w:noProof/>
        </w:rPr>
        <w:t>(1)</w:t>
      </w:r>
      <w:r>
        <w:rPr>
          <w:noProof/>
        </w:rPr>
        <w:tab/>
        <w:t>Aby umożliwić prowadzenie dyskusji na szczeblu eksperckim w kluczowych obszarach wchodzących w zakres Umowy, należy ustanowić specjalistyczne podkomitety.</w:t>
      </w:r>
    </w:p>
    <w:p>
      <w:pPr>
        <w:ind w:left="720" w:hanging="720"/>
        <w:rPr>
          <w:noProof/>
        </w:rPr>
      </w:pPr>
      <w:r>
        <w:rPr>
          <w:noProof/>
        </w:rPr>
        <w:t>(2)</w:t>
      </w:r>
      <w:r>
        <w:rPr>
          <w:noProof/>
        </w:rPr>
        <w:tab/>
        <w:t>Zgodnie z art. [8] regulaminu wewnętrznego Wspólnego Komitetu Wspólny Komitet może zdecydować o przyjęciu decyzji w drodze procedury pisemnej, [jeżeli w tym przypadku stosowana jest procedura pisemna]</w:t>
      </w:r>
    </w:p>
    <w:p>
      <w:pPr>
        <w:rPr>
          <w:noProof/>
        </w:rPr>
      </w:pPr>
      <w:r>
        <w:rPr>
          <w:noProof/>
        </w:rPr>
        <w:t>PRZYJMUJE NINIEJSZĄ DECYZJĘ:</w:t>
      </w:r>
    </w:p>
    <w:p>
      <w:pPr>
        <w:jc w:val="center"/>
        <w:rPr>
          <w:i/>
          <w:noProof/>
        </w:rPr>
      </w:pPr>
      <w:r>
        <w:rPr>
          <w:i/>
          <w:noProof/>
        </w:rPr>
        <w:t>Artykuł</w:t>
      </w:r>
    </w:p>
    <w:p>
      <w:pPr>
        <w:rPr>
          <w:noProof/>
        </w:rPr>
      </w:pPr>
      <w:r>
        <w:rPr>
          <w:noProof/>
        </w:rPr>
        <w:t>Niniejszym powołuje się specjalistyczne podkomitety wymienione w załączniku A. Zakres uprawnień specjalistycznych podkomitetów określono w załączniku B.</w:t>
      </w:r>
    </w:p>
    <w:p>
      <w:pPr>
        <w:rPr>
          <w:noProof/>
        </w:rPr>
      </w:pPr>
    </w:p>
    <w:p>
      <w:pPr>
        <w:rPr>
          <w:noProof/>
        </w:rPr>
      </w:pPr>
      <w:r>
        <w:rPr>
          <w:noProof/>
        </w:rPr>
        <w:t>Sporządzono w …</w:t>
      </w:r>
    </w:p>
    <w:p>
      <w:pPr>
        <w:ind w:left="5040"/>
        <w:rPr>
          <w:i/>
          <w:noProof/>
        </w:rPr>
      </w:pPr>
      <w:r>
        <w:rPr>
          <w:i/>
          <w:noProof/>
        </w:rPr>
        <w:t>W imieniu Wspólnego Komitetu UE–Filipiny</w:t>
      </w:r>
      <w:r>
        <w:rPr>
          <w:i/>
          <w:noProof/>
        </w:rPr>
        <w:br/>
        <w:t>Przewodniczący</w:t>
      </w:r>
    </w:p>
    <w:p>
      <w:pPr>
        <w:spacing w:before="0" w:after="200" w:line="276" w:lineRule="auto"/>
        <w:jc w:val="left"/>
        <w:rPr>
          <w:i/>
          <w:noProof/>
        </w:rPr>
      </w:pPr>
      <w:r>
        <w:rPr>
          <w:noProof/>
        </w:rPr>
        <w:br w:type="page"/>
      </w:r>
    </w:p>
    <w:p>
      <w:pPr>
        <w:jc w:val="center"/>
        <w:rPr>
          <w:b/>
          <w:noProof/>
        </w:rPr>
      </w:pPr>
      <w:r>
        <w:rPr>
          <w:b/>
          <w:noProof/>
        </w:rPr>
        <w:t>Załącznik A</w:t>
      </w:r>
    </w:p>
    <w:p>
      <w:pPr>
        <w:jc w:val="center"/>
        <w:rPr>
          <w:b/>
          <w:noProof/>
        </w:rPr>
      </w:pPr>
      <w:r>
        <w:rPr>
          <w:b/>
          <w:noProof/>
        </w:rPr>
        <w:t>WSPÓLNY KOMITET UE–FILIPINY</w:t>
      </w:r>
    </w:p>
    <w:p>
      <w:pPr>
        <w:jc w:val="center"/>
        <w:rPr>
          <w:b/>
          <w:noProof/>
        </w:rPr>
      </w:pPr>
      <w:r>
        <w:rPr>
          <w:b/>
          <w:noProof/>
        </w:rPr>
        <w:t>Specjalistyczne podkomitety</w:t>
      </w:r>
    </w:p>
    <w:p>
      <w:pPr>
        <w:spacing w:before="0" w:after="200" w:line="276" w:lineRule="auto"/>
        <w:jc w:val="left"/>
        <w:rPr>
          <w:i/>
          <w:noProof/>
        </w:rPr>
      </w:pPr>
      <w:r>
        <w:rPr>
          <w:noProof/>
        </w:rPr>
        <w:br w:type="page"/>
      </w:r>
    </w:p>
    <w:p>
      <w:pPr>
        <w:jc w:val="center"/>
        <w:rPr>
          <w:b/>
          <w:noProof/>
        </w:rPr>
      </w:pPr>
      <w:r>
        <w:rPr>
          <w:b/>
          <w:noProof/>
        </w:rPr>
        <w:t>Załącznik B</w:t>
      </w:r>
    </w:p>
    <w:p>
      <w:pPr>
        <w:jc w:val="center"/>
        <w:rPr>
          <w:b/>
          <w:noProof/>
        </w:rPr>
      </w:pPr>
      <w:r>
        <w:rPr>
          <w:b/>
          <w:noProof/>
        </w:rPr>
        <w:t>Zakres uprawnień specjalistycznych podkomitetów powołanych w ramach Umowy ramowej o partnerstwie i współpracy między Unią Europejską i jej państwami członkowskimi, z jednej strony, a Republiką Filipin, z drugiej strony („Umowa”), zwanymi dalej wspólnie „Stronami” lub indywidualnie „Stroną”</w:t>
      </w:r>
    </w:p>
    <w:p>
      <w:pPr>
        <w:jc w:val="center"/>
        <w:rPr>
          <w:b/>
          <w:noProof/>
        </w:rPr>
      </w:pPr>
    </w:p>
    <w:p>
      <w:pPr>
        <w:jc w:val="center"/>
        <w:rPr>
          <w:i/>
          <w:noProof/>
        </w:rPr>
      </w:pPr>
      <w:r>
        <w:rPr>
          <w:i/>
          <w:noProof/>
        </w:rPr>
        <w:t>Artykuł 1</w:t>
      </w:r>
    </w:p>
    <w:p>
      <w:pPr>
        <w:rPr>
          <w:noProof/>
        </w:rPr>
      </w:pPr>
      <w:r>
        <w:rPr>
          <w:noProof/>
        </w:rPr>
        <w:t>Specjalistyczne podkomitety prowadzą dyskusje o kwestiach lub konkretnych projektach związanych z odpowiednimi obszarami współpracy.</w:t>
      </w:r>
    </w:p>
    <w:p>
      <w:pPr>
        <w:rPr>
          <w:noProof/>
        </w:rPr>
      </w:pPr>
    </w:p>
    <w:p>
      <w:pPr>
        <w:jc w:val="center"/>
        <w:rPr>
          <w:i/>
          <w:noProof/>
        </w:rPr>
      </w:pPr>
      <w:r>
        <w:rPr>
          <w:i/>
          <w:noProof/>
        </w:rPr>
        <w:t>Artykuł 2</w:t>
      </w:r>
    </w:p>
    <w:p>
      <w:pPr>
        <w:rPr>
          <w:noProof/>
        </w:rPr>
      </w:pPr>
      <w:r>
        <w:rPr>
          <w:noProof/>
        </w:rPr>
        <w:t>Specjalistyczne podkomitety wykonują swoje zadania pod nadzorem Wspólnego Komitetu. W ciągu trzydziestu (30) dni roboczych od daty każdego swojego posiedzenia podkomitety składają sprawozdanie przewodniczącemu Wspólnego Komitetu oraz przekazują mu podsumowanie wyników/wniosków.</w:t>
      </w:r>
    </w:p>
    <w:p>
      <w:pPr>
        <w:rPr>
          <w:noProof/>
        </w:rPr>
      </w:pPr>
    </w:p>
    <w:p>
      <w:pPr>
        <w:jc w:val="center"/>
        <w:rPr>
          <w:i/>
          <w:noProof/>
        </w:rPr>
      </w:pPr>
      <w:r>
        <w:rPr>
          <w:i/>
          <w:noProof/>
        </w:rPr>
        <w:t>Artykuł 3</w:t>
      </w:r>
    </w:p>
    <w:p>
      <w:pPr>
        <w:ind w:left="720" w:hanging="720"/>
        <w:rPr>
          <w:noProof/>
        </w:rPr>
      </w:pPr>
      <w:r>
        <w:rPr>
          <w:noProof/>
        </w:rPr>
        <w:t>1.</w:t>
      </w:r>
      <w:r>
        <w:rPr>
          <w:noProof/>
        </w:rPr>
        <w:tab/>
        <w:t>W skład specjalistycznych podkomitetów wchodzą przedstawiciele Stron. Przed posiedzeniem szefowie delegatury właściwych specjalistycznych podkomitetów informują się wzajemnie o reprezentacji obu Stron w specjalistycznych podkomitetach.</w:t>
      </w:r>
    </w:p>
    <w:p>
      <w:pPr>
        <w:ind w:left="720" w:hanging="720"/>
        <w:rPr>
          <w:noProof/>
        </w:rPr>
      </w:pPr>
      <w:r>
        <w:rPr>
          <w:noProof/>
        </w:rPr>
        <w:t>2.</w:t>
      </w:r>
      <w:r>
        <w:rPr>
          <w:noProof/>
        </w:rPr>
        <w:tab/>
        <w:t>Za pisemną zgodą właściwych szefów delegatur specjalistycznych podkomitetów specjalistyczny podkomitet może zaprosić na swoje posiedzenie osoby trzecie i może wysłuchać ich w stosownych przypadkach odnośnie do konkretnych punktów porządku obrad. Każda ze Stron musi poinformować swojego odpowiednika o zamiarze zaproszenia osoby trzeciej przynajmniej dziesięć (10) dni roboczych przed posiedzeniem. Strony uzgadniają wybór osoby trzeciej lub osób trzecich przed posiedzeniem.</w:t>
      </w:r>
    </w:p>
    <w:p>
      <w:pPr>
        <w:ind w:left="720" w:hanging="720"/>
        <w:rPr>
          <w:noProof/>
        </w:rPr>
      </w:pPr>
    </w:p>
    <w:p>
      <w:pPr>
        <w:jc w:val="center"/>
        <w:rPr>
          <w:i/>
          <w:noProof/>
        </w:rPr>
      </w:pPr>
      <w:r>
        <w:rPr>
          <w:i/>
          <w:noProof/>
        </w:rPr>
        <w:t>Artykuł 4</w:t>
      </w:r>
    </w:p>
    <w:p>
      <w:pPr>
        <w:rPr>
          <w:noProof/>
        </w:rPr>
      </w:pPr>
      <w:r>
        <w:rPr>
          <w:noProof/>
        </w:rPr>
        <w:t>Przewodniczącym i gospodarzem specjalistycznego podkomitetu jest co do zasady Strona, która przewodniczy Wspólnemu Komitetowi.</w:t>
      </w:r>
    </w:p>
    <w:p>
      <w:pPr>
        <w:rPr>
          <w:noProof/>
        </w:rPr>
      </w:pPr>
    </w:p>
    <w:p>
      <w:pPr>
        <w:jc w:val="center"/>
        <w:rPr>
          <w:i/>
          <w:noProof/>
        </w:rPr>
      </w:pPr>
      <w:r>
        <w:rPr>
          <w:i/>
          <w:noProof/>
        </w:rPr>
        <w:t>Artykuł 5</w:t>
      </w:r>
    </w:p>
    <w:p>
      <w:pPr>
        <w:rPr>
          <w:noProof/>
        </w:rPr>
      </w:pPr>
      <w:r>
        <w:rPr>
          <w:noProof/>
        </w:rPr>
        <w:t>Przedstawiciel Europejskiej Służby Działań Zewnętrznych lub właściwej Dyrekcji Generalnej Komisji Europejskiej i przedstawiciel odpowiedniej wiodącej agencji rządu Republiki Filipin wspólnie sprawują funkcję sekretarzy Wspólnego Komitetu.</w:t>
      </w:r>
    </w:p>
    <w:p>
      <w:pPr>
        <w:rPr>
          <w:noProof/>
        </w:rPr>
      </w:pPr>
    </w:p>
    <w:p>
      <w:pPr>
        <w:jc w:val="center"/>
        <w:rPr>
          <w:i/>
          <w:noProof/>
        </w:rPr>
      </w:pPr>
      <w:r>
        <w:rPr>
          <w:i/>
          <w:noProof/>
        </w:rPr>
        <w:t>Artykuł 6</w:t>
      </w:r>
    </w:p>
    <w:p>
      <w:pPr>
        <w:ind w:left="720" w:hanging="720"/>
        <w:rPr>
          <w:noProof/>
        </w:rPr>
      </w:pPr>
      <w:r>
        <w:rPr>
          <w:noProof/>
        </w:rPr>
        <w:t>1.</w:t>
      </w:r>
      <w:r>
        <w:rPr>
          <w:noProof/>
        </w:rPr>
        <w:tab/>
        <w:t>Posiedzenia specjalistycznych podkomitetów zwoływane są za porozumieniem stron na pisemny wniosek jednej ze Stron, gdy wymagają tego okoliczności. Każde posiedzenie odbywa się w terminie i miejscu uzgodnionym przez Strony. Za zgodą Stron posiedzenia podkomitetów mogą odbywać się w drodze wyjątku w formie wideokonferencji lub telekonferencji.</w:t>
      </w:r>
    </w:p>
    <w:p>
      <w:pPr>
        <w:ind w:left="720" w:hanging="720"/>
        <w:rPr>
          <w:noProof/>
        </w:rPr>
      </w:pPr>
      <w:r>
        <w:rPr>
          <w:noProof/>
        </w:rPr>
        <w:t>2.</w:t>
      </w:r>
      <w:r>
        <w:rPr>
          <w:noProof/>
        </w:rPr>
        <w:tab/>
        <w:t>Po otrzymaniu wniosku jednej ze Stron o zwołanie posiedzenia specjalistycznego podkomitetu sekretarz drugiej Strony udziela odpowiedzi w terminie dwudziestu jeden (21) dni roboczych od daty otrzymania tego wniosku.</w:t>
      </w:r>
    </w:p>
    <w:p>
      <w:pPr>
        <w:ind w:left="720" w:hanging="720"/>
        <w:rPr>
          <w:noProof/>
        </w:rPr>
      </w:pPr>
      <w:r>
        <w:rPr>
          <w:noProof/>
        </w:rPr>
        <w:t>3.</w:t>
      </w:r>
      <w:r>
        <w:rPr>
          <w:noProof/>
        </w:rPr>
        <w:tab/>
        <w:t>Przy uwzględnieniu art. 3 ust. 2 w stosunku do osób trzecich każda ze Stron informuje przewodniczącego o planowanym składzie delegatur w odpowiednim czasie przed posiedzeniem.</w:t>
      </w:r>
    </w:p>
    <w:p>
      <w:pPr>
        <w:rPr>
          <w:noProof/>
        </w:rPr>
      </w:pPr>
    </w:p>
    <w:p>
      <w:pPr>
        <w:jc w:val="center"/>
        <w:rPr>
          <w:i/>
          <w:noProof/>
        </w:rPr>
      </w:pPr>
      <w:r>
        <w:rPr>
          <w:i/>
          <w:noProof/>
        </w:rPr>
        <w:t>Artykuł 7</w:t>
      </w:r>
    </w:p>
    <w:p>
      <w:pPr>
        <w:ind w:left="720" w:hanging="720"/>
        <w:rPr>
          <w:noProof/>
        </w:rPr>
      </w:pPr>
      <w:r>
        <w:rPr>
          <w:noProof/>
        </w:rPr>
        <w:t>1.</w:t>
      </w:r>
      <w:r>
        <w:rPr>
          <w:noProof/>
        </w:rPr>
        <w:tab/>
        <w:t>Przewodniczący przekazuje Stronom wstępny porządek obrad nie później niż dwadzieścia jeden (21) dni roboczych przed posiedzeniem.</w:t>
      </w:r>
    </w:p>
    <w:p>
      <w:pPr>
        <w:ind w:left="720" w:hanging="720"/>
        <w:rPr>
          <w:noProof/>
        </w:rPr>
      </w:pPr>
      <w:r>
        <w:rPr>
          <w:noProof/>
        </w:rPr>
        <w:t>2.</w:t>
      </w:r>
      <w:r>
        <w:rPr>
          <w:noProof/>
        </w:rPr>
        <w:tab/>
        <w:t>Każda ze Stron może zwrócić się do przewodniczącego o wprowadzenie punktu do porządku obrad specjalistycznego podkomitetu. Za zgodą Stron w porządku obrad można umieścić punkty, które nie znajdowały się we wstępnym porządku obrad.</w:t>
      </w:r>
    </w:p>
    <w:p>
      <w:pPr>
        <w:ind w:left="720" w:hanging="720"/>
        <w:rPr>
          <w:noProof/>
        </w:rPr>
      </w:pPr>
    </w:p>
    <w:p>
      <w:pPr>
        <w:jc w:val="center"/>
        <w:rPr>
          <w:i/>
          <w:noProof/>
        </w:rPr>
      </w:pPr>
      <w:r>
        <w:rPr>
          <w:i/>
          <w:noProof/>
        </w:rPr>
        <w:t>Artykuł 8</w:t>
      </w:r>
    </w:p>
    <w:p>
      <w:pPr>
        <w:rPr>
          <w:noProof/>
        </w:rPr>
      </w:pPr>
      <w:r>
        <w:rPr>
          <w:noProof/>
        </w:rPr>
        <w:t>1.</w:t>
      </w:r>
      <w:r>
        <w:rPr>
          <w:noProof/>
        </w:rPr>
        <w:tab/>
        <w:t>Sekretarze wspólnie przygotowują projekt podsumowania wyników/wniosków</w:t>
      </w:r>
    </w:p>
    <w:p>
      <w:pPr>
        <w:ind w:left="720" w:hanging="720"/>
        <w:rPr>
          <w:noProof/>
        </w:rPr>
      </w:pPr>
      <w:r>
        <w:rPr>
          <w:noProof/>
        </w:rPr>
        <w:t>2.</w:t>
      </w:r>
      <w:r>
        <w:rPr>
          <w:noProof/>
        </w:rPr>
        <w:tab/>
        <w:t>Szef delegatury każdej ze Stron zatwierdza i podpisuje projekt podsumowania w dwóch egzemplarzach przed końcem każdego z posiedzeń. Każda ze Stron otrzyma jeden oryginał zatwierdzonego i podpisanego podsumowania.</w:t>
      </w:r>
    </w:p>
    <w:p>
      <w:pPr>
        <w:ind w:left="720" w:hanging="720"/>
        <w:rPr>
          <w:noProof/>
        </w:rPr>
      </w:pPr>
      <w:r>
        <w:rPr>
          <w:noProof/>
        </w:rPr>
        <w:t>3.</w:t>
      </w:r>
      <w:r>
        <w:rPr>
          <w:noProof/>
        </w:rPr>
        <w:tab/>
        <w:t>Posiedzenia specjalistycznych podkomitetów prowadzone są wyłącznie między przedstawicielami Stron i w tajemnicy, chyba że Strony postanowią inaczej.</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0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4A1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5E2D8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50A0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98D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6D2DB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BE4B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EB06B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 Lukasz (SJ)">
    <w15:presenceInfo w15:providerId="None" w15:userId="BAUMGART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5 11:44: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2"/>
    <w:docVar w:name="LW_ANNEX_UNIQUE" w:val="0"/>
    <w:docVar w:name="LW_CORRIGENDUM" w:val="&lt;UNUSED&gt;"/>
    <w:docVar w:name="LW_COVERPAGE_EXISTS" w:val="True"/>
    <w:docVar w:name="LW_COVERPAGE_GUID" w:val="F6B02C76-0A79-4073-8B79-E512D809B85D"/>
    <w:docVar w:name="LW_COVERPAGE_TYPE" w:val="1"/>
    <w:docVar w:name="LW_CROSSREFERENCE" w:val="&lt;UNUSED&gt;"/>
    <w:docVar w:name="LW_DocType" w:val="ANNEX"/>
    <w:docVar w:name="LW_EMISSION" w:val="29.4.2019"/>
    <w:docVar w:name="LW_EMISSION_ISODATE" w:val="2019-04-29"/>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stanowiska, jakie ma by\u263? zaj\u281?te w imieniu Unii Europejskiej w ramach Wspólnego Komitetu ustanowionego na podstawie Umowy ramowej o partnerstwie i&lt;LWCR:NBS&gt;wspó\u322?pracy mi\u281?dzy Uni\u261? Europejsk\u261? i jej pa\u324?stwami cz\u322?onkowskimi, z jednej strony, a&lt;LWCR:NBS&gt;Republik\u261? Filipin, z drugiej strony, w odniesieniu do przyj\u281?cia decyzji dotycz\u261?cych regulaminu wewn\u281?trznego Wspólnego Komitetu oraz przyj\u281?cia zakresu uprawnie\u324? specjalistycznych podkomitetów"/>
    <w:docVar w:name="LW_OBJETACTEPRINCIPAL.CP" w:val="w sprawie stanowiska, jakie ma by\u263? zaj\u281?te w imieniu Unii Europejskiej w ramach Wspólnego Komitetu ustanowionego na podstawie Umowy ramowej o partnerstwie i wspó\u322?pracy mi\u281?dzy Uni\u261? Europejsk\u261? i jej pa\u324?stwami cz\u322?onkowskimi, z jednej strony, a Republik\u261? Filipin, z drugiej strony, w odniesieniu do przyj\u281?cia decyzji dotycz\u261?cych regulaminu wewn\u281?trznego Wspólnego Komitetu oraz przyj\u281?cia zakresu uprawnie\u324? specjalistycznych podkomitetów"/>
    <w:docVar w:name="LW_PART_NBR" w:val="&lt;UNUSED&gt;"/>
    <w:docVar w:name="LW_PART_NBR_TOTAL" w:val="&lt;UNUSED&gt;"/>
    <w:docVar w:name="LW_REF.INST.NEW" w:val="COM"/>
    <w:docVar w:name="LW_REF.INST.NEW_ADOPTED" w:val="final"/>
    <w:docVar w:name="LW_REF.INST.NEW_TEXT" w:val="(2019) 1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I"/>
    <w:docVar w:name="LW_TYPE.DOC.CP" w:val="ZA\u321?\u260?CZNIKI"/>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1350</Words>
  <Characters>9089</Characters>
  <Application>Microsoft Office Word</Application>
  <DocSecurity>0</DocSecurity>
  <Lines>233</Lines>
  <Paragraphs>117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8</cp:revision>
  <cp:lastPrinted>2019-02-06T13:37:00Z</cp:lastPrinted>
  <dcterms:created xsi:type="dcterms:W3CDTF">2019-04-11T08:34:00Z</dcterms:created>
  <dcterms:modified xsi:type="dcterms:W3CDTF">2019-04-25T09:44:00Z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