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alt="3BFDCAC5-B8AF-4A0C-AF32-75B6B0D53274" style="width:450pt;height:306.75pt">
            <v:imagedata r:id="rId9" o:title=""/>
          </v:shape>
        </w:pict>
      </w:r>
    </w:p>
    <w:bookmarkEnd w:id="0"/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Typedudocument"/>
        <w:rPr>
          <w:noProof/>
        </w:rPr>
      </w:pPr>
      <w:bookmarkStart w:id="1" w:name="_GoBack"/>
      <w:bookmarkEnd w:id="1"/>
      <w:r>
        <w:rPr>
          <w:noProof/>
        </w:rPr>
        <w:lastRenderedPageBreak/>
        <w:t>2019. AASTA ÜLDEELARVE</w:t>
      </w:r>
      <w:r>
        <w:rPr>
          <w:noProof/>
        </w:rPr>
        <w:br/>
        <w:t>PARANDUSEELARVE PROJEKT Nr 1</w:t>
      </w:r>
    </w:p>
    <w:p>
      <w:pPr>
        <w:pStyle w:val="Titreobjet"/>
        <w:rPr>
          <w:noProof/>
        </w:rPr>
      </w:pPr>
      <w:r>
        <w:rPr>
          <w:noProof/>
        </w:rPr>
        <w:t>2018. EELARVEAASTA ÜLEJÄÄGI KANDMINE EELARVESSE</w:t>
      </w:r>
    </w:p>
    <w:p>
      <w:pPr>
        <w:rPr>
          <w:noProof/>
        </w:rPr>
      </w:pPr>
      <w:r>
        <w:rPr>
          <w:noProof/>
        </w:rPr>
        <w:t>Võttes arvesse</w:t>
      </w:r>
    </w:p>
    <w:p>
      <w:pPr>
        <w:pStyle w:val="Tiret0"/>
        <w:rPr>
          <w:noProof/>
        </w:rPr>
      </w:pPr>
      <w:r>
        <w:rPr>
          <w:noProof/>
        </w:rPr>
        <w:t>Euroopa Liidu toimimise lepingut, eriti selle artiklit 314, koostoimes Euroopa Aatomienergiaühenduse asutamislepinguga, eriti selle artikliga 106a,</w:t>
      </w:r>
    </w:p>
    <w:p>
      <w:pPr>
        <w:pStyle w:val="Tiret0"/>
        <w:tabs>
          <w:tab w:val="clear" w:pos="850"/>
          <w:tab w:val="num" w:pos="927"/>
        </w:tabs>
        <w:rPr>
          <w:rFonts w:cs="Arial"/>
          <w:noProof/>
          <w:szCs w:val="18"/>
        </w:rPr>
      </w:pPr>
      <w:r>
        <w:rPr>
          <w:noProof/>
        </w:rPr>
        <w:t>Euroopa Parlamendi ja nõukogu 18. juuli 2018. aasta määrust (EL, Euratom) 2018/1046, mis käsitleb Euroopa Liidu üldeelarve suhtes kohaldatavaid finantseeskirju (...),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eriti selle artiklit 44,</w:t>
      </w:r>
    </w:p>
    <w:p>
      <w:pPr>
        <w:pStyle w:val="Tiret0"/>
        <w:tabs>
          <w:tab w:val="clear" w:pos="850"/>
          <w:tab w:val="num" w:pos="927"/>
        </w:tabs>
        <w:rPr>
          <w:noProof/>
        </w:rPr>
      </w:pPr>
      <w:r>
        <w:rPr>
          <w:noProof/>
        </w:rPr>
        <w:t>Euroopa Liidu 2019. aasta üldeelarvet, mis võeti vastu 12. detsembril 2018</w:t>
      </w:r>
      <w:r>
        <w:rPr>
          <w:rStyle w:val="FootnoteReference"/>
          <w:noProof/>
        </w:rPr>
        <w:footnoteReference w:id="3"/>
      </w:r>
      <w:r>
        <w:rPr>
          <w:noProof/>
        </w:rPr>
        <w:t>,</w:t>
      </w:r>
    </w:p>
    <w:p>
      <w:pPr>
        <w:jc w:val="both"/>
        <w:rPr>
          <w:noProof/>
        </w:rPr>
      </w:pPr>
      <w:r>
        <w:rPr>
          <w:noProof/>
        </w:rPr>
        <w:t>esitab Euroopa Komisjon Euroopa Parlamendile ja nõukogule 2019. aasta eelarve paranduseelarve projekti nr 1.</w:t>
      </w:r>
    </w:p>
    <w:p>
      <w:pPr>
        <w:rPr>
          <w:b/>
          <w:noProof/>
          <w:u w:val="single"/>
        </w:rPr>
      </w:pPr>
    </w:p>
    <w:p>
      <w:pPr>
        <w:jc w:val="both"/>
        <w:rPr>
          <w:b/>
          <w:noProof/>
          <w:u w:val="single"/>
        </w:rPr>
      </w:pPr>
      <w:r>
        <w:rPr>
          <w:b/>
          <w:noProof/>
          <w:u w:val="single"/>
        </w:rPr>
        <w:t>TULUDE JA KULUDE EELARVESTUSE MUUDATUSED EELARVEJAGUDE KAUPA</w:t>
      </w:r>
    </w:p>
    <w:p>
      <w:pPr>
        <w:rPr>
          <w:b/>
          <w:noProof/>
          <w:u w:val="single"/>
        </w:rPr>
      </w:pPr>
    </w:p>
    <w:p>
      <w:pPr>
        <w:jc w:val="both"/>
        <w:rPr>
          <w:noProof/>
        </w:rPr>
      </w:pPr>
      <w:r>
        <w:rPr>
          <w:noProof/>
        </w:rPr>
        <w:t>Tulude ja kulude eelarvestuses eelarvejagude kaupa tehtavad muudatused on kättesaadavad EUR-Lexi veebisaidil (</w:t>
      </w:r>
      <w:hyperlink r:id="rId16">
        <w:r>
          <w:rPr>
            <w:rStyle w:val="Hyperlink"/>
            <w:noProof/>
            <w:color w:val="auto"/>
          </w:rPr>
          <w:t>http://eur-lex.europa.eu/budget/www/index-et.htm</w:t>
        </w:r>
      </w:hyperlink>
      <w:r>
        <w:rPr>
          <w:noProof/>
        </w:rPr>
        <w:t>). Teadmiseks on lisatud nende muudatuste ingliskeelne versioon, mis moodustab eelarve lisa.</w:t>
      </w:r>
    </w:p>
    <w:p>
      <w:pPr>
        <w:rPr>
          <w:noProof/>
        </w:rPr>
        <w:sectPr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Exposdesmotifstitre"/>
        <w:rPr>
          <w:noProof/>
        </w:rPr>
      </w:pPr>
      <w:bookmarkStart w:id="2" w:name="_Toc194220890"/>
      <w:bookmarkStart w:id="3" w:name="_Toc294675429"/>
      <w:bookmarkStart w:id="4" w:name="_Toc378575883"/>
      <w:r>
        <w:rPr>
          <w:noProof/>
        </w:rPr>
        <w:lastRenderedPageBreak/>
        <w:t>SELETUSKIRI</w:t>
      </w:r>
    </w:p>
    <w:p>
      <w:pPr>
        <w:jc w:val="both"/>
        <w:rPr>
          <w:noProof/>
        </w:rPr>
      </w:pPr>
      <w:r>
        <w:rPr>
          <w:noProof/>
        </w:rPr>
        <w:t>Paranduseelarve projekti nr 1/2019 eesmärk on kanda 2019. aasta eelarvesse 2018. aasta eelarve täitmise käigus tekkinud ülejääk. Vastavalt Euroopa Liidu üldeelarve suhtes kohaldatava finantsmääruse</w:t>
      </w:r>
      <w:r>
        <w:rPr>
          <w:noProof/>
          <w:vertAlign w:val="superscript"/>
        </w:rPr>
        <w:footnoteReference w:id="4"/>
      </w:r>
      <w:r>
        <w:rPr>
          <w:noProof/>
        </w:rPr>
        <w:t xml:space="preserve"> artikli 18 lõikele 3 käsitleb see paranduseelarve projekt üksnes ülejäägi kandmist eelarvesse ja see tuleb esitada 15 päeva jooksul pärast esialgse raamatupidamise aastaaruande esitamist, mis toimus 2019. aasta märtsi lõpus.</w:t>
      </w:r>
    </w:p>
    <w:p>
      <w:pPr>
        <w:pStyle w:val="NumPar1"/>
        <w:rPr>
          <w:noProof/>
          <w:color w:val="000000"/>
        </w:rPr>
      </w:pPr>
      <w:r>
        <w:rPr>
          <w:noProof/>
        </w:rPr>
        <w:t xml:space="preserve">2018. aasta eelarve täitmisel tekkis 1 802 988 329 euro suurune ülejääk, </w:t>
      </w:r>
      <w:r>
        <w:rPr>
          <w:noProof/>
          <w:color w:val="000000"/>
        </w:rPr>
        <w:t>mis kantakse tuluna 2019. aasta eelarvesse.</w:t>
      </w:r>
    </w:p>
    <w:p>
      <w:pPr>
        <w:pStyle w:val="NumPar1"/>
        <w:numPr>
          <w:ilvl w:val="0"/>
          <w:numId w:val="0"/>
        </w:numPr>
        <w:spacing w:after="0"/>
        <w:ind w:left="5954"/>
        <w:rPr>
          <w:i/>
          <w:noProof/>
          <w:sz w:val="20"/>
          <w:szCs w:val="20"/>
        </w:rPr>
      </w:pPr>
      <w:r>
        <w:rPr>
          <w:i/>
          <w:noProof/>
          <w:sz w:val="20"/>
        </w:rPr>
        <w:t>(eurodes)</w:t>
      </w:r>
    </w:p>
    <w:tbl>
      <w:tblPr>
        <w:tblW w:w="3716" w:type="dxa"/>
        <w:jc w:val="center"/>
        <w:tblLook w:val="04A0" w:firstRow="1" w:lastRow="0" w:firstColumn="1" w:lastColumn="0" w:noHBand="0" w:noVBand="1"/>
      </w:tblPr>
      <w:tblGrid>
        <w:gridCol w:w="2159"/>
        <w:gridCol w:w="1557"/>
      </w:tblGrid>
      <w:tr>
        <w:trPr>
          <w:trHeight w:val="570"/>
          <w:jc w:val="center"/>
        </w:trPr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>
            <w:pPr>
              <w:jc w:val="center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2018. aasta eelarve täitmise tulemuse jaotus</w:t>
            </w:r>
          </w:p>
        </w:tc>
      </w:tr>
      <w:tr>
        <w:trPr>
          <w:trHeight w:val="270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 xml:space="preserve">Tulude ülejääk 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1 274 590 133</w:t>
            </w:r>
          </w:p>
        </w:tc>
      </w:tr>
      <w:tr>
        <w:trPr>
          <w:trHeight w:val="270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Kulude ülejääk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528 398 196</w:t>
            </w:r>
          </w:p>
        </w:tc>
      </w:tr>
      <w:tr>
        <w:trPr>
          <w:trHeight w:val="270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>
            <w:pPr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Ülejääk kokku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1 802 988 329</w:t>
            </w:r>
          </w:p>
        </w:tc>
      </w:tr>
    </w:tbl>
    <w:bookmarkEnd w:id="2"/>
    <w:p>
      <w:pPr>
        <w:pStyle w:val="NumPar1"/>
        <w:rPr>
          <w:noProof/>
        </w:rPr>
      </w:pPr>
      <w:r>
        <w:rPr>
          <w:noProof/>
        </w:rPr>
        <w:t>Ülejäägi kandmine eelarvesse vähendab vastavalt osamaksude üldsummat, mida 28 liikmesriiki maksavad 2019. aasta eelarve rahastamiseks</w:t>
      </w:r>
      <w:r>
        <w:rPr>
          <w:rStyle w:val="FootnoteReference"/>
          <w:noProof/>
        </w:rPr>
        <w:footnoteReference w:id="5"/>
      </w:r>
      <w:r>
        <w:rPr>
          <w:noProof/>
        </w:rPr>
        <w:t>. Liikmesriikide osamaksud sõltuvad ka omavahendite ajakohastatud summast, mis muutub kättesaadavaks pärast omavahendite nõuandekomitee 2019. aasta maisse kavandatud koosolekut ja mis kajastub järgmises paranduseelarve projektis.</w:t>
      </w:r>
    </w:p>
    <w:p>
      <w:pPr>
        <w:pStyle w:val="NumPar1"/>
        <w:spacing w:before="240" w:after="0"/>
        <w:ind w:left="851" w:hanging="851"/>
        <w:rPr>
          <w:noProof/>
        </w:rPr>
      </w:pPr>
      <w:r>
        <w:rPr>
          <w:noProof/>
        </w:rPr>
        <w:t>Järgmises tabelis on esitatud 2018. aasta eelarve täitmise tulemuse jaotus tulude osas:</w:t>
      </w:r>
    </w:p>
    <w:p>
      <w:pPr>
        <w:pStyle w:val="NumPar1"/>
        <w:numPr>
          <w:ilvl w:val="0"/>
          <w:numId w:val="0"/>
        </w:numPr>
        <w:spacing w:after="0"/>
        <w:ind w:left="850" w:hanging="850"/>
        <w:jc w:val="right"/>
        <w:rPr>
          <w:i/>
          <w:noProof/>
          <w:sz w:val="20"/>
          <w:szCs w:val="20"/>
        </w:rPr>
      </w:pPr>
      <w:r>
        <w:rPr>
          <w:i/>
          <w:noProof/>
          <w:sz w:val="20"/>
        </w:rPr>
        <w:t>(eurodes)</w:t>
      </w:r>
    </w:p>
    <w:tbl>
      <w:tblPr>
        <w:tblW w:w="9929" w:type="dxa"/>
        <w:tblInd w:w="93" w:type="dxa"/>
        <w:tblLook w:val="04A0" w:firstRow="1" w:lastRow="0" w:firstColumn="1" w:lastColumn="0" w:noHBand="0" w:noVBand="1"/>
      </w:tblPr>
      <w:tblGrid>
        <w:gridCol w:w="377"/>
        <w:gridCol w:w="4883"/>
        <w:gridCol w:w="1556"/>
        <w:gridCol w:w="1556"/>
        <w:gridCol w:w="1557"/>
      </w:tblGrid>
      <w:tr>
        <w:trPr>
          <w:trHeight w:val="51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>
            <w:pPr>
              <w:jc w:val="center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2018. aasta eelarve täitmise tulemuse jaotus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>
            <w:pPr>
              <w:jc w:val="center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Eelarve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br/>
            </w:r>
            <w:r>
              <w:rPr>
                <w:b/>
                <w:noProof/>
                <w:color w:val="000000"/>
                <w:sz w:val="18"/>
              </w:rPr>
              <w:t>(k.a PE nr 1-6)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>
            <w:pPr>
              <w:jc w:val="center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Eelarve täitmise tulemus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>
            <w:pPr>
              <w:jc w:val="center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Muutus</w:t>
            </w:r>
          </w:p>
        </w:tc>
      </w:tr>
      <w:tr>
        <w:trPr>
          <w:trHeight w:val="27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>
            <w:pPr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Tulude vahesumma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144 767 916 298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146 042 506 431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1 274 590 133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—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Jaotis 1. Omavahendid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142 363 728 037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142 329 649 983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-34 078 054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48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Suhkrusektori maksud ja tollimaksud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-92 981 713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-85 070 995</w:t>
            </w:r>
          </w:p>
        </w:tc>
        <w:tc>
          <w:tcPr>
            <w:tcW w:w="15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7 910 718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48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Tollimaksud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20 164 642 350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20 316 700 932</w:t>
            </w:r>
          </w:p>
        </w:tc>
        <w:tc>
          <w:tcPr>
            <w:tcW w:w="15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152 058 582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48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Käibemaksupõhised omavahendid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17 148 885 750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17 132 576 159</w:t>
            </w:r>
          </w:p>
        </w:tc>
        <w:tc>
          <w:tcPr>
            <w:tcW w:w="15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-16 309 591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48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Kogurahvatulul põhinevad omavahendid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105 143 181 650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104 978 526 257</w:t>
            </w:r>
          </w:p>
        </w:tc>
        <w:tc>
          <w:tcPr>
            <w:tcW w:w="15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-164 655 393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48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Ühendkuningriigile ette nähtud eelarve tasakaalustamatuse korrektsioon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0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-18 997 428</w:t>
            </w:r>
          </w:p>
        </w:tc>
        <w:tc>
          <w:tcPr>
            <w:tcW w:w="15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-18 997 428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48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Teatavate liikmesriikide kogurahvatulul põhinevate iga-aastaste brutomaksete vähendamine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0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5 915 059</w:t>
            </w:r>
          </w:p>
        </w:tc>
        <w:tc>
          <w:tcPr>
            <w:tcW w:w="15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5 915 059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—</w:t>
            </w:r>
          </w:p>
        </w:tc>
        <w:tc>
          <w:tcPr>
            <w:tcW w:w="48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Jaotis 3. Ülejäägid, saldod ja korrigeerimine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555 542 325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581 255 381</w:t>
            </w:r>
          </w:p>
        </w:tc>
        <w:tc>
          <w:tcPr>
            <w:tcW w:w="15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25 713 056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—</w:t>
            </w:r>
          </w:p>
        </w:tc>
        <w:tc>
          <w:tcPr>
            <w:tcW w:w="48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Jaotis 4. Institutsioonide heaks töötavad isikud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1 547 408 825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1 541 840 701</w:t>
            </w:r>
          </w:p>
        </w:tc>
        <w:tc>
          <w:tcPr>
            <w:tcW w:w="15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-5 568 124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—</w:t>
            </w:r>
          </w:p>
        </w:tc>
        <w:tc>
          <w:tcPr>
            <w:tcW w:w="48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Jaotis 5. Institutsioonide haldustegevus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45 050 050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3 715 390</w:t>
            </w:r>
          </w:p>
        </w:tc>
        <w:tc>
          <w:tcPr>
            <w:tcW w:w="15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-41 334 660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—</w:t>
            </w:r>
          </w:p>
        </w:tc>
        <w:tc>
          <w:tcPr>
            <w:tcW w:w="48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Jaotis 6. Liidu kokkulepete ja programmidega seotud tagasimaksed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110 000 000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106 217 941</w:t>
            </w:r>
          </w:p>
        </w:tc>
        <w:tc>
          <w:tcPr>
            <w:tcW w:w="15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-3 782 059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—</w:t>
            </w:r>
          </w:p>
        </w:tc>
        <w:tc>
          <w:tcPr>
            <w:tcW w:w="48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Jaotis 7: Viivised ja trahvid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115 000 000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1 427 642 570</w:t>
            </w:r>
          </w:p>
        </w:tc>
        <w:tc>
          <w:tcPr>
            <w:tcW w:w="15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1 312 642 570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—</w:t>
            </w:r>
          </w:p>
        </w:tc>
        <w:tc>
          <w:tcPr>
            <w:tcW w:w="48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Jaotis 8. Laenutehingud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6 186 061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39 035 856</w:t>
            </w:r>
          </w:p>
        </w:tc>
        <w:tc>
          <w:tcPr>
            <w:tcW w:w="15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32 849 795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—</w:t>
            </w:r>
          </w:p>
        </w:tc>
        <w:tc>
          <w:tcPr>
            <w:tcW w:w="488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Jaotis 9. Mitmesugused tulud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25 001 000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13 148 609</w:t>
            </w:r>
          </w:p>
        </w:tc>
        <w:tc>
          <w:tcPr>
            <w:tcW w:w="155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-11 852 391</w:t>
            </w:r>
          </w:p>
        </w:tc>
      </w:tr>
    </w:tbl>
    <w:bookmarkEnd w:id="3"/>
    <w:bookmarkEnd w:id="4"/>
    <w:p>
      <w:pPr>
        <w:pStyle w:val="NumPar1"/>
        <w:rPr>
          <w:noProof/>
        </w:rPr>
      </w:pPr>
      <w:r>
        <w:rPr>
          <w:noProof/>
        </w:rPr>
        <w:t>Jaotise 1 (</w:t>
      </w:r>
      <w:r>
        <w:rPr>
          <w:i/>
          <w:noProof/>
        </w:rPr>
        <w:t>Omavahendid</w:t>
      </w:r>
      <w:r>
        <w:rPr>
          <w:noProof/>
        </w:rPr>
        <w:t>) erinevus on prognoosituga võrreldes 0,02 %. Vahe hõlmab peamiselt prognoositust 160 miljoni euro võrra suuremat tulu traditsioonilistest omavahenditest (laekunud on 100,8 % prognoositud summast) ning 200 miljoni euro võrra väiksemat tulu vahetuskursside kõikumisest (omavahendid makstakse riikide vääringus, aga kantakse eelarvesse ja arvestatakse eurodes). Jaotises 3 (</w:t>
      </w:r>
      <w:r>
        <w:rPr>
          <w:i/>
          <w:noProof/>
        </w:rPr>
        <w:t>Ülejäägid, saldod ja korrigeerimine</w:t>
      </w:r>
      <w:r>
        <w:rPr>
          <w:noProof/>
        </w:rPr>
        <w:t>), mis on seotud omavahendite korrigeerimisega, on erinevus üksnes 26 miljonit eurot.</w:t>
      </w:r>
    </w:p>
    <w:p>
      <w:pPr>
        <w:pStyle w:val="NumPar1"/>
        <w:spacing w:before="240" w:after="240"/>
        <w:ind w:left="851" w:hanging="851"/>
        <w:rPr>
          <w:noProof/>
        </w:rPr>
      </w:pPr>
      <w:r>
        <w:rPr>
          <w:noProof/>
        </w:rPr>
        <w:t>Kõige suurem erinevus (1 313 miljonit eurot) on jaotises 7 (</w:t>
      </w:r>
      <w:r>
        <w:rPr>
          <w:i/>
          <w:noProof/>
        </w:rPr>
        <w:t>Viivised ja trahvid</w:t>
      </w:r>
      <w:r>
        <w:rPr>
          <w:noProof/>
        </w:rPr>
        <w:t>).</w:t>
      </w:r>
      <w:r>
        <w:rPr>
          <w:i/>
          <w:noProof/>
        </w:rPr>
        <w:t xml:space="preserve"> </w:t>
      </w:r>
      <w:r>
        <w:rPr>
          <w:noProof/>
        </w:rPr>
        <w:t>Tulemus sisaldab konkurentsitrahve ja viiviseid, muid karistusmakseid ning trahvide ja karistusmaksete intresse.</w:t>
      </w:r>
    </w:p>
    <w:p>
      <w:pPr>
        <w:pStyle w:val="NumPar1"/>
        <w:spacing w:before="240" w:after="0"/>
        <w:ind w:left="851" w:hanging="851"/>
        <w:rPr>
          <w:noProof/>
        </w:rPr>
      </w:pPr>
      <w:r>
        <w:rPr>
          <w:noProof/>
        </w:rPr>
        <w:t>Järgmises tabelis on esitatud 2018. aasta eelarve täitmise tulemuse jaotus kõikide institutsioonide kulude osas:</w:t>
      </w:r>
    </w:p>
    <w:p>
      <w:pPr>
        <w:pStyle w:val="NumPar1"/>
        <w:numPr>
          <w:ilvl w:val="0"/>
          <w:numId w:val="0"/>
        </w:numPr>
        <w:spacing w:after="0"/>
        <w:ind w:left="850" w:hanging="850"/>
        <w:jc w:val="right"/>
        <w:rPr>
          <w:i/>
          <w:noProof/>
          <w:sz w:val="20"/>
          <w:szCs w:val="20"/>
        </w:rPr>
      </w:pPr>
      <w:r>
        <w:rPr>
          <w:i/>
          <w:noProof/>
          <w:sz w:val="20"/>
        </w:rPr>
        <w:t>(eurodes)</w:t>
      </w:r>
    </w:p>
    <w:tbl>
      <w:tblPr>
        <w:tblW w:w="9929" w:type="dxa"/>
        <w:tblInd w:w="93" w:type="dxa"/>
        <w:tblLook w:val="04A0" w:firstRow="1" w:lastRow="0" w:firstColumn="1" w:lastColumn="0" w:noHBand="0" w:noVBand="1"/>
      </w:tblPr>
      <w:tblGrid>
        <w:gridCol w:w="377"/>
        <w:gridCol w:w="4883"/>
        <w:gridCol w:w="1556"/>
        <w:gridCol w:w="1556"/>
        <w:gridCol w:w="1557"/>
      </w:tblGrid>
      <w:tr>
        <w:trPr>
          <w:trHeight w:val="51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>
            <w:pPr>
              <w:jc w:val="center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2018. aasta eelarve täitmise tulemuse jaotus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>
            <w:pPr>
              <w:jc w:val="center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Eelarve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br/>
            </w:r>
            <w:r>
              <w:rPr>
                <w:b/>
                <w:noProof/>
                <w:color w:val="000000"/>
                <w:sz w:val="18"/>
              </w:rPr>
              <w:t>(k.a PE nr 1-6)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>
            <w:pPr>
              <w:jc w:val="center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Eelarve täitmise tulemus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>
            <w:pPr>
              <w:jc w:val="center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Muutus</w:t>
            </w:r>
          </w:p>
        </w:tc>
      </w:tr>
      <w:tr>
        <w:trPr>
          <w:trHeight w:val="27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>
            <w:pPr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Kulude vahesumma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144 767 916 298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144 239 518 102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-528 398 196</w:t>
            </w:r>
          </w:p>
        </w:tc>
      </w:tr>
      <w:tr>
        <w:trPr>
          <w:trHeight w:val="27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Aasta assigneeringute tulemused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144 767 916 298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144 369 781 354</w:t>
            </w:r>
          </w:p>
        </w:tc>
        <w:tc>
          <w:tcPr>
            <w:tcW w:w="15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-398 134 944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—</w:t>
            </w:r>
          </w:p>
        </w:tc>
        <w:tc>
          <w:tcPr>
            <w:tcW w:w="48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Euroopa Komisjon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140 752 776 672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140 430 555 977</w:t>
            </w:r>
          </w:p>
        </w:tc>
        <w:tc>
          <w:tcPr>
            <w:tcW w:w="15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-322 220 695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Alamrubriik 1a. Konkurentsivõime majanduskasvu ja tööhõive tagamiseks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20 154 593 499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20 113 652 917</w:t>
            </w:r>
          </w:p>
        </w:tc>
        <w:tc>
          <w:tcPr>
            <w:tcW w:w="15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-40 940 582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Alamrubriik 1b. Majanduslik, sotsiaalne ja territoriaalne ühtekuuluvus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46 577 928 034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46 559 473 543</w:t>
            </w:r>
          </w:p>
        </w:tc>
        <w:tc>
          <w:tcPr>
            <w:tcW w:w="15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-18 454 491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Rubriik 2. Jätkusuutlik majanduskasv: loodusvarad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56 240 984 244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56 228 111 429</w:t>
            </w:r>
          </w:p>
        </w:tc>
        <w:tc>
          <w:tcPr>
            <w:tcW w:w="15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-12 872 815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Rubriik 3. Julgeolek ja kodakondsus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3 013 090 479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2 988 185 217</w:t>
            </w:r>
          </w:p>
        </w:tc>
        <w:tc>
          <w:tcPr>
            <w:tcW w:w="15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-24 905 262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Rubriik 4. Globaalne Euroopa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8 812 942 021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8 776 262 725</w:t>
            </w:r>
          </w:p>
        </w:tc>
        <w:tc>
          <w:tcPr>
            <w:tcW w:w="15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-36 679 295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Rubriik 5. Haldus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5 651 421 501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5 607 423 914</w:t>
            </w:r>
          </w:p>
        </w:tc>
        <w:tc>
          <w:tcPr>
            <w:tcW w:w="15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-43 997 587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Muud erivahendid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301 816 894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157 446 231</w:t>
            </w:r>
          </w:p>
        </w:tc>
        <w:tc>
          <w:tcPr>
            <w:tcW w:w="15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-144 370 663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—</w:t>
            </w:r>
          </w:p>
        </w:tc>
        <w:tc>
          <w:tcPr>
            <w:tcW w:w="48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Muud institutsioonid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4 015 139 626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3 939 225 376</w:t>
            </w:r>
          </w:p>
        </w:tc>
        <w:tc>
          <w:tcPr>
            <w:tcW w:w="15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-75 914 250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Euroopa Parlament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1 950 687 373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1 934 477 627</w:t>
            </w:r>
          </w:p>
        </w:tc>
        <w:tc>
          <w:tcPr>
            <w:tcW w:w="15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-16 209 746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Nõukogu ja Euroopa Ülemkogu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572 894 377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526 545 514</w:t>
            </w:r>
          </w:p>
        </w:tc>
        <w:tc>
          <w:tcPr>
            <w:tcW w:w="15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-46 348 863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Euroopa Liidu Kohus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410 025 089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406 681 899</w:t>
            </w:r>
          </w:p>
        </w:tc>
        <w:tc>
          <w:tcPr>
            <w:tcW w:w="15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-3 343 190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Euroopa Kontrollikoda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146 015 591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140 484 381</w:t>
            </w:r>
          </w:p>
        </w:tc>
        <w:tc>
          <w:tcPr>
            <w:tcW w:w="15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-5 531 210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Euroopa Majandus- ja Sotsiaalkomitee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135 630 905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133 811 443</w:t>
            </w:r>
          </w:p>
        </w:tc>
        <w:tc>
          <w:tcPr>
            <w:tcW w:w="15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-1 819 462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Regioonide Komitee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96 100 540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95 380 187</w:t>
            </w:r>
          </w:p>
        </w:tc>
        <w:tc>
          <w:tcPr>
            <w:tcW w:w="15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-720 353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Euroopa Ombudsman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10 837 545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10 331 816</w:t>
            </w:r>
          </w:p>
        </w:tc>
        <w:tc>
          <w:tcPr>
            <w:tcW w:w="15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-505 729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Euroopa Andmekaitseinspektor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14 449 068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13 539 302</w:t>
            </w:r>
          </w:p>
        </w:tc>
        <w:tc>
          <w:tcPr>
            <w:tcW w:w="15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-909 766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Euroopa välisteenistus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678 499 138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677 973 207</w:t>
            </w:r>
          </w:p>
        </w:tc>
        <w:tc>
          <w:tcPr>
            <w:tcW w:w="15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-525 931</w:t>
            </w:r>
          </w:p>
        </w:tc>
      </w:tr>
      <w:tr>
        <w:trPr>
          <w:trHeight w:val="270"/>
        </w:trPr>
        <w:tc>
          <w:tcPr>
            <w:tcW w:w="52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Varasematest eelarveaastatest ülekantud assigneeringute tühistamine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-129 699 126</w:t>
            </w:r>
          </w:p>
        </w:tc>
        <w:tc>
          <w:tcPr>
            <w:tcW w:w="15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-129 699 126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—</w:t>
            </w:r>
          </w:p>
        </w:tc>
        <w:tc>
          <w:tcPr>
            <w:tcW w:w="48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Euroopa Komisjon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-68 082 034</w:t>
            </w:r>
          </w:p>
        </w:tc>
        <w:tc>
          <w:tcPr>
            <w:tcW w:w="15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-68 082 034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—</w:t>
            </w:r>
          </w:p>
        </w:tc>
        <w:tc>
          <w:tcPr>
            <w:tcW w:w="48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Muud institutsioonid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-61 617 091</w:t>
            </w:r>
          </w:p>
        </w:tc>
        <w:tc>
          <w:tcPr>
            <w:tcW w:w="15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-61 617 091</w:t>
            </w:r>
          </w:p>
        </w:tc>
      </w:tr>
      <w:tr>
        <w:trPr>
          <w:trHeight w:val="270"/>
        </w:trPr>
        <w:tc>
          <w:tcPr>
            <w:tcW w:w="52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Vahetuskursi muutuste mõju kuludele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-564 126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-564 126</w:t>
            </w:r>
          </w:p>
        </w:tc>
      </w:tr>
    </w:tbl>
    <w:p>
      <w:pPr>
        <w:pStyle w:val="NumPar1"/>
        <w:spacing w:before="240" w:after="240"/>
        <w:ind w:left="851" w:hanging="851"/>
        <w:rPr>
          <w:noProof/>
        </w:rPr>
      </w:pPr>
      <w:r>
        <w:rPr>
          <w:noProof/>
        </w:rPr>
        <w:t>Komisjon täitis heakskiidetud maksete assigneeringute puhul eelarve 99,8 % ulatuses. Kasutamata jäi 322 miljonit eurot, millest 120 miljonit hädaabireservist.</w:t>
      </w:r>
    </w:p>
    <w:p>
      <w:pPr>
        <w:pStyle w:val="NumPar1"/>
        <w:spacing w:before="240" w:after="240"/>
        <w:ind w:left="851" w:hanging="851"/>
        <w:rPr>
          <w:noProof/>
        </w:rPr>
      </w:pPr>
      <w:r>
        <w:rPr>
          <w:noProof/>
        </w:rPr>
        <w:t>Teistel institutsioonidel jäi kasutamata 76 miljonit eurot ehk vähem kui eelmisel kolmel aastal (2017. aastal 83 miljonit eurot, 2016. aastal 103 miljonit eurot ja 2015. aastal 94 miljonit eurot).</w:t>
      </w:r>
    </w:p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39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ET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spacing w:before="0"/>
      <w:ind w:left="-851" w:right="-851"/>
      <w:rPr>
        <w:rFonts w:ascii="Arial" w:hAnsi="Arial" w:cs="Arial"/>
        <w:b/>
        <w:sz w:val="48"/>
      </w:rPr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spacing w:before="0"/>
      <w:ind w:left="-851" w:right="-851"/>
      <w:rPr>
        <w:rFonts w:ascii="Arial" w:hAnsi="Arial" w:cs="Arial"/>
        <w:b/>
        <w:sz w:val="48"/>
      </w:rPr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1">
    <w:p/>
  </w:footnote>
  <w:footnote w:id="2">
    <w:p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sz w:val="18"/>
        </w:rPr>
        <w:t>ELT L 193, 30.7.2018, lk 1.</w:t>
      </w:r>
    </w:p>
  </w:footnote>
  <w:footnote w:id="3">
    <w:p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>ELT L 67, 7.3.2019.</w:t>
      </w:r>
    </w:p>
  </w:footnote>
  <w:footnote w:id="4">
    <w:p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>ELT L 193, 30.7.2018, lk 1.</w:t>
      </w:r>
    </w:p>
  </w:footnote>
  <w:footnote w:id="5">
    <w:p>
      <w:pPr>
        <w:pStyle w:val="FootnoteText"/>
        <w:rPr>
          <w:lang w:val="cs-CZ"/>
        </w:rPr>
      </w:pPr>
      <w:r>
        <w:rPr>
          <w:rStyle w:val="FootnoteReference"/>
        </w:rPr>
        <w:footnoteRef/>
      </w:r>
      <w:r>
        <w:tab/>
        <w:t>Paranduseelarve projekti ettepanek tehakse 28 liikmesriigi kohta ajal, mil Ühendkuningriigi EList väljaastumine on lükatud edasi 31. oktoobrini 2019.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9BA72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7ED41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A856D4"/>
    <w:multiLevelType w:val="hybridMultilevel"/>
    <w:tmpl w:val="B07CF3C4"/>
    <w:lvl w:ilvl="0" w:tplc="3D900F3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54526B"/>
    <w:multiLevelType w:val="hybridMultilevel"/>
    <w:tmpl w:val="18D88870"/>
    <w:lvl w:ilvl="0" w:tplc="8A36BA8C">
      <w:numFmt w:val="bullet"/>
      <w:lvlText w:val="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01886"/>
    <w:multiLevelType w:val="hybridMultilevel"/>
    <w:tmpl w:val="FBA0B950"/>
    <w:lvl w:ilvl="0" w:tplc="D1CAE414"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F20AC0"/>
    <w:multiLevelType w:val="hybridMultilevel"/>
    <w:tmpl w:val="32B0E5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936C33"/>
    <w:multiLevelType w:val="hybridMultilevel"/>
    <w:tmpl w:val="4036C0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795CFC"/>
    <w:multiLevelType w:val="hybridMultilevel"/>
    <w:tmpl w:val="D988CAF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027E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8D5AD3"/>
    <w:multiLevelType w:val="singleLevel"/>
    <w:tmpl w:val="82EE6B70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9">
    <w:nsid w:val="2F78565E"/>
    <w:multiLevelType w:val="hybridMultilevel"/>
    <w:tmpl w:val="3F76E56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1246D7F"/>
    <w:multiLevelType w:val="hybridMultilevel"/>
    <w:tmpl w:val="E1EA8208"/>
    <w:lvl w:ilvl="0" w:tplc="94027E84">
      <w:start w:val="1"/>
      <w:numFmt w:val="bullet"/>
      <w:lvlText w:val="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A52C4F"/>
    <w:multiLevelType w:val="singleLevel"/>
    <w:tmpl w:val="CEFC5A2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">
    <w:nsid w:val="33BE45BD"/>
    <w:multiLevelType w:val="hybridMultilevel"/>
    <w:tmpl w:val="6D2219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027E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EA3932"/>
    <w:multiLevelType w:val="hybridMultilevel"/>
    <w:tmpl w:val="FA52BE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5">
    <w:nsid w:val="3F090162"/>
    <w:multiLevelType w:val="hybridMultilevel"/>
    <w:tmpl w:val="97F2B26A"/>
    <w:lvl w:ilvl="0" w:tplc="61E27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315490"/>
    <w:multiLevelType w:val="singleLevel"/>
    <w:tmpl w:val="1F86C700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17">
    <w:nsid w:val="41AF2082"/>
    <w:multiLevelType w:val="hybridMultilevel"/>
    <w:tmpl w:val="A672F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8628B4"/>
    <w:multiLevelType w:val="hybridMultilevel"/>
    <w:tmpl w:val="7706A2BE"/>
    <w:lvl w:ilvl="0" w:tplc="3D900F3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F8C3B69"/>
    <w:multiLevelType w:val="multilevel"/>
    <w:tmpl w:val="9B14DAA8"/>
    <w:lvl w:ilvl="0">
      <w:start w:val="1"/>
      <w:numFmt w:val="decimal"/>
      <w:lvlRestart w:val="0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D2B5511"/>
    <w:multiLevelType w:val="singleLevel"/>
    <w:tmpl w:val="74A09970"/>
    <w:name w:val="Heading__2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1">
    <w:nsid w:val="7123216D"/>
    <w:multiLevelType w:val="hybridMultilevel"/>
    <w:tmpl w:val="F648ECEA"/>
    <w:lvl w:ilvl="0" w:tplc="AB00A56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7A04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D8E3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803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F204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7893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061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5AA6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C40A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E95D7F"/>
    <w:multiLevelType w:val="multilevel"/>
    <w:tmpl w:val="F126F78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23">
    <w:nsid w:val="7C966381"/>
    <w:multiLevelType w:val="multilevel"/>
    <w:tmpl w:val="DCC88062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6"/>
  </w:num>
  <w:num w:numId="3">
    <w:abstractNumId w:val="2"/>
  </w:num>
  <w:num w:numId="4">
    <w:abstractNumId w:val="16"/>
  </w:num>
  <w:num w:numId="5">
    <w:abstractNumId w:val="21"/>
  </w:num>
  <w:num w:numId="6">
    <w:abstractNumId w:val="16"/>
  </w:num>
  <w:num w:numId="7">
    <w:abstractNumId w:val="20"/>
  </w:num>
  <w:num w:numId="8">
    <w:abstractNumId w:val="14"/>
  </w:num>
  <w:num w:numId="9">
    <w:abstractNumId w:val="7"/>
  </w:num>
  <w:num w:numId="10">
    <w:abstractNumId w:val="12"/>
  </w:num>
  <w:num w:numId="11">
    <w:abstractNumId w:val="13"/>
  </w:num>
  <w:num w:numId="12">
    <w:abstractNumId w:val="5"/>
  </w:num>
  <w:num w:numId="13">
    <w:abstractNumId w:val="6"/>
  </w:num>
  <w:num w:numId="14">
    <w:abstractNumId w:val="8"/>
  </w:num>
  <w:num w:numId="15">
    <w:abstractNumId w:val="10"/>
  </w:num>
  <w:num w:numId="16">
    <w:abstractNumId w:val="18"/>
  </w:num>
  <w:num w:numId="17">
    <w:abstractNumId w:val="16"/>
  </w:num>
  <w:num w:numId="18">
    <w:abstractNumId w:val="19"/>
  </w:num>
  <w:num w:numId="19">
    <w:abstractNumId w:val="4"/>
  </w:num>
  <w:num w:numId="20">
    <w:abstractNumId w:val="9"/>
  </w:num>
  <w:num w:numId="21">
    <w:abstractNumId w:val="16"/>
  </w:num>
  <w:num w:numId="22">
    <w:abstractNumId w:val="16"/>
  </w:num>
  <w:num w:numId="23">
    <w:abstractNumId w:val="0"/>
  </w:num>
  <w:num w:numId="24">
    <w:abstractNumId w:val="17"/>
  </w:num>
  <w:num w:numId="25">
    <w:abstractNumId w:val="15"/>
  </w:num>
  <w:num w:numId="26">
    <w:abstractNumId w:val="3"/>
  </w:num>
  <w:num w:numId="27">
    <w:abstractNumId w:val="22"/>
  </w:num>
  <w:num w:numId="28">
    <w:abstractNumId w:val="19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DocumentType" w:val="ERR"/>
    <w:docVar w:name="FigNum" w:val="1"/>
    <w:docVar w:name="LW_CORRIGENDUM" w:val="&lt;UNUSED&gt;"/>
    <w:docVar w:name="LW_COVERPAGE_EXISTS" w:val="True"/>
    <w:docVar w:name="LW_COVERPAGE_GUID" w:val="3BFDCAC5-B8AF-4A0C-AF32-75B6B0D53274"/>
    <w:docVar w:name="LW_COVERPAGE_TYPE" w:val="1"/>
    <w:docVar w:name="LW_CROSSREFERENCE" w:val="&lt;UNUSED&gt;"/>
    <w:docVar w:name="LW_DocType" w:val="NORMAL"/>
    <w:docVar w:name="LW_EMISSION" w:val="15.4.2019"/>
    <w:docVar w:name="LW_EMISSION_ISODATE" w:val="2019-04-15"/>
    <w:docVar w:name="LW_EMISSION_LOCATION" w:val="BRX"/>
    <w:docVar w:name="LW_EMISSION_PREFIX" w:val="Brüssel,"/>
    <w:docVar w:name="LW_EMISSION_SUFFIX" w:val=" "/>
    <w:docVar w:name="LW_ID_DOCTYPE_NONLW" w:val="CP-035"/>
    <w:docVar w:name="LW_LANGUE" w:val="ET"/>
    <w:docVar w:name="LW_LEVEL_OF_SENSITIVITY" w:val="Standard treatment"/>
    <w:docVar w:name="LW_NOM.INST" w:val="EUROOPA KOMISJON"/>
    <w:docVar w:name="LW_NOM.INST_JOINTDOC" w:val="&lt;EMPTY&gt;"/>
    <w:docVar w:name="LW_PART_NBR" w:val="1"/>
    <w:docVar w:name="LW_PART_NBR_TOTAL" w:val="1"/>
    <w:docVar w:name="LW_REF.II.NEW.CP" w:val="&lt;UNUSED&gt;"/>
    <w:docVar w:name="LW_REF.II.NEW.CP_NUMBER" w:val="&lt;UNUSED&gt;"/>
    <w:docVar w:name="LW_REF.II.NEW.CP_YEAR" w:val="2019"/>
    <w:docVar w:name="LW_REF.INST.NEW" w:val="COM"/>
    <w:docVar w:name="LW_REF.INST.NEW_ADOPTED" w:val="final"/>
    <w:docVar w:name="LW_REF.INST.NEW_TEXT" w:val="(2019) 30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OUS.TITRE.OBJ.CP" w:val="&lt;UNUSED&gt;"/>
    <w:docVar w:name="LW_SUPERTITRE" w:val="&lt;UNUSED&gt;"/>
    <w:docVar w:name="LW_TITRE.OBJ.CP" w:val="2018. EELARVEAASTA ÜLEJÄÄGI KANDMINE EELARVESSE"/>
    <w:docVar w:name="LW_TITRE.OBJ.CP_PREVIOUS" w:val="&lt;UNUSED&gt;"/>
    <w:docVar w:name="LW_TYPE.DOC.CP" w:val="2019. AASTA ÜLDEELARVE_x000b_PARANDUSEELARVE PROJEKT Nr 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et-EE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pPr>
      <w:keepNext/>
      <w:spacing w:before="24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pPr>
      <w:keepNext/>
      <w:spacing w:before="240" w:after="120"/>
      <w:ind w:left="720" w:hanging="72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</w:numPr>
      <w:tabs>
        <w:tab w:val="num" w:pos="850"/>
      </w:tabs>
      <w:spacing w:before="120" w:after="120"/>
      <w:ind w:left="850" w:hanging="850"/>
      <w:jc w:val="both"/>
      <w:outlineLvl w:val="2"/>
    </w:pPr>
    <w:rPr>
      <w:rFonts w:ascii="Arial" w:hAnsi="Arial" w:cs="Arial"/>
      <w:b/>
      <w:bCs/>
      <w:i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</w:numPr>
      <w:tabs>
        <w:tab w:val="num" w:pos="1030"/>
      </w:tabs>
      <w:spacing w:before="120" w:after="120"/>
      <w:ind w:left="1030" w:hanging="850"/>
      <w:jc w:val="both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rFonts w:eastAsiaTheme="minorHAnsi"/>
      <w:szCs w:val="22"/>
    </w:rPr>
  </w:style>
  <w:style w:type="paragraph" w:styleId="FootnoteText">
    <w:name w:val="footnote text"/>
    <w:basedOn w:val="Normal"/>
    <w:link w:val="FootnoteTextChar"/>
    <w:pPr>
      <w:ind w:left="720" w:hanging="720"/>
      <w:jc w:val="both"/>
    </w:pPr>
    <w:rPr>
      <w:sz w:val="20"/>
      <w:szCs w:val="20"/>
    </w:rPr>
  </w:style>
  <w:style w:type="paragraph" w:styleId="TOC1">
    <w:name w:val="toc 1"/>
    <w:basedOn w:val="Normal"/>
    <w:next w:val="Normal"/>
    <w:uiPriority w:val="39"/>
    <w:pPr>
      <w:spacing w:before="120" w:after="120"/>
    </w:pPr>
    <w:rPr>
      <w:b/>
      <w:bCs/>
      <w:caps/>
      <w:sz w:val="20"/>
      <w:szCs w:val="20"/>
    </w:rPr>
  </w:style>
  <w:style w:type="character" w:styleId="FootnoteReference">
    <w:name w:val="footnote reference"/>
    <w:aliases w:val="stylish,Footnote Reference Superscript,BVI fnr,Footnote symbol,Footnote symboFußnotenzeichen,Footnote sign,Footnote Reference Number,E FNZ,-E Fußnotenzeichen,Footnote#,Footnote,Times 10 Point,Exposant 3 Point,Ref,de nota al pie,SUPER"/>
    <w:rPr>
      <w:vertAlign w:val="superscript"/>
    </w:rPr>
  </w:style>
  <w:style w:type="paragraph" w:customStyle="1" w:styleId="Text1">
    <w:name w:val="Text 1"/>
    <w:basedOn w:val="Normal"/>
    <w:pPr>
      <w:spacing w:before="120" w:after="120"/>
      <w:ind w:left="850"/>
      <w:jc w:val="both"/>
    </w:pPr>
  </w:style>
  <w:style w:type="paragraph" w:customStyle="1" w:styleId="Tiret0">
    <w:name w:val="Tiret 0"/>
    <w:basedOn w:val="Normal"/>
    <w:pPr>
      <w:numPr>
        <w:numId w:val="1"/>
      </w:numPr>
      <w:spacing w:before="120" w:after="120"/>
      <w:jc w:val="both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Normal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b/>
    </w:rPr>
  </w:style>
  <w:style w:type="paragraph" w:customStyle="1" w:styleId="ListDash">
    <w:name w:val="List Dash"/>
    <w:basedOn w:val="Normal"/>
    <w:link w:val="ListDashChar"/>
    <w:pPr>
      <w:numPr>
        <w:numId w:val="2"/>
      </w:numPr>
      <w:spacing w:before="120" w:after="120"/>
      <w:jc w:val="both"/>
    </w:pPr>
  </w:style>
  <w:style w:type="paragraph" w:styleId="TOCHeading">
    <w:name w:val="TOC Heading"/>
    <w:basedOn w:val="Normal"/>
    <w:next w:val="Normal"/>
    <w:qFormat/>
    <w:pPr>
      <w:spacing w:before="120" w:after="240"/>
      <w:jc w:val="center"/>
    </w:pPr>
    <w:rPr>
      <w:b/>
      <w:sz w:val="28"/>
    </w:rPr>
  </w:style>
  <w:style w:type="paragraph" w:customStyle="1" w:styleId="Prliminairetitre">
    <w:name w:val="Préliminaire titre"/>
    <w:basedOn w:val="Normal"/>
    <w:next w:val="Normal"/>
    <w:pPr>
      <w:spacing w:before="360" w:after="360"/>
      <w:jc w:val="center"/>
    </w:pPr>
    <w:rPr>
      <w:b/>
    </w:rPr>
  </w:style>
  <w:style w:type="paragraph" w:customStyle="1" w:styleId="Prliminairetype">
    <w:name w:val="Préliminaire type"/>
    <w:basedOn w:val="Normal"/>
    <w:next w:val="Normal"/>
    <w:pPr>
      <w:spacing w:before="360"/>
      <w:jc w:val="center"/>
    </w:pPr>
    <w:rPr>
      <w:b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Marker">
    <w:name w:val="Marker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before="120" w:after="120"/>
      <w:jc w:val="both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/>
      <w:jc w:val="both"/>
    </w:pPr>
    <w:rPr>
      <w:rFonts w:eastAsiaTheme="minorHAnsi"/>
      <w:szCs w:val="22"/>
    </w:rPr>
  </w:style>
  <w:style w:type="paragraph" w:customStyle="1" w:styleId="FooterCoverPage">
    <w:name w:val="Footer Cover Page"/>
    <w:basedOn w:val="Normal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paragraph" w:customStyle="1" w:styleId="HeaderCoverPage">
    <w:name w:val="Header Cover Page"/>
    <w:basedOn w:val="Normal"/>
    <w:pPr>
      <w:tabs>
        <w:tab w:val="center" w:pos="4535"/>
        <w:tab w:val="right" w:pos="9071"/>
      </w:tabs>
      <w:spacing w:after="120"/>
      <w:jc w:val="both"/>
    </w:pPr>
  </w:style>
  <w:style w:type="paragraph" w:styleId="TOC2">
    <w:name w:val="toc 2"/>
    <w:basedOn w:val="Normal"/>
    <w:next w:val="Normal"/>
    <w:autoRedefine/>
    <w:uiPriority w:val="39"/>
    <w:pPr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styleId="ListBullet">
    <w:name w:val="List Bullet"/>
    <w:basedOn w:val="Normal"/>
    <w:pPr>
      <w:numPr>
        <w:numId w:val="7"/>
      </w:numPr>
      <w:spacing w:before="120" w:after="120"/>
      <w:jc w:val="both"/>
    </w:pPr>
  </w:style>
  <w:style w:type="paragraph" w:customStyle="1" w:styleId="ListDash2">
    <w:name w:val="List Dash 2"/>
    <w:basedOn w:val="Normal"/>
    <w:pPr>
      <w:tabs>
        <w:tab w:val="num" w:pos="1134"/>
      </w:tabs>
      <w:spacing w:before="120" w:after="120"/>
      <w:ind w:left="1134" w:hanging="283"/>
      <w:jc w:val="both"/>
    </w:pPr>
  </w:style>
  <w:style w:type="paragraph" w:customStyle="1" w:styleId="ListBullet1">
    <w:name w:val="List Bullet 1"/>
    <w:basedOn w:val="Text1"/>
    <w:pPr>
      <w:numPr>
        <w:numId w:val="8"/>
      </w:numPr>
      <w:spacing w:before="0" w:after="240"/>
    </w:pPr>
    <w:rPr>
      <w:szCs w:val="20"/>
    </w:rPr>
  </w:style>
  <w:style w:type="paragraph" w:styleId="ListBullet2">
    <w:name w:val="List Bullet 2"/>
    <w:basedOn w:val="Normal"/>
    <w:pPr>
      <w:numPr>
        <w:numId w:val="14"/>
      </w:numPr>
      <w:spacing w:after="240"/>
      <w:jc w:val="both"/>
    </w:pPr>
    <w:rPr>
      <w:szCs w:val="2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Pr>
      <w:color w:val="800080"/>
      <w:u w:val="single"/>
    </w:rPr>
  </w:style>
  <w:style w:type="paragraph" w:customStyle="1" w:styleId="Typedudocument">
    <w:name w:val="Type du document"/>
    <w:basedOn w:val="Normal"/>
    <w:next w:val="Titreobjet"/>
    <w:pPr>
      <w:spacing w:before="360"/>
      <w:jc w:val="center"/>
    </w:pPr>
    <w:rPr>
      <w:b/>
    </w:rPr>
  </w:style>
  <w:style w:type="paragraph" w:customStyle="1" w:styleId="Titreobjet">
    <w:name w:val="Titre objet"/>
    <w:basedOn w:val="Normal"/>
    <w:next w:val="Normal"/>
    <w:pPr>
      <w:spacing w:before="360" w:after="360"/>
      <w:jc w:val="center"/>
    </w:pPr>
    <w:rPr>
      <w:b/>
    </w:rPr>
  </w:style>
  <w:style w:type="character" w:styleId="Emphasis">
    <w:name w:val="Emphasis"/>
    <w:qFormat/>
    <w:rPr>
      <w:i/>
      <w:iCs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Text2">
    <w:name w:val="Text 2"/>
    <w:basedOn w:val="Normal"/>
    <w:pPr>
      <w:spacing w:before="120" w:after="120"/>
      <w:ind w:left="850"/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Number">
    <w:name w:val="List Number"/>
    <w:basedOn w:val="Normal"/>
    <w:pPr>
      <w:numPr>
        <w:numId w:val="28"/>
      </w:numPr>
      <w:spacing w:before="120" w:after="120"/>
      <w:jc w:val="both"/>
    </w:pPr>
  </w:style>
  <w:style w:type="paragraph" w:customStyle="1" w:styleId="ListNumberLevel2">
    <w:name w:val="List Number (Level 2)"/>
    <w:basedOn w:val="Normal"/>
    <w:pPr>
      <w:numPr>
        <w:ilvl w:val="1"/>
        <w:numId w:val="28"/>
      </w:numPr>
      <w:spacing w:before="120" w:after="120"/>
      <w:jc w:val="both"/>
    </w:pPr>
  </w:style>
  <w:style w:type="paragraph" w:customStyle="1" w:styleId="ListNumberLevel3">
    <w:name w:val="List Number (Level 3)"/>
    <w:basedOn w:val="Normal"/>
    <w:pPr>
      <w:numPr>
        <w:ilvl w:val="2"/>
        <w:numId w:val="28"/>
      </w:numPr>
      <w:spacing w:before="120" w:after="120"/>
      <w:jc w:val="both"/>
    </w:pPr>
  </w:style>
  <w:style w:type="paragraph" w:customStyle="1" w:styleId="ListNumberLevel4">
    <w:name w:val="List Number (Level 4)"/>
    <w:basedOn w:val="Normal"/>
    <w:pPr>
      <w:numPr>
        <w:ilvl w:val="3"/>
        <w:numId w:val="28"/>
      </w:numPr>
      <w:spacing w:before="120" w:after="120"/>
      <w:jc w:val="both"/>
    </w:pPr>
  </w:style>
  <w:style w:type="character" w:customStyle="1" w:styleId="ListDashChar">
    <w:name w:val="List Dash Char"/>
    <w:link w:val="ListDash"/>
    <w:rPr>
      <w:sz w:val="24"/>
      <w:szCs w:val="24"/>
      <w:lang w:eastAsia="et-EE"/>
    </w:rPr>
  </w:style>
  <w:style w:type="paragraph" w:customStyle="1" w:styleId="StyleManualHeading2Italic">
    <w:name w:val="Style Manual Heading 2 + Italic"/>
    <w:basedOn w:val="ManualHeading2"/>
    <w:autoRedefine/>
    <w:pPr>
      <w:spacing w:before="160" w:after="160"/>
      <w:ind w:left="851" w:hanging="851"/>
    </w:pPr>
    <w:rPr>
      <w:bCs/>
      <w:i/>
      <w:iCs/>
    </w:rPr>
  </w:style>
  <w:style w:type="character" w:customStyle="1" w:styleId="FootnoteTextChar">
    <w:name w:val="Footnote Text Char"/>
    <w:link w:val="FootnoteText"/>
    <w:rPr>
      <w:lang w:eastAsia="et-EE"/>
    </w:rPr>
  </w:style>
  <w:style w:type="paragraph" w:customStyle="1" w:styleId="NormalCentered">
    <w:name w:val="Normal Centered"/>
    <w:basedOn w:val="Normal"/>
    <w:pPr>
      <w:spacing w:before="120" w:after="120"/>
      <w:jc w:val="center"/>
    </w:pPr>
  </w:style>
  <w:style w:type="paragraph" w:customStyle="1" w:styleId="NormalRight">
    <w:name w:val="Normal Right"/>
    <w:basedOn w:val="Normal"/>
    <w:pPr>
      <w:spacing w:before="120" w:after="120"/>
      <w:jc w:val="right"/>
    </w:pPr>
  </w:style>
  <w:style w:type="paragraph" w:customStyle="1" w:styleId="NormalLeft">
    <w:name w:val="Normal Left"/>
    <w:basedOn w:val="Normal"/>
    <w:pPr>
      <w:spacing w:before="120" w:after="120"/>
    </w:pPr>
  </w:style>
  <w:style w:type="paragraph" w:customStyle="1" w:styleId="Point0number">
    <w:name w:val="Point 0 (number)"/>
    <w:basedOn w:val="Normal"/>
    <w:uiPriority w:val="99"/>
    <w:pPr>
      <w:numPr>
        <w:numId w:val="27"/>
      </w:numPr>
      <w:spacing w:before="120" w:after="120"/>
      <w:jc w:val="both"/>
    </w:pPr>
  </w:style>
  <w:style w:type="paragraph" w:customStyle="1" w:styleId="Point1number">
    <w:name w:val="Point 1 (number)"/>
    <w:basedOn w:val="Normal"/>
    <w:uiPriority w:val="99"/>
    <w:pPr>
      <w:numPr>
        <w:ilvl w:val="2"/>
        <w:numId w:val="27"/>
      </w:numPr>
      <w:spacing w:before="120" w:after="120"/>
      <w:jc w:val="both"/>
    </w:pPr>
  </w:style>
  <w:style w:type="paragraph" w:customStyle="1" w:styleId="Point2number">
    <w:name w:val="Point 2 (number)"/>
    <w:basedOn w:val="Normal"/>
    <w:uiPriority w:val="99"/>
    <w:pPr>
      <w:numPr>
        <w:ilvl w:val="4"/>
        <w:numId w:val="27"/>
      </w:numPr>
      <w:spacing w:before="120" w:after="120"/>
      <w:jc w:val="both"/>
    </w:pPr>
  </w:style>
  <w:style w:type="paragraph" w:customStyle="1" w:styleId="Point3number">
    <w:name w:val="Point 3 (number)"/>
    <w:basedOn w:val="Normal"/>
    <w:uiPriority w:val="99"/>
    <w:pPr>
      <w:numPr>
        <w:ilvl w:val="6"/>
        <w:numId w:val="27"/>
      </w:numPr>
      <w:spacing w:before="120" w:after="120"/>
      <w:jc w:val="both"/>
    </w:pPr>
  </w:style>
  <w:style w:type="paragraph" w:customStyle="1" w:styleId="Point0letter">
    <w:name w:val="Point 0 (letter)"/>
    <w:basedOn w:val="Normal"/>
    <w:uiPriority w:val="99"/>
    <w:pPr>
      <w:numPr>
        <w:ilvl w:val="1"/>
        <w:numId w:val="27"/>
      </w:numPr>
      <w:spacing w:before="120" w:after="120"/>
      <w:jc w:val="both"/>
    </w:pPr>
  </w:style>
  <w:style w:type="paragraph" w:customStyle="1" w:styleId="Point1letter">
    <w:name w:val="Point 1 (letter)"/>
    <w:basedOn w:val="Normal"/>
    <w:uiPriority w:val="99"/>
    <w:pPr>
      <w:numPr>
        <w:ilvl w:val="3"/>
        <w:numId w:val="27"/>
      </w:numPr>
      <w:spacing w:before="120" w:after="120"/>
      <w:jc w:val="both"/>
    </w:pPr>
  </w:style>
  <w:style w:type="paragraph" w:customStyle="1" w:styleId="Point2letter">
    <w:name w:val="Point 2 (letter)"/>
    <w:basedOn w:val="Normal"/>
    <w:uiPriority w:val="99"/>
    <w:pPr>
      <w:numPr>
        <w:ilvl w:val="5"/>
        <w:numId w:val="27"/>
      </w:numPr>
      <w:spacing w:before="120" w:after="120"/>
      <w:jc w:val="both"/>
    </w:pPr>
  </w:style>
  <w:style w:type="paragraph" w:customStyle="1" w:styleId="Point3letter">
    <w:name w:val="Point 3 (letter)"/>
    <w:basedOn w:val="Normal"/>
    <w:uiPriority w:val="99"/>
    <w:pPr>
      <w:numPr>
        <w:ilvl w:val="7"/>
        <w:numId w:val="27"/>
      </w:numPr>
      <w:spacing w:before="120" w:after="120"/>
      <w:jc w:val="both"/>
    </w:pPr>
  </w:style>
  <w:style w:type="paragraph" w:customStyle="1" w:styleId="Point4letter">
    <w:name w:val="Point 4 (letter)"/>
    <w:basedOn w:val="Normal"/>
    <w:uiPriority w:val="99"/>
    <w:pPr>
      <w:numPr>
        <w:ilvl w:val="8"/>
        <w:numId w:val="27"/>
      </w:numPr>
      <w:spacing w:before="120" w:after="120"/>
      <w:jc w:val="both"/>
    </w:pPr>
  </w:style>
  <w:style w:type="paragraph" w:customStyle="1" w:styleId="NumPar1">
    <w:name w:val="NumPar 1"/>
    <w:basedOn w:val="Normal"/>
    <w:next w:val="Text1"/>
    <w:pPr>
      <w:numPr>
        <w:numId w:val="36"/>
      </w:numPr>
      <w:spacing w:before="120" w:after="120"/>
      <w:jc w:val="both"/>
    </w:pPr>
  </w:style>
  <w:style w:type="paragraph" w:customStyle="1" w:styleId="NumPar2">
    <w:name w:val="NumPar 2"/>
    <w:basedOn w:val="Normal"/>
    <w:next w:val="Normal"/>
    <w:pPr>
      <w:numPr>
        <w:ilvl w:val="1"/>
        <w:numId w:val="36"/>
      </w:numPr>
      <w:spacing w:before="120" w:after="120"/>
      <w:jc w:val="both"/>
    </w:pPr>
  </w:style>
  <w:style w:type="paragraph" w:customStyle="1" w:styleId="NumPar3">
    <w:name w:val="NumPar 3"/>
    <w:basedOn w:val="Normal"/>
    <w:next w:val="Normal"/>
    <w:pPr>
      <w:numPr>
        <w:ilvl w:val="2"/>
        <w:numId w:val="36"/>
      </w:numPr>
      <w:spacing w:before="120" w:after="120"/>
      <w:jc w:val="both"/>
    </w:pPr>
  </w:style>
  <w:style w:type="paragraph" w:customStyle="1" w:styleId="NumPar4">
    <w:name w:val="NumPar 4"/>
    <w:basedOn w:val="Normal"/>
    <w:next w:val="Normal"/>
    <w:pPr>
      <w:numPr>
        <w:ilvl w:val="3"/>
        <w:numId w:val="36"/>
      </w:numPr>
      <w:spacing w:before="120" w:after="120"/>
      <w:jc w:val="both"/>
    </w:pPr>
  </w:style>
  <w:style w:type="paragraph" w:customStyle="1" w:styleId="Exposdesmotifstitre">
    <w:name w:val="Exposé des motifs titre"/>
    <w:basedOn w:val="Normal"/>
    <w:next w:val="Normal"/>
    <w:pPr>
      <w:spacing w:before="120" w:after="120"/>
      <w:jc w:val="center"/>
    </w:pPr>
    <w:rPr>
      <w:b/>
      <w:u w:val="single"/>
    </w:rPr>
  </w:style>
  <w:style w:type="character" w:styleId="CommentReference">
    <w:name w:val="annotation reference"/>
    <w:rPr>
      <w:sz w:val="16"/>
      <w:szCs w:val="16"/>
    </w:rPr>
  </w:style>
  <w:style w:type="paragraph" w:customStyle="1" w:styleId="Statut">
    <w:name w:val="Statut"/>
    <w:basedOn w:val="Normal"/>
    <w:next w:val="Typedudocument"/>
    <w:pPr>
      <w:spacing w:before="360"/>
      <w:jc w:val="center"/>
    </w:pPr>
    <w:rPr>
      <w:rFonts w:eastAsia="Calibri"/>
      <w:szCs w:val="22"/>
    </w:rPr>
  </w:style>
  <w:style w:type="paragraph" w:customStyle="1" w:styleId="Declassification">
    <w:name w:val="Declassification"/>
    <w:basedOn w:val="Normal"/>
    <w:next w:val="Normal"/>
    <w:pPr>
      <w:jc w:val="both"/>
    </w:pPr>
    <w:rPr>
      <w:rFonts w:eastAsiaTheme="minorHAnsi"/>
      <w:szCs w:val="22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HAnsi"/>
      <w:sz w:val="24"/>
      <w:szCs w:val="22"/>
      <w:lang w:eastAsia="et-EE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/>
      <w:jc w:val="both"/>
    </w:pPr>
    <w:rPr>
      <w:rFonts w:eastAsiaTheme="minorHAnsi"/>
      <w:szCs w:val="22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HAnsi"/>
      <w:sz w:val="24"/>
      <w:szCs w:val="22"/>
      <w:lang w:eastAsia="et-EE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eastAsiaTheme="minorHAnsi"/>
      <w:szCs w:val="2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et-EE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pPr>
      <w:keepNext/>
      <w:spacing w:before="24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pPr>
      <w:keepNext/>
      <w:spacing w:before="240" w:after="120"/>
      <w:ind w:left="720" w:hanging="72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</w:numPr>
      <w:tabs>
        <w:tab w:val="num" w:pos="850"/>
      </w:tabs>
      <w:spacing w:before="120" w:after="120"/>
      <w:ind w:left="850" w:hanging="850"/>
      <w:jc w:val="both"/>
      <w:outlineLvl w:val="2"/>
    </w:pPr>
    <w:rPr>
      <w:rFonts w:ascii="Arial" w:hAnsi="Arial" w:cs="Arial"/>
      <w:b/>
      <w:bCs/>
      <w:i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</w:numPr>
      <w:tabs>
        <w:tab w:val="num" w:pos="1030"/>
      </w:tabs>
      <w:spacing w:before="120" w:after="120"/>
      <w:ind w:left="1030" w:hanging="850"/>
      <w:jc w:val="both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rFonts w:eastAsiaTheme="minorHAnsi"/>
      <w:szCs w:val="22"/>
    </w:rPr>
  </w:style>
  <w:style w:type="paragraph" w:styleId="FootnoteText">
    <w:name w:val="footnote text"/>
    <w:basedOn w:val="Normal"/>
    <w:link w:val="FootnoteTextChar"/>
    <w:pPr>
      <w:ind w:left="720" w:hanging="720"/>
      <w:jc w:val="both"/>
    </w:pPr>
    <w:rPr>
      <w:sz w:val="20"/>
      <w:szCs w:val="20"/>
    </w:rPr>
  </w:style>
  <w:style w:type="paragraph" w:styleId="TOC1">
    <w:name w:val="toc 1"/>
    <w:basedOn w:val="Normal"/>
    <w:next w:val="Normal"/>
    <w:uiPriority w:val="39"/>
    <w:pPr>
      <w:spacing w:before="120" w:after="120"/>
    </w:pPr>
    <w:rPr>
      <w:b/>
      <w:bCs/>
      <w:caps/>
      <w:sz w:val="20"/>
      <w:szCs w:val="20"/>
    </w:rPr>
  </w:style>
  <w:style w:type="character" w:styleId="FootnoteReference">
    <w:name w:val="footnote reference"/>
    <w:aliases w:val="stylish,Footnote Reference Superscript,BVI fnr,Footnote symbol,Footnote symboFußnotenzeichen,Footnote sign,Footnote Reference Number,E FNZ,-E Fußnotenzeichen,Footnote#,Footnote,Times 10 Point,Exposant 3 Point,Ref,de nota al pie,SUPER"/>
    <w:rPr>
      <w:vertAlign w:val="superscript"/>
    </w:rPr>
  </w:style>
  <w:style w:type="paragraph" w:customStyle="1" w:styleId="Text1">
    <w:name w:val="Text 1"/>
    <w:basedOn w:val="Normal"/>
    <w:pPr>
      <w:spacing w:before="120" w:after="120"/>
      <w:ind w:left="850"/>
      <w:jc w:val="both"/>
    </w:pPr>
  </w:style>
  <w:style w:type="paragraph" w:customStyle="1" w:styleId="Tiret0">
    <w:name w:val="Tiret 0"/>
    <w:basedOn w:val="Normal"/>
    <w:pPr>
      <w:numPr>
        <w:numId w:val="1"/>
      </w:numPr>
      <w:spacing w:before="120" w:after="120"/>
      <w:jc w:val="both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Normal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b/>
    </w:rPr>
  </w:style>
  <w:style w:type="paragraph" w:customStyle="1" w:styleId="ListDash">
    <w:name w:val="List Dash"/>
    <w:basedOn w:val="Normal"/>
    <w:link w:val="ListDashChar"/>
    <w:pPr>
      <w:numPr>
        <w:numId w:val="2"/>
      </w:numPr>
      <w:spacing w:before="120" w:after="120"/>
      <w:jc w:val="both"/>
    </w:pPr>
  </w:style>
  <w:style w:type="paragraph" w:styleId="TOCHeading">
    <w:name w:val="TOC Heading"/>
    <w:basedOn w:val="Normal"/>
    <w:next w:val="Normal"/>
    <w:qFormat/>
    <w:pPr>
      <w:spacing w:before="120" w:after="240"/>
      <w:jc w:val="center"/>
    </w:pPr>
    <w:rPr>
      <w:b/>
      <w:sz w:val="28"/>
    </w:rPr>
  </w:style>
  <w:style w:type="paragraph" w:customStyle="1" w:styleId="Prliminairetitre">
    <w:name w:val="Préliminaire titre"/>
    <w:basedOn w:val="Normal"/>
    <w:next w:val="Normal"/>
    <w:pPr>
      <w:spacing w:before="360" w:after="360"/>
      <w:jc w:val="center"/>
    </w:pPr>
    <w:rPr>
      <w:b/>
    </w:rPr>
  </w:style>
  <w:style w:type="paragraph" w:customStyle="1" w:styleId="Prliminairetype">
    <w:name w:val="Préliminaire type"/>
    <w:basedOn w:val="Normal"/>
    <w:next w:val="Normal"/>
    <w:pPr>
      <w:spacing w:before="360"/>
      <w:jc w:val="center"/>
    </w:pPr>
    <w:rPr>
      <w:b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Marker">
    <w:name w:val="Marker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before="120" w:after="120"/>
      <w:jc w:val="both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/>
      <w:jc w:val="both"/>
    </w:pPr>
    <w:rPr>
      <w:rFonts w:eastAsiaTheme="minorHAnsi"/>
      <w:szCs w:val="22"/>
    </w:rPr>
  </w:style>
  <w:style w:type="paragraph" w:customStyle="1" w:styleId="FooterCoverPage">
    <w:name w:val="Footer Cover Page"/>
    <w:basedOn w:val="Normal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paragraph" w:customStyle="1" w:styleId="HeaderCoverPage">
    <w:name w:val="Header Cover Page"/>
    <w:basedOn w:val="Normal"/>
    <w:pPr>
      <w:tabs>
        <w:tab w:val="center" w:pos="4535"/>
        <w:tab w:val="right" w:pos="9071"/>
      </w:tabs>
      <w:spacing w:after="120"/>
      <w:jc w:val="both"/>
    </w:pPr>
  </w:style>
  <w:style w:type="paragraph" w:styleId="TOC2">
    <w:name w:val="toc 2"/>
    <w:basedOn w:val="Normal"/>
    <w:next w:val="Normal"/>
    <w:autoRedefine/>
    <w:uiPriority w:val="39"/>
    <w:pPr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styleId="ListBullet">
    <w:name w:val="List Bullet"/>
    <w:basedOn w:val="Normal"/>
    <w:pPr>
      <w:numPr>
        <w:numId w:val="7"/>
      </w:numPr>
      <w:spacing w:before="120" w:after="120"/>
      <w:jc w:val="both"/>
    </w:pPr>
  </w:style>
  <w:style w:type="paragraph" w:customStyle="1" w:styleId="ListDash2">
    <w:name w:val="List Dash 2"/>
    <w:basedOn w:val="Normal"/>
    <w:pPr>
      <w:tabs>
        <w:tab w:val="num" w:pos="1134"/>
      </w:tabs>
      <w:spacing w:before="120" w:after="120"/>
      <w:ind w:left="1134" w:hanging="283"/>
      <w:jc w:val="both"/>
    </w:pPr>
  </w:style>
  <w:style w:type="paragraph" w:customStyle="1" w:styleId="ListBullet1">
    <w:name w:val="List Bullet 1"/>
    <w:basedOn w:val="Text1"/>
    <w:pPr>
      <w:numPr>
        <w:numId w:val="8"/>
      </w:numPr>
      <w:spacing w:before="0" w:after="240"/>
    </w:pPr>
    <w:rPr>
      <w:szCs w:val="20"/>
    </w:rPr>
  </w:style>
  <w:style w:type="paragraph" w:styleId="ListBullet2">
    <w:name w:val="List Bullet 2"/>
    <w:basedOn w:val="Normal"/>
    <w:pPr>
      <w:numPr>
        <w:numId w:val="14"/>
      </w:numPr>
      <w:spacing w:after="240"/>
      <w:jc w:val="both"/>
    </w:pPr>
    <w:rPr>
      <w:szCs w:val="2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Pr>
      <w:color w:val="800080"/>
      <w:u w:val="single"/>
    </w:rPr>
  </w:style>
  <w:style w:type="paragraph" w:customStyle="1" w:styleId="Typedudocument">
    <w:name w:val="Type du document"/>
    <w:basedOn w:val="Normal"/>
    <w:next w:val="Titreobjet"/>
    <w:pPr>
      <w:spacing w:before="360"/>
      <w:jc w:val="center"/>
    </w:pPr>
    <w:rPr>
      <w:b/>
    </w:rPr>
  </w:style>
  <w:style w:type="paragraph" w:customStyle="1" w:styleId="Titreobjet">
    <w:name w:val="Titre objet"/>
    <w:basedOn w:val="Normal"/>
    <w:next w:val="Normal"/>
    <w:pPr>
      <w:spacing w:before="360" w:after="360"/>
      <w:jc w:val="center"/>
    </w:pPr>
    <w:rPr>
      <w:b/>
    </w:rPr>
  </w:style>
  <w:style w:type="character" w:styleId="Emphasis">
    <w:name w:val="Emphasis"/>
    <w:qFormat/>
    <w:rPr>
      <w:i/>
      <w:iCs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Text2">
    <w:name w:val="Text 2"/>
    <w:basedOn w:val="Normal"/>
    <w:pPr>
      <w:spacing w:before="120" w:after="120"/>
      <w:ind w:left="850"/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Number">
    <w:name w:val="List Number"/>
    <w:basedOn w:val="Normal"/>
    <w:pPr>
      <w:numPr>
        <w:numId w:val="28"/>
      </w:numPr>
      <w:spacing w:before="120" w:after="120"/>
      <w:jc w:val="both"/>
    </w:pPr>
  </w:style>
  <w:style w:type="paragraph" w:customStyle="1" w:styleId="ListNumberLevel2">
    <w:name w:val="List Number (Level 2)"/>
    <w:basedOn w:val="Normal"/>
    <w:pPr>
      <w:numPr>
        <w:ilvl w:val="1"/>
        <w:numId w:val="28"/>
      </w:numPr>
      <w:spacing w:before="120" w:after="120"/>
      <w:jc w:val="both"/>
    </w:pPr>
  </w:style>
  <w:style w:type="paragraph" w:customStyle="1" w:styleId="ListNumberLevel3">
    <w:name w:val="List Number (Level 3)"/>
    <w:basedOn w:val="Normal"/>
    <w:pPr>
      <w:numPr>
        <w:ilvl w:val="2"/>
        <w:numId w:val="28"/>
      </w:numPr>
      <w:spacing w:before="120" w:after="120"/>
      <w:jc w:val="both"/>
    </w:pPr>
  </w:style>
  <w:style w:type="paragraph" w:customStyle="1" w:styleId="ListNumberLevel4">
    <w:name w:val="List Number (Level 4)"/>
    <w:basedOn w:val="Normal"/>
    <w:pPr>
      <w:numPr>
        <w:ilvl w:val="3"/>
        <w:numId w:val="28"/>
      </w:numPr>
      <w:spacing w:before="120" w:after="120"/>
      <w:jc w:val="both"/>
    </w:pPr>
  </w:style>
  <w:style w:type="character" w:customStyle="1" w:styleId="ListDashChar">
    <w:name w:val="List Dash Char"/>
    <w:link w:val="ListDash"/>
    <w:rPr>
      <w:sz w:val="24"/>
      <w:szCs w:val="24"/>
      <w:lang w:eastAsia="et-EE"/>
    </w:rPr>
  </w:style>
  <w:style w:type="paragraph" w:customStyle="1" w:styleId="StyleManualHeading2Italic">
    <w:name w:val="Style Manual Heading 2 + Italic"/>
    <w:basedOn w:val="ManualHeading2"/>
    <w:autoRedefine/>
    <w:pPr>
      <w:spacing w:before="160" w:after="160"/>
      <w:ind w:left="851" w:hanging="851"/>
    </w:pPr>
    <w:rPr>
      <w:bCs/>
      <w:i/>
      <w:iCs/>
    </w:rPr>
  </w:style>
  <w:style w:type="character" w:customStyle="1" w:styleId="FootnoteTextChar">
    <w:name w:val="Footnote Text Char"/>
    <w:link w:val="FootnoteText"/>
    <w:rPr>
      <w:lang w:eastAsia="et-EE"/>
    </w:rPr>
  </w:style>
  <w:style w:type="paragraph" w:customStyle="1" w:styleId="NormalCentered">
    <w:name w:val="Normal Centered"/>
    <w:basedOn w:val="Normal"/>
    <w:pPr>
      <w:spacing w:before="120" w:after="120"/>
      <w:jc w:val="center"/>
    </w:pPr>
  </w:style>
  <w:style w:type="paragraph" w:customStyle="1" w:styleId="NormalRight">
    <w:name w:val="Normal Right"/>
    <w:basedOn w:val="Normal"/>
    <w:pPr>
      <w:spacing w:before="120" w:after="120"/>
      <w:jc w:val="right"/>
    </w:pPr>
  </w:style>
  <w:style w:type="paragraph" w:customStyle="1" w:styleId="NormalLeft">
    <w:name w:val="Normal Left"/>
    <w:basedOn w:val="Normal"/>
    <w:pPr>
      <w:spacing w:before="120" w:after="120"/>
    </w:pPr>
  </w:style>
  <w:style w:type="paragraph" w:customStyle="1" w:styleId="Point0number">
    <w:name w:val="Point 0 (number)"/>
    <w:basedOn w:val="Normal"/>
    <w:uiPriority w:val="99"/>
    <w:pPr>
      <w:numPr>
        <w:numId w:val="27"/>
      </w:numPr>
      <w:spacing w:before="120" w:after="120"/>
      <w:jc w:val="both"/>
    </w:pPr>
  </w:style>
  <w:style w:type="paragraph" w:customStyle="1" w:styleId="Point1number">
    <w:name w:val="Point 1 (number)"/>
    <w:basedOn w:val="Normal"/>
    <w:uiPriority w:val="99"/>
    <w:pPr>
      <w:numPr>
        <w:ilvl w:val="2"/>
        <w:numId w:val="27"/>
      </w:numPr>
      <w:spacing w:before="120" w:after="120"/>
      <w:jc w:val="both"/>
    </w:pPr>
  </w:style>
  <w:style w:type="paragraph" w:customStyle="1" w:styleId="Point2number">
    <w:name w:val="Point 2 (number)"/>
    <w:basedOn w:val="Normal"/>
    <w:uiPriority w:val="99"/>
    <w:pPr>
      <w:numPr>
        <w:ilvl w:val="4"/>
        <w:numId w:val="27"/>
      </w:numPr>
      <w:spacing w:before="120" w:after="120"/>
      <w:jc w:val="both"/>
    </w:pPr>
  </w:style>
  <w:style w:type="paragraph" w:customStyle="1" w:styleId="Point3number">
    <w:name w:val="Point 3 (number)"/>
    <w:basedOn w:val="Normal"/>
    <w:uiPriority w:val="99"/>
    <w:pPr>
      <w:numPr>
        <w:ilvl w:val="6"/>
        <w:numId w:val="27"/>
      </w:numPr>
      <w:spacing w:before="120" w:after="120"/>
      <w:jc w:val="both"/>
    </w:pPr>
  </w:style>
  <w:style w:type="paragraph" w:customStyle="1" w:styleId="Point0letter">
    <w:name w:val="Point 0 (letter)"/>
    <w:basedOn w:val="Normal"/>
    <w:uiPriority w:val="99"/>
    <w:pPr>
      <w:numPr>
        <w:ilvl w:val="1"/>
        <w:numId w:val="27"/>
      </w:numPr>
      <w:spacing w:before="120" w:after="120"/>
      <w:jc w:val="both"/>
    </w:pPr>
  </w:style>
  <w:style w:type="paragraph" w:customStyle="1" w:styleId="Point1letter">
    <w:name w:val="Point 1 (letter)"/>
    <w:basedOn w:val="Normal"/>
    <w:uiPriority w:val="99"/>
    <w:pPr>
      <w:numPr>
        <w:ilvl w:val="3"/>
        <w:numId w:val="27"/>
      </w:numPr>
      <w:spacing w:before="120" w:after="120"/>
      <w:jc w:val="both"/>
    </w:pPr>
  </w:style>
  <w:style w:type="paragraph" w:customStyle="1" w:styleId="Point2letter">
    <w:name w:val="Point 2 (letter)"/>
    <w:basedOn w:val="Normal"/>
    <w:uiPriority w:val="99"/>
    <w:pPr>
      <w:numPr>
        <w:ilvl w:val="5"/>
        <w:numId w:val="27"/>
      </w:numPr>
      <w:spacing w:before="120" w:after="120"/>
      <w:jc w:val="both"/>
    </w:pPr>
  </w:style>
  <w:style w:type="paragraph" w:customStyle="1" w:styleId="Point3letter">
    <w:name w:val="Point 3 (letter)"/>
    <w:basedOn w:val="Normal"/>
    <w:uiPriority w:val="99"/>
    <w:pPr>
      <w:numPr>
        <w:ilvl w:val="7"/>
        <w:numId w:val="27"/>
      </w:numPr>
      <w:spacing w:before="120" w:after="120"/>
      <w:jc w:val="both"/>
    </w:pPr>
  </w:style>
  <w:style w:type="paragraph" w:customStyle="1" w:styleId="Point4letter">
    <w:name w:val="Point 4 (letter)"/>
    <w:basedOn w:val="Normal"/>
    <w:uiPriority w:val="99"/>
    <w:pPr>
      <w:numPr>
        <w:ilvl w:val="8"/>
        <w:numId w:val="27"/>
      </w:numPr>
      <w:spacing w:before="120" w:after="120"/>
      <w:jc w:val="both"/>
    </w:pPr>
  </w:style>
  <w:style w:type="paragraph" w:customStyle="1" w:styleId="NumPar1">
    <w:name w:val="NumPar 1"/>
    <w:basedOn w:val="Normal"/>
    <w:next w:val="Text1"/>
    <w:pPr>
      <w:numPr>
        <w:numId w:val="36"/>
      </w:numPr>
      <w:spacing w:before="120" w:after="120"/>
      <w:jc w:val="both"/>
    </w:pPr>
  </w:style>
  <w:style w:type="paragraph" w:customStyle="1" w:styleId="NumPar2">
    <w:name w:val="NumPar 2"/>
    <w:basedOn w:val="Normal"/>
    <w:next w:val="Normal"/>
    <w:pPr>
      <w:numPr>
        <w:ilvl w:val="1"/>
        <w:numId w:val="36"/>
      </w:numPr>
      <w:spacing w:before="120" w:after="120"/>
      <w:jc w:val="both"/>
    </w:pPr>
  </w:style>
  <w:style w:type="paragraph" w:customStyle="1" w:styleId="NumPar3">
    <w:name w:val="NumPar 3"/>
    <w:basedOn w:val="Normal"/>
    <w:next w:val="Normal"/>
    <w:pPr>
      <w:numPr>
        <w:ilvl w:val="2"/>
        <w:numId w:val="36"/>
      </w:numPr>
      <w:spacing w:before="120" w:after="120"/>
      <w:jc w:val="both"/>
    </w:pPr>
  </w:style>
  <w:style w:type="paragraph" w:customStyle="1" w:styleId="NumPar4">
    <w:name w:val="NumPar 4"/>
    <w:basedOn w:val="Normal"/>
    <w:next w:val="Normal"/>
    <w:pPr>
      <w:numPr>
        <w:ilvl w:val="3"/>
        <w:numId w:val="36"/>
      </w:numPr>
      <w:spacing w:before="120" w:after="120"/>
      <w:jc w:val="both"/>
    </w:pPr>
  </w:style>
  <w:style w:type="paragraph" w:customStyle="1" w:styleId="Exposdesmotifstitre">
    <w:name w:val="Exposé des motifs titre"/>
    <w:basedOn w:val="Normal"/>
    <w:next w:val="Normal"/>
    <w:pPr>
      <w:spacing w:before="120" w:after="120"/>
      <w:jc w:val="center"/>
    </w:pPr>
    <w:rPr>
      <w:b/>
      <w:u w:val="single"/>
    </w:rPr>
  </w:style>
  <w:style w:type="character" w:styleId="CommentReference">
    <w:name w:val="annotation reference"/>
    <w:rPr>
      <w:sz w:val="16"/>
      <w:szCs w:val="16"/>
    </w:rPr>
  </w:style>
  <w:style w:type="paragraph" w:customStyle="1" w:styleId="Statut">
    <w:name w:val="Statut"/>
    <w:basedOn w:val="Normal"/>
    <w:next w:val="Typedudocument"/>
    <w:pPr>
      <w:spacing w:before="360"/>
      <w:jc w:val="center"/>
    </w:pPr>
    <w:rPr>
      <w:rFonts w:eastAsia="Calibri"/>
      <w:szCs w:val="22"/>
    </w:rPr>
  </w:style>
  <w:style w:type="paragraph" w:customStyle="1" w:styleId="Declassification">
    <w:name w:val="Declassification"/>
    <w:basedOn w:val="Normal"/>
    <w:next w:val="Normal"/>
    <w:pPr>
      <w:jc w:val="both"/>
    </w:pPr>
    <w:rPr>
      <w:rFonts w:eastAsiaTheme="minorHAnsi"/>
      <w:szCs w:val="22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HAnsi"/>
      <w:sz w:val="24"/>
      <w:szCs w:val="22"/>
      <w:lang w:eastAsia="et-EE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/>
      <w:jc w:val="both"/>
    </w:pPr>
    <w:rPr>
      <w:rFonts w:eastAsiaTheme="minorHAnsi"/>
      <w:szCs w:val="22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HAnsi"/>
      <w:sz w:val="24"/>
      <w:szCs w:val="22"/>
      <w:lang w:eastAsia="et-EE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eastAsiaTheme="minorHAnsi"/>
      <w:szCs w:val="2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http://eur-lex.europa.eu/budget/www/index-et.htm" TargetMode="External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771A8-A5E4-42C1-92D3-90D329D0D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986</Words>
  <Characters>5447</Characters>
  <Application>Microsoft Office Word</Application>
  <DocSecurity>0</DocSecurity>
  <Lines>286</Lines>
  <Paragraphs>229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6204</CharactersWithSpaces>
  <SharedDoc>false</SharedDoc>
  <HLinks>
    <vt:vector size="6" baseType="variant">
      <vt:variant>
        <vt:i4>5046279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http://eur-lex.europa.eu/budget/www/index-en.htm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21</cp:revision>
  <cp:lastPrinted>2019-04-01T14:47:00Z</cp:lastPrinted>
  <dcterms:created xsi:type="dcterms:W3CDTF">2019-04-11T12:14:00Z</dcterms:created>
  <dcterms:modified xsi:type="dcterms:W3CDTF">2019-04-29T12:18:00Z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">
    <vt:lpwstr>1</vt:lpwstr>
  </property>
  <property fmtid="{D5CDD505-2E9C-101B-9397-08002B2CF9AE}" pid="3" name="Total parts">
    <vt:lpwstr>1</vt:lpwstr>
  </property>
  <property fmtid="{D5CDD505-2E9C-101B-9397-08002B2CF9AE}" pid="4" name="DocStatus">
    <vt:lpwstr>Green</vt:lpwstr>
  </property>
  <property fmtid="{D5CDD505-2E9C-101B-9397-08002B2CF9AE}" pid="5" name="Level of sensitivity">
    <vt:lpwstr>Standard treatment</vt:lpwstr>
  </property>
  <property fmtid="{D5CDD505-2E9C-101B-9397-08002B2CF9AE}" pid="6" name="Last edited using">
    <vt:lpwstr>LW 6.0.1, Build 20180503</vt:lpwstr>
  </property>
  <property fmtid="{D5CDD505-2E9C-101B-9397-08002B2CF9AE}" pid="7" name="Created using">
    <vt:lpwstr>LW 6.0.1, Build 20180503</vt:lpwstr>
  </property>
</Properties>
</file>