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2A23DE0F-1800-4624-A074-D21188CF9237" style="width:450.5pt;height:306.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rPr>
          <w:noProof/>
        </w:rPr>
      </w:pPr>
      <w:bookmarkStart w:id="1" w:name="_GoBack"/>
      <w:bookmarkEnd w:id="1"/>
      <w:r>
        <w:rPr>
          <w:noProof/>
        </w:rPr>
        <w:lastRenderedPageBreak/>
        <w:t>Under henvisning til:</w:t>
      </w:r>
    </w:p>
    <w:p>
      <w:pPr>
        <w:pStyle w:val="Tiret0"/>
        <w:rPr>
          <w:noProof/>
        </w:rPr>
      </w:pPr>
      <w:r>
        <w:rPr>
          <w:noProof/>
        </w:rPr>
        <w:t>traktaten om Den Europæiske Unions funktionsmåde, særlig artikel 314, sammenholdt med traktaten om oprettelse af Det Europæiske Atomenergifællesskab, særlig artikel 106a</w:t>
      </w:r>
    </w:p>
    <w:p>
      <w:pPr>
        <w:pStyle w:val="Tiret0"/>
        <w:tabs>
          <w:tab w:val="clear" w:pos="850"/>
          <w:tab w:val="num" w:pos="927"/>
        </w:tabs>
        <w:rPr>
          <w:rFonts w:cs="Arial"/>
          <w:noProof/>
          <w:szCs w:val="18"/>
        </w:rPr>
      </w:pPr>
      <w:r>
        <w:rPr>
          <w:noProof/>
        </w:rPr>
        <w:t>Europa-Parlamentets og Rådets forordning (EU, Euratom) 2018/1046 af 18. juli 2018 om de finansielle regler vedrørende Unionens almindelige budget (…)</w:t>
      </w:r>
      <w:r>
        <w:rPr>
          <w:rStyle w:val="FootnoteReference"/>
          <w:noProof/>
        </w:rPr>
        <w:footnoteReference w:id="2"/>
      </w:r>
      <w:r>
        <w:rPr>
          <w:noProof/>
        </w:rPr>
        <w:t>, særlig artikel 44</w:t>
      </w:r>
    </w:p>
    <w:p>
      <w:pPr>
        <w:pStyle w:val="Tiret0"/>
        <w:tabs>
          <w:tab w:val="clear" w:pos="850"/>
          <w:tab w:val="num" w:pos="927"/>
        </w:tabs>
        <w:rPr>
          <w:noProof/>
        </w:rPr>
      </w:pPr>
      <w:r>
        <w:rPr>
          <w:noProof/>
        </w:rPr>
        <w:t>Den Europæiske Unions almindelige budget for regnskabsåret 2019, der blev vedtaget den 12. december 2018</w:t>
      </w:r>
      <w:r>
        <w:rPr>
          <w:rStyle w:val="FootnoteReference"/>
          <w:noProof/>
        </w:rPr>
        <w:footnoteReference w:id="3"/>
      </w:r>
    </w:p>
    <w:p>
      <w:pPr>
        <w:jc w:val="both"/>
        <w:rPr>
          <w:noProof/>
        </w:rPr>
      </w:pPr>
      <w:r>
        <w:rPr>
          <w:noProof/>
        </w:rPr>
        <w:t>forelægger Europa-Kommissionen hermed Europa-Parlamentet og Rådet forslag til ændringsbudget nr. 1 til budgettet for 2019.</w:t>
      </w:r>
    </w:p>
    <w:p>
      <w:pPr>
        <w:rPr>
          <w:b/>
          <w:noProof/>
          <w:u w:val="single"/>
        </w:rPr>
      </w:pPr>
    </w:p>
    <w:p>
      <w:pPr>
        <w:jc w:val="both"/>
        <w:rPr>
          <w:b/>
          <w:noProof/>
          <w:u w:val="single"/>
        </w:rPr>
      </w:pPr>
      <w:r>
        <w:rPr>
          <w:b/>
          <w:noProof/>
          <w:u w:val="single"/>
        </w:rPr>
        <w:t>ÆNDRINGER I OVERSIGTEN OVER INDTÆGTER OG UDGIFTER EFTER SEKTION</w:t>
      </w:r>
    </w:p>
    <w:p>
      <w:pPr>
        <w:rPr>
          <w:b/>
          <w:noProof/>
          <w:u w:val="single"/>
        </w:rPr>
      </w:pPr>
    </w:p>
    <w:p>
      <w:pPr>
        <w:jc w:val="both"/>
        <w:rPr>
          <w:noProof/>
        </w:rPr>
      </w:pPr>
      <w:r>
        <w:rPr>
          <w:noProof/>
        </w:rPr>
        <w:t>Ændringerne i oversigten over indtægter og udgifter efter sektion kan ses på EUR-Lex (</w:t>
      </w:r>
      <w:hyperlink r:id="rId16">
        <w:r>
          <w:rPr>
            <w:rStyle w:val="Hyperlink"/>
            <w:noProof/>
            <w:color w:val="auto"/>
          </w:rPr>
          <w:t>http://eur-lex.europa.eu/budget/www/index-da.htm</w:t>
        </w:r>
      </w:hyperlink>
      <w:r>
        <w:rPr>
          <w:noProof/>
        </w:rPr>
        <w:t>). En engelsk udgave af ændringerne i oversigten vedlægges til orientering som et budgetbilag.</w:t>
      </w:r>
    </w:p>
    <w:p>
      <w:pPr>
        <w:rPr>
          <w:noProof/>
        </w:rPr>
        <w:sectPr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Exposdesmotifstitre"/>
        <w:rPr>
          <w:noProof/>
        </w:rPr>
      </w:pPr>
      <w:bookmarkStart w:id="2" w:name="_Toc194220890"/>
      <w:bookmarkStart w:id="3" w:name="_Toc294675429"/>
      <w:bookmarkStart w:id="4" w:name="_Toc378575883"/>
      <w:r>
        <w:rPr>
          <w:noProof/>
        </w:rPr>
        <w:t>BEGRUNDELSE</w:t>
      </w:r>
    </w:p>
    <w:p>
      <w:pPr>
        <w:jc w:val="both"/>
        <w:rPr>
          <w:noProof/>
        </w:rPr>
      </w:pPr>
      <w:r>
        <w:rPr>
          <w:noProof/>
        </w:rPr>
        <w:t>Formålet med forslag til ændringsbudget (ÆB) nr. 1/2019 er at opføre overskuddet fra gennemførelsen af budgettet for regnskabsåret 2018 på budgettet for 2019. I henhold til artikel 18, stk. 3, i forordningen om de finansielle regler vedrørende Unionens almindelige budget</w:t>
      </w:r>
      <w:r>
        <w:rPr>
          <w:noProof/>
          <w:vertAlign w:val="superscript"/>
        </w:rPr>
        <w:footnoteReference w:id="4"/>
      </w:r>
      <w:r>
        <w:rPr>
          <w:noProof/>
        </w:rPr>
        <w:t xml:space="preserve"> er opførelsen af overskuddet det eneste formål med dette ændringsbudget, som skal forelægges inden for 15 dage efter forelæggelsen af det foreløbige årsregnskab ved udgangen af marts 2019.</w:t>
      </w:r>
    </w:p>
    <w:p>
      <w:pPr>
        <w:pStyle w:val="NumPar1"/>
        <w:rPr>
          <w:noProof/>
          <w:color w:val="000000"/>
        </w:rPr>
      </w:pPr>
      <w:r>
        <w:rPr>
          <w:noProof/>
        </w:rPr>
        <w:t xml:space="preserve">Gennemførelsen af budgettet for regnskabsåret 2018 udviser et overskud på 1 802 988 329 EUR, </w:t>
      </w:r>
      <w:r>
        <w:rPr>
          <w:noProof/>
          <w:color w:val="000000"/>
        </w:rPr>
        <w:t>som følgelig opføres som indtægt på budgettet for 2019</w:t>
      </w:r>
      <w:r>
        <w:rPr>
          <w:noProof/>
        </w:rPr>
        <w:t>.</w:t>
      </w:r>
    </w:p>
    <w:p>
      <w:pPr>
        <w:pStyle w:val="NumPar1"/>
        <w:numPr>
          <w:ilvl w:val="0"/>
          <w:numId w:val="0"/>
        </w:numPr>
        <w:spacing w:after="0"/>
        <w:ind w:left="5954"/>
        <w:rPr>
          <w:i/>
          <w:noProof/>
          <w:sz w:val="20"/>
          <w:szCs w:val="20"/>
        </w:rPr>
      </w:pPr>
      <w:r>
        <w:rPr>
          <w:i/>
          <w:noProof/>
          <w:sz w:val="20"/>
        </w:rPr>
        <w:t>(i EUR)</w:t>
      </w:r>
    </w:p>
    <w:tbl>
      <w:tblPr>
        <w:tblW w:w="3716" w:type="dxa"/>
        <w:jc w:val="center"/>
        <w:tblLook w:val="04A0" w:firstRow="1" w:lastRow="0" w:firstColumn="1" w:lastColumn="0" w:noHBand="0" w:noVBand="1"/>
      </w:tblPr>
      <w:tblGrid>
        <w:gridCol w:w="2159"/>
        <w:gridCol w:w="1557"/>
      </w:tblGrid>
      <w:tr>
        <w:trPr>
          <w:trHeight w:val="570"/>
          <w:jc w:val="center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Oversigt over budgetresultatet for 2018</w:t>
            </w:r>
          </w:p>
        </w:tc>
      </w:tr>
      <w:tr>
        <w:trPr>
          <w:trHeight w:val="270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 xml:space="preserve">Overskydende indtægter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1 274 590 133</w:t>
            </w:r>
          </w:p>
        </w:tc>
      </w:tr>
      <w:tr>
        <w:trPr>
          <w:trHeight w:val="270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Overskydende udgifter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528 398 196</w:t>
            </w:r>
          </w:p>
        </w:tc>
      </w:tr>
      <w:tr>
        <w:trPr>
          <w:trHeight w:val="270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Overskud i alt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1 802 988 329</w:t>
            </w:r>
          </w:p>
        </w:tc>
      </w:tr>
    </w:tbl>
    <w:bookmarkEnd w:id="2"/>
    <w:p>
      <w:pPr>
        <w:pStyle w:val="NumPar1"/>
        <w:rPr>
          <w:noProof/>
        </w:rPr>
      </w:pPr>
      <w:r>
        <w:rPr>
          <w:noProof/>
        </w:rPr>
        <w:t>Opførelsen af overskuddet på budgettet vil betyde et tilsvarende fald i de 28 medlemsstaters samlede bidrag til finansieringen af budgettet for 2019</w:t>
      </w:r>
      <w:r>
        <w:rPr>
          <w:rStyle w:val="FootnoteReference"/>
          <w:noProof/>
        </w:rPr>
        <w:footnoteReference w:id="5"/>
      </w:r>
      <w:r>
        <w:rPr>
          <w:noProof/>
        </w:rPr>
        <w:t>. Ajourføringen af overslaget over egne indtægter, som vil foreligge efter mødet i Det Rådgivende Udvalg for Egne Indtægter i maj 2019 og blive medtaget i et efterfølgende forslag til ændringsbudget, har også betydning for medlemsstaternes bidrag.</w:t>
      </w:r>
    </w:p>
    <w:p>
      <w:pPr>
        <w:pStyle w:val="NumPar1"/>
        <w:spacing w:before="240" w:after="0"/>
        <w:ind w:left="851" w:hanging="851"/>
        <w:rPr>
          <w:noProof/>
        </w:rPr>
      </w:pPr>
      <w:r>
        <w:rPr>
          <w:noProof/>
        </w:rPr>
        <w:t>Nedenstående tabel indeholder en oversigt over resultatet af budgetgennemførelsen i 2018 (indtægter):</w:t>
      </w:r>
    </w:p>
    <w:p>
      <w:pPr>
        <w:pStyle w:val="NumPar1"/>
        <w:numPr>
          <w:ilvl w:val="0"/>
          <w:numId w:val="0"/>
        </w:numPr>
        <w:spacing w:after="0"/>
        <w:ind w:left="850" w:hanging="850"/>
        <w:jc w:val="right"/>
        <w:rPr>
          <w:i/>
          <w:noProof/>
          <w:sz w:val="20"/>
          <w:szCs w:val="20"/>
        </w:rPr>
      </w:pPr>
      <w:r>
        <w:rPr>
          <w:i/>
          <w:noProof/>
          <w:sz w:val="20"/>
        </w:rPr>
        <w:t>(i EUR)</w:t>
      </w:r>
    </w:p>
    <w:tbl>
      <w:tblPr>
        <w:tblW w:w="9929" w:type="dxa"/>
        <w:tblInd w:w="93" w:type="dxa"/>
        <w:tblLook w:val="04A0" w:firstRow="1" w:lastRow="0" w:firstColumn="1" w:lastColumn="0" w:noHBand="0" w:noVBand="1"/>
      </w:tblPr>
      <w:tblGrid>
        <w:gridCol w:w="377"/>
        <w:gridCol w:w="4883"/>
        <w:gridCol w:w="1556"/>
        <w:gridCol w:w="1556"/>
        <w:gridCol w:w="1557"/>
      </w:tblGrid>
      <w:tr>
        <w:trPr>
          <w:trHeight w:val="51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Oversigt over budgetresultatet for 2018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Budget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br/>
            </w:r>
            <w:r>
              <w:rPr>
                <w:b/>
                <w:noProof/>
                <w:color w:val="000000"/>
                <w:sz w:val="18"/>
              </w:rPr>
              <w:t>(inkl. ÆB nr. 1-6)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Budgetresultat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Forskel</w:t>
            </w:r>
          </w:p>
        </w:tc>
      </w:tr>
      <w:tr>
        <w:trPr>
          <w:trHeight w:val="27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Subtotal for indtægter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144 767 916 298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146 042 506 431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1 274 590 133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Afsnit 1 — Egne indtægter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142 363 728 037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142 329 649 983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 34 078 054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Afgifter og lignende i sukkersektoren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 92 981 713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 85 070 995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7 910 718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Told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20 164 642 350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20 316 700 932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152 058 582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Egne indtægter hidhørende fra moms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17 148 885 750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17 132 576 159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 16 309 591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Egne indtægter baseret på BNI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105 143 181 650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104 978 526 257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 164 655 393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Korrektion af budgetuligevægtene til fordel for Det Forenede Kongerige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 18 997 428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 18 997 428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Bruttoreduktion af visse medlemsstaters årlige BNI-baserede bidrag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5 915 059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5 915 059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Afsnit 3 — Overskud, saldi og tilpasninger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555 542 325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581 255 381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25 713 056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Afsnit 4 — Personer, der er knyttet til institutionerne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1 547 408 825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1 541 840 701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 5 568 124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Afsnit 5 — Institutionernes administration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45 050 050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3 715 390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 41 334 660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Afsnit 6 — Tilbagebetalinger i forbindelse med EU-aftaler og </w:t>
            </w:r>
            <w:r>
              <w:rPr>
                <w:noProof/>
              </w:rPr>
              <w:noBreakHyphen/>
            </w:r>
            <w:r>
              <w:rPr>
                <w:noProof/>
                <w:color w:val="000000"/>
                <w:sz w:val="18"/>
              </w:rPr>
              <w:t>programmer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110 000 000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106 217 941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 3 782 059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Afsnit 7 — Morarenter og bøder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115 000 000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1 427 642 570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1 312 642 570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Afsnit 8 — Lånoptagelse og långivning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6 186 061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39 035 856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32 849 795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Afsnit 9 — Diverse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25 001 000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13 148 609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 11 852 391</w:t>
            </w:r>
          </w:p>
        </w:tc>
      </w:tr>
    </w:tbl>
    <w:bookmarkEnd w:id="3"/>
    <w:bookmarkEnd w:id="4"/>
    <w:p>
      <w:pPr>
        <w:pStyle w:val="NumPar1"/>
        <w:rPr>
          <w:noProof/>
        </w:rPr>
      </w:pPr>
      <w:r>
        <w:rPr>
          <w:noProof/>
        </w:rPr>
        <w:t>Forskellene i afsnit 1 (</w:t>
      </w:r>
      <w:r>
        <w:rPr>
          <w:i/>
          <w:noProof/>
        </w:rPr>
        <w:t>Egne indtægter</w:t>
      </w:r>
      <w:r>
        <w:rPr>
          <w:noProof/>
        </w:rPr>
        <w:t>) udgør 0,02 % af overslaget. Forskellene skyldes hovedsagelig 160 mio. EUR højere indtægter fra traditionelle egne indtægter (100,8 % af overslaget er blevet inddrevet) og 200 mio. EUR lavere indtægter som følge af valutakursudsving (da egne indtægter betales i den nationale valuta, men budgetteres og opføres i euro). I afsnit 3 (</w:t>
      </w:r>
      <w:r>
        <w:rPr>
          <w:i/>
          <w:noProof/>
        </w:rPr>
        <w:t>Overskud, saldi og tilpasninger</w:t>
      </w:r>
      <w:r>
        <w:rPr>
          <w:noProof/>
        </w:rPr>
        <w:t>), der vedrører justeringer af egne indtægter, er forskellen begrænset til 26 mio. EUR.</w:t>
      </w:r>
    </w:p>
    <w:p>
      <w:pPr>
        <w:pStyle w:val="NumPar1"/>
        <w:spacing w:before="240" w:after="240"/>
        <w:ind w:left="851" w:hanging="851"/>
        <w:rPr>
          <w:noProof/>
        </w:rPr>
      </w:pPr>
      <w:r>
        <w:rPr>
          <w:noProof/>
        </w:rPr>
        <w:t>Den største forskel (1 313 mio. EUR) findes i afsnit 7 (</w:t>
      </w:r>
      <w:r>
        <w:rPr>
          <w:i/>
          <w:noProof/>
        </w:rPr>
        <w:t>Morarenter og bøder</w:t>
      </w:r>
      <w:r>
        <w:rPr>
          <w:noProof/>
        </w:rPr>
        <w:t>).</w:t>
      </w:r>
      <w:r>
        <w:rPr>
          <w:i/>
          <w:noProof/>
        </w:rPr>
        <w:t xml:space="preserve"> </w:t>
      </w:r>
      <w:r>
        <w:rPr>
          <w:noProof/>
        </w:rPr>
        <w:t>Budgetresultatet er sammensat af bøder i konkurrencesager og morarenter, andre tvangsbøder og renter i forbindelse med bøder og tvangsbøder.</w:t>
      </w:r>
    </w:p>
    <w:p>
      <w:pPr>
        <w:pStyle w:val="NumPar1"/>
        <w:spacing w:before="240" w:after="0"/>
        <w:ind w:left="851" w:hanging="851"/>
        <w:rPr>
          <w:noProof/>
        </w:rPr>
      </w:pPr>
      <w:r>
        <w:rPr>
          <w:noProof/>
        </w:rPr>
        <w:t>Nedenstående tabel indeholder en oversigt over resultatet af budgetgennemførelsen i 2018 (udgifter for alle institutioner):</w:t>
      </w:r>
    </w:p>
    <w:p>
      <w:pPr>
        <w:pStyle w:val="NumPar1"/>
        <w:numPr>
          <w:ilvl w:val="0"/>
          <w:numId w:val="0"/>
        </w:numPr>
        <w:spacing w:after="0"/>
        <w:ind w:left="850" w:hanging="850"/>
        <w:jc w:val="right"/>
        <w:rPr>
          <w:i/>
          <w:noProof/>
          <w:sz w:val="20"/>
          <w:szCs w:val="20"/>
        </w:rPr>
      </w:pPr>
      <w:r>
        <w:rPr>
          <w:i/>
          <w:noProof/>
          <w:sz w:val="20"/>
        </w:rPr>
        <w:t>(i EUR)</w:t>
      </w:r>
    </w:p>
    <w:tbl>
      <w:tblPr>
        <w:tblW w:w="9929" w:type="dxa"/>
        <w:tblInd w:w="93" w:type="dxa"/>
        <w:tblLook w:val="04A0" w:firstRow="1" w:lastRow="0" w:firstColumn="1" w:lastColumn="0" w:noHBand="0" w:noVBand="1"/>
      </w:tblPr>
      <w:tblGrid>
        <w:gridCol w:w="377"/>
        <w:gridCol w:w="4883"/>
        <w:gridCol w:w="1556"/>
        <w:gridCol w:w="1556"/>
        <w:gridCol w:w="1557"/>
      </w:tblGrid>
      <w:tr>
        <w:trPr>
          <w:trHeight w:val="51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Oversigt over budgetresultatet for 2018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Budget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br/>
            </w:r>
            <w:r>
              <w:rPr>
                <w:b/>
                <w:noProof/>
                <w:color w:val="000000"/>
                <w:sz w:val="18"/>
              </w:rPr>
              <w:t>(inkl. ÆB nr. 1-6)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Budgetresultat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Forskel</w:t>
            </w:r>
          </w:p>
        </w:tc>
      </w:tr>
      <w:tr>
        <w:trPr>
          <w:trHeight w:val="27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Subtotal for udgifter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144 767 916 298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144 239 518 102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– 528 398 196</w:t>
            </w:r>
          </w:p>
        </w:tc>
      </w:tr>
      <w:tr>
        <w:trPr>
          <w:trHeight w:val="27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Budgetresultat for regnskabsårets bevillinger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144 767 916 298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144 369 781 354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– 398 134 944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Europa-Kommissionen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140 752 776 672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140 430 555 977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 322 220 695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Udgiftsområde 1a — Konkurrenceevne for vækst og beskæftigelse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20 154 593 499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20 113 652 917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 40 940 582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Udgiftsområde 1b — Økonomisk, social og territorial samhørighed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46 577 928 034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46 559 473 543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 18 454 491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Udgiftsområde 2 — Bæredygtig vækst: naturressourcer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56 240 984 244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56 228 111 429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 12 872 815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Udgiftsområde 3 — Sikkerhed og medborgerskab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3 013 090 479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2 988 185 217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 24 905 262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Udgiftsområde 4 — Et globalt Europa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8 812 942 021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8 776 262 725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 36 679 295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Udgiftsområde 5 — Administration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5 651 421 501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5 607 423 914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 43 997 587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Andre særlige instrumenter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301 816 894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157 446 231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 144 370 663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Andre institutioner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4 015 139 626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3 939 225 376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 75 914 250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Europa-Parlamentet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1 950 687 373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1 934 477 627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 16 209 746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Rådet og Det Europæiske Råd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572 894 377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526 545 514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 46 348 863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Den Europæiske Unions Domstol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410 025 089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406 681 899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 3 343 190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Den Europæiske Revisionsret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146 015 591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140 484 381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 5 531 210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Det Europæiske Økonomiske og Sociale Udvalg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135 630 905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133 811 443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 1 819 462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Regionsudvalget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96 100 540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95 380 187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 720 353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Den Europæiske Ombudsmand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10 837 545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10 331 816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 505 729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Den Europæiske Tilsynsførende for Databeskyttelse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14 449 068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13 539 302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 909 766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Tjenesten for EU's Optræden Udadtil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678 499 138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677 973 207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outlineLvl w:val="0"/>
              <w:rPr>
                <w:i/>
                <w:iCs/>
                <w:noProof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</w:rPr>
              <w:t>– 525 931</w:t>
            </w:r>
          </w:p>
        </w:tc>
      </w:tr>
      <w:tr>
        <w:trPr>
          <w:trHeight w:val="270"/>
        </w:trPr>
        <w:tc>
          <w:tcPr>
            <w:tcW w:w="5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Annullering af bevillinger fremført fra tidligere år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– 129 699 126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– 129 699 126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Europa-Kommissionen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 68 082 034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 68 082 034</w:t>
            </w:r>
          </w:p>
        </w:tc>
      </w:tr>
      <w:tr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—</w:t>
            </w:r>
          </w:p>
        </w:tc>
        <w:tc>
          <w:tcPr>
            <w:tcW w:w="48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Andre institutioner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 61 617 091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– 61 617 091</w:t>
            </w:r>
          </w:p>
        </w:tc>
      </w:tr>
      <w:tr>
        <w:trPr>
          <w:trHeight w:val="270"/>
        </w:trPr>
        <w:tc>
          <w:tcPr>
            <w:tcW w:w="5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Valutakursudsving på udgifter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– 564 126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– 564 126</w:t>
            </w:r>
          </w:p>
        </w:tc>
      </w:tr>
    </w:tbl>
    <w:p>
      <w:pPr>
        <w:pStyle w:val="NumPar1"/>
        <w:spacing w:before="240" w:after="240"/>
        <w:ind w:left="851" w:hanging="851"/>
        <w:rPr>
          <w:noProof/>
        </w:rPr>
      </w:pPr>
      <w:r>
        <w:rPr>
          <w:noProof/>
        </w:rPr>
        <w:t>Kommissionen gennemførte 99,8 % af de godkendte betalingsbevillinger. Et beløb på 322 mio. EUR blev ikke gennemført, heraf 120 mio. EUR fra nødhjælpsreserven.</w:t>
      </w:r>
    </w:p>
    <w:p>
      <w:pPr>
        <w:pStyle w:val="NumPar1"/>
        <w:spacing w:before="240" w:after="240"/>
        <w:ind w:left="851" w:hanging="851"/>
        <w:rPr>
          <w:noProof/>
        </w:rPr>
      </w:pPr>
      <w:r>
        <w:rPr>
          <w:noProof/>
        </w:rPr>
        <w:t>De øvrige institutioners underudnyttelse på 76 mio. EUR var lavere end i de foregående tre år (83 mio. EUR i 2017, 103 mio. EUR i 2016 og 94 mio. EUR i 2015).</w:t>
      </w: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spacing w:before="0"/>
      <w:ind w:left="-851" w:right="-851"/>
      <w:rPr>
        <w:rFonts w:ascii="Arial" w:hAnsi="Arial" w:cs="Arial"/>
        <w:b/>
        <w:sz w:val="48"/>
      </w:rPr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spacing w:before="0"/>
      <w:ind w:left="-851" w:right="-851"/>
      <w:rPr>
        <w:rFonts w:ascii="Arial" w:hAnsi="Arial" w:cs="Arial"/>
        <w:b/>
        <w:sz w:val="48"/>
      </w:rPr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 w:val="18"/>
        </w:rPr>
        <w:t>EUT L 193 af 30.7.2018, s. 1.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>.</w:t>
      </w:r>
      <w:r>
        <w:tab/>
      </w:r>
      <w:r>
        <w:rPr>
          <w:sz w:val="18"/>
        </w:rPr>
        <w:t>EUT L 67 af 7.3.2019.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18"/>
        </w:rPr>
        <w:t>EUT L 193 af 30.7.2018, s. 1.</w:t>
      </w:r>
    </w:p>
  </w:footnote>
  <w:footnote w:id="5">
    <w:p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ab/>
        <w:t>Forslaget til ændringsbudget stilles for EU-28, da datoen for Det Forenede Kongeriges udtræden af EU er blevet udsat til den 31. oktober 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BA7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7ED41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856D4"/>
    <w:multiLevelType w:val="hybridMultilevel"/>
    <w:tmpl w:val="B07CF3C4"/>
    <w:lvl w:ilvl="0" w:tplc="3D900F3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54526B"/>
    <w:multiLevelType w:val="hybridMultilevel"/>
    <w:tmpl w:val="18D88870"/>
    <w:lvl w:ilvl="0" w:tplc="8A36BA8C">
      <w:numFmt w:val="bullet"/>
      <w:lvlText w:val="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01886"/>
    <w:multiLevelType w:val="hybridMultilevel"/>
    <w:tmpl w:val="FBA0B950"/>
    <w:lvl w:ilvl="0" w:tplc="D1CAE414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20AC0"/>
    <w:multiLevelType w:val="hybridMultilevel"/>
    <w:tmpl w:val="32B0E5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936C33"/>
    <w:multiLevelType w:val="hybridMultilevel"/>
    <w:tmpl w:val="4036C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795CFC"/>
    <w:multiLevelType w:val="hybridMultilevel"/>
    <w:tmpl w:val="D988CA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27E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9">
    <w:nsid w:val="2F78565E"/>
    <w:multiLevelType w:val="hybridMultilevel"/>
    <w:tmpl w:val="3F76E56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1246D7F"/>
    <w:multiLevelType w:val="hybridMultilevel"/>
    <w:tmpl w:val="E1EA8208"/>
    <w:lvl w:ilvl="0" w:tplc="94027E84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A52C4F"/>
    <w:multiLevelType w:val="singleLevel"/>
    <w:tmpl w:val="CEFC5A2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>
    <w:nsid w:val="33BE45BD"/>
    <w:multiLevelType w:val="hybridMultilevel"/>
    <w:tmpl w:val="6D2219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27E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EA3932"/>
    <w:multiLevelType w:val="hybridMultilevel"/>
    <w:tmpl w:val="FA52BE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>
    <w:nsid w:val="3F090162"/>
    <w:multiLevelType w:val="hybridMultilevel"/>
    <w:tmpl w:val="97F2B26A"/>
    <w:lvl w:ilvl="0" w:tplc="61E27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7">
    <w:nsid w:val="41AF2082"/>
    <w:multiLevelType w:val="hybridMultilevel"/>
    <w:tmpl w:val="A672F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628B4"/>
    <w:multiLevelType w:val="hybridMultilevel"/>
    <w:tmpl w:val="7706A2BE"/>
    <w:lvl w:ilvl="0" w:tplc="3D900F3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F8C3B69"/>
    <w:multiLevelType w:val="multilevel"/>
    <w:tmpl w:val="9B14DAA8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D2B5511"/>
    <w:multiLevelType w:val="singleLevel"/>
    <w:tmpl w:val="74A09970"/>
    <w:name w:val="Heading__2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1">
    <w:nsid w:val="7123216D"/>
    <w:multiLevelType w:val="hybridMultilevel"/>
    <w:tmpl w:val="F648ECEA"/>
    <w:lvl w:ilvl="0" w:tplc="AB00A56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7A0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D8E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0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20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789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61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5AA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C40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E95D7F"/>
    <w:multiLevelType w:val="multilevel"/>
    <w:tmpl w:val="F126F78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3">
    <w:nsid w:val="7C966381"/>
    <w:multiLevelType w:val="multilevel"/>
    <w:tmpl w:val="DCC8806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6"/>
  </w:num>
  <w:num w:numId="5">
    <w:abstractNumId w:val="21"/>
  </w:num>
  <w:num w:numId="6">
    <w:abstractNumId w:val="16"/>
  </w:num>
  <w:num w:numId="7">
    <w:abstractNumId w:val="20"/>
  </w:num>
  <w:num w:numId="8">
    <w:abstractNumId w:val="14"/>
  </w:num>
  <w:num w:numId="9">
    <w:abstractNumId w:val="7"/>
  </w:num>
  <w:num w:numId="10">
    <w:abstractNumId w:val="12"/>
  </w:num>
  <w:num w:numId="11">
    <w:abstractNumId w:val="13"/>
  </w:num>
  <w:num w:numId="12">
    <w:abstractNumId w:val="5"/>
  </w:num>
  <w:num w:numId="13">
    <w:abstractNumId w:val="6"/>
  </w:num>
  <w:num w:numId="14">
    <w:abstractNumId w:val="8"/>
  </w:num>
  <w:num w:numId="15">
    <w:abstractNumId w:val="10"/>
  </w:num>
  <w:num w:numId="16">
    <w:abstractNumId w:val="18"/>
  </w:num>
  <w:num w:numId="17">
    <w:abstractNumId w:val="16"/>
  </w:num>
  <w:num w:numId="18">
    <w:abstractNumId w:val="19"/>
  </w:num>
  <w:num w:numId="19">
    <w:abstractNumId w:val="4"/>
  </w:num>
  <w:num w:numId="20">
    <w:abstractNumId w:val="9"/>
  </w:num>
  <w:num w:numId="21">
    <w:abstractNumId w:val="16"/>
  </w:num>
  <w:num w:numId="22">
    <w:abstractNumId w:val="16"/>
  </w:num>
  <w:num w:numId="23">
    <w:abstractNumId w:val="0"/>
  </w:num>
  <w:num w:numId="24">
    <w:abstractNumId w:val="17"/>
  </w:num>
  <w:num w:numId="25">
    <w:abstractNumId w:val="15"/>
  </w:num>
  <w:num w:numId="26">
    <w:abstractNumId w:val="3"/>
  </w:num>
  <w:num w:numId="27">
    <w:abstractNumId w:val="22"/>
  </w:num>
  <w:num w:numId="28">
    <w:abstractNumId w:val="19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DocumentType" w:val="ERR"/>
    <w:docVar w:name="FigNum" w:val="1"/>
    <w:docVar w:name="LW_CORRIGENDUM" w:val="&lt;UNUSED&gt;"/>
    <w:docVar w:name="LW_COVERPAGE_EXISTS" w:val="True"/>
    <w:docVar w:name="LW_COVERPAGE_GUID" w:val="2A23DE0F-1800-4624-A074-D21188CF9237"/>
    <w:docVar w:name="LW_COVERPAGE_TYPE" w:val="1"/>
    <w:docVar w:name="LW_CROSSREFERENCE" w:val="&lt;UNUSED&gt;"/>
    <w:docVar w:name="LW_DocType" w:val="NORMAL"/>
    <w:docVar w:name="LW_EMISSION" w:val="15.4.2019"/>
    <w:docVar w:name="LW_EMISSION_ISODATE" w:val="2019-04-15"/>
    <w:docVar w:name="LW_EMISSION_LOCATION" w:val="BRX"/>
    <w:docVar w:name="LW_EMISSION_PREFIX" w:val="Bruxelles, den "/>
    <w:docVar w:name="LW_EMISSION_SUFFIX" w:val=" "/>
    <w:docVar w:name="LW_ID_DOCTYPE_NONLW" w:val="CP-035"/>
    <w:docVar w:name="LW_LANGUE" w:val="DA"/>
    <w:docVar w:name="LW_LEVEL_OF_SENSITIVITY" w:val="Standard treatment"/>
    <w:docVar w:name="LW_NOM.INST" w:val="EUROPA-KOMMISSIONEN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30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OPFØRELSE AF OVERSKUDDET FOR REGNSKABSÅRET 2018 "/>
    <w:docVar w:name="LW_TITRE.OBJ.CP_PREVIOUS" w:val="&lt;UNUSED&gt;"/>
    <w:docVar w:name="LW_TYPE.DOC.CP" w:val="ÆNDRINGSBUDGET NR. 1_x000b_TIL DET ALMINDELIGE BUDGET FOR 201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da-DK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120"/>
      <w:ind w:left="720" w:hanging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</w:numPr>
      <w:tabs>
        <w:tab w:val="num" w:pos="850"/>
      </w:tabs>
      <w:spacing w:before="120" w:after="120"/>
      <w:ind w:left="850" w:hanging="850"/>
      <w:jc w:val="both"/>
      <w:outlineLvl w:val="2"/>
    </w:pPr>
    <w:rPr>
      <w:rFonts w:ascii="Arial" w:hAnsi="Arial"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</w:numPr>
      <w:tabs>
        <w:tab w:val="num" w:pos="1030"/>
      </w:tabs>
      <w:spacing w:before="120" w:after="120"/>
      <w:ind w:left="1030" w:hanging="850"/>
      <w:jc w:val="both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</w:rPr>
  </w:style>
  <w:style w:type="paragraph" w:styleId="FootnoteText">
    <w:name w:val="footnote text"/>
    <w:basedOn w:val="Normal"/>
    <w:link w:val="FootnoteTextChar"/>
    <w:pPr>
      <w:ind w:left="720" w:hanging="720"/>
      <w:jc w:val="both"/>
    </w:pPr>
    <w:rPr>
      <w:sz w:val="20"/>
      <w:szCs w:val="20"/>
    </w:rPr>
  </w:style>
  <w:style w:type="paragraph" w:styleId="TOC1">
    <w:name w:val="toc 1"/>
    <w:basedOn w:val="Normal"/>
    <w:next w:val="Normal"/>
    <w:uiPriority w:val="39"/>
    <w:pPr>
      <w:spacing w:before="120" w:after="120"/>
    </w:pPr>
    <w:rPr>
      <w:b/>
      <w:bCs/>
      <w:caps/>
      <w:sz w:val="20"/>
      <w:szCs w:val="20"/>
    </w:rPr>
  </w:style>
  <w:style w:type="character" w:styleId="FootnoteReference">
    <w:name w:val="footnote reference"/>
    <w:aliases w:val="stylish,Footnote Reference Superscript,BVI fnr,Footnote symbol,Footnote symboFußnotenzeichen,Footnote sign,Footnote Reference Number,E FNZ,-E Fußnotenzeichen,Footnote#,Footnote,Times 10 Point,Exposant 3 Point,Ref,de nota al pie,SUPER"/>
    <w:rPr>
      <w:vertAlign w:val="superscript"/>
    </w:rPr>
  </w:style>
  <w:style w:type="paragraph" w:customStyle="1" w:styleId="Text1">
    <w:name w:val="Text 1"/>
    <w:basedOn w:val="Normal"/>
    <w:pPr>
      <w:spacing w:before="120" w:after="120"/>
      <w:ind w:left="850"/>
      <w:jc w:val="both"/>
    </w:pPr>
  </w:style>
  <w:style w:type="paragraph" w:customStyle="1" w:styleId="Tiret0">
    <w:name w:val="Tiret 0"/>
    <w:basedOn w:val="Normal"/>
    <w:pPr>
      <w:numPr>
        <w:numId w:val="1"/>
      </w:numPr>
      <w:spacing w:before="120" w:after="120"/>
      <w:jc w:val="both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Normal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</w:rPr>
  </w:style>
  <w:style w:type="paragraph" w:customStyle="1" w:styleId="ListDash">
    <w:name w:val="List Dash"/>
    <w:basedOn w:val="Normal"/>
    <w:link w:val="ListDashChar"/>
    <w:pPr>
      <w:numPr>
        <w:numId w:val="2"/>
      </w:numPr>
      <w:spacing w:before="120" w:after="120"/>
      <w:jc w:val="both"/>
    </w:pPr>
  </w:style>
  <w:style w:type="paragraph" w:styleId="TOCHeading">
    <w:name w:val="TOC Heading"/>
    <w:basedOn w:val="Normal"/>
    <w:next w:val="Normal"/>
    <w:qFormat/>
    <w:pPr>
      <w:spacing w:before="120" w:after="240"/>
      <w:jc w:val="center"/>
    </w:pPr>
    <w:rPr>
      <w:b/>
      <w:sz w:val="28"/>
    </w:r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b/>
    </w:rPr>
  </w:style>
  <w:style w:type="paragraph" w:customStyle="1" w:styleId="Prliminairetype">
    <w:name w:val="Préliminaire type"/>
    <w:basedOn w:val="Normal"/>
    <w:next w:val="Normal"/>
    <w:pPr>
      <w:spacing w:before="360"/>
      <w:jc w:val="center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120" w:after="120"/>
      <w:jc w:val="both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paragraph" w:customStyle="1" w:styleId="HeaderCoverPage">
    <w:name w:val="Header Cover Page"/>
    <w:basedOn w:val="Normal"/>
    <w:pPr>
      <w:tabs>
        <w:tab w:val="center" w:pos="4535"/>
        <w:tab w:val="right" w:pos="9071"/>
      </w:tabs>
      <w:spacing w:after="120"/>
      <w:jc w:val="both"/>
    </w:p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styleId="ListBullet">
    <w:name w:val="List Bullet"/>
    <w:basedOn w:val="Normal"/>
    <w:pPr>
      <w:numPr>
        <w:numId w:val="7"/>
      </w:numPr>
      <w:spacing w:before="120" w:after="120"/>
      <w:jc w:val="both"/>
    </w:pPr>
  </w:style>
  <w:style w:type="paragraph" w:customStyle="1" w:styleId="ListDash2">
    <w:name w:val="List Dash 2"/>
    <w:basedOn w:val="Normal"/>
    <w:pPr>
      <w:tabs>
        <w:tab w:val="num" w:pos="1134"/>
      </w:tabs>
      <w:spacing w:before="120" w:after="120"/>
      <w:ind w:left="1134" w:hanging="283"/>
      <w:jc w:val="both"/>
    </w:pPr>
  </w:style>
  <w:style w:type="paragraph" w:customStyle="1" w:styleId="ListBullet1">
    <w:name w:val="List Bullet 1"/>
    <w:basedOn w:val="Text1"/>
    <w:pPr>
      <w:numPr>
        <w:numId w:val="8"/>
      </w:numPr>
      <w:spacing w:before="0" w:after="240"/>
    </w:pPr>
    <w:rPr>
      <w:szCs w:val="20"/>
    </w:rPr>
  </w:style>
  <w:style w:type="paragraph" w:styleId="ListBullet2">
    <w:name w:val="List Bullet 2"/>
    <w:basedOn w:val="Normal"/>
    <w:pPr>
      <w:numPr>
        <w:numId w:val="14"/>
      </w:numPr>
      <w:spacing w:after="240"/>
      <w:jc w:val="both"/>
    </w:pPr>
    <w:rPr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u w:val="single"/>
    </w:rPr>
  </w:style>
  <w:style w:type="paragraph" w:customStyle="1" w:styleId="Typedudocument">
    <w:name w:val="Type du document"/>
    <w:basedOn w:val="Normal"/>
    <w:next w:val="Titreobjet"/>
    <w:pPr>
      <w:spacing w:before="360"/>
      <w:jc w:val="center"/>
    </w:pPr>
    <w:rPr>
      <w:b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Text2">
    <w:name w:val="Text 2"/>
    <w:basedOn w:val="Normal"/>
    <w:pPr>
      <w:spacing w:before="120" w:after="120"/>
      <w:ind w:left="85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pPr>
      <w:numPr>
        <w:numId w:val="28"/>
      </w:numPr>
      <w:spacing w:before="120" w:after="120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28"/>
      </w:numPr>
      <w:spacing w:before="120" w:after="120"/>
      <w:jc w:val="both"/>
    </w:pPr>
  </w:style>
  <w:style w:type="paragraph" w:customStyle="1" w:styleId="ListNumberLevel3">
    <w:name w:val="List Number (Level 3)"/>
    <w:basedOn w:val="Normal"/>
    <w:pPr>
      <w:numPr>
        <w:ilvl w:val="2"/>
        <w:numId w:val="28"/>
      </w:numPr>
      <w:spacing w:before="120" w:after="120"/>
      <w:jc w:val="both"/>
    </w:pPr>
  </w:style>
  <w:style w:type="paragraph" w:customStyle="1" w:styleId="ListNumberLevel4">
    <w:name w:val="List Number (Level 4)"/>
    <w:basedOn w:val="Normal"/>
    <w:pPr>
      <w:numPr>
        <w:ilvl w:val="3"/>
        <w:numId w:val="28"/>
      </w:numPr>
      <w:spacing w:before="120" w:after="120"/>
      <w:jc w:val="both"/>
    </w:pPr>
  </w:style>
  <w:style w:type="character" w:customStyle="1" w:styleId="ListDashChar">
    <w:name w:val="List Dash Char"/>
    <w:link w:val="ListDash"/>
    <w:rPr>
      <w:sz w:val="24"/>
      <w:szCs w:val="24"/>
      <w:lang w:eastAsia="da-DK"/>
    </w:rPr>
  </w:style>
  <w:style w:type="paragraph" w:customStyle="1" w:styleId="StyleManualHeading2Italic">
    <w:name w:val="Style Manual Heading 2 + Italic"/>
    <w:basedOn w:val="ManualHeading2"/>
    <w:autoRedefine/>
    <w:pPr>
      <w:spacing w:before="160" w:after="160"/>
      <w:ind w:left="851" w:hanging="851"/>
    </w:pPr>
    <w:rPr>
      <w:bCs/>
      <w:i/>
      <w:iCs/>
    </w:rPr>
  </w:style>
  <w:style w:type="character" w:customStyle="1" w:styleId="FootnoteTextChar">
    <w:name w:val="Footnote Text Char"/>
    <w:link w:val="FootnoteText"/>
    <w:rPr>
      <w:lang w:eastAsia="da-DK"/>
    </w:rPr>
  </w:style>
  <w:style w:type="paragraph" w:customStyle="1" w:styleId="NormalCentered">
    <w:name w:val="Normal Centered"/>
    <w:basedOn w:val="Normal"/>
    <w:pPr>
      <w:spacing w:before="120" w:after="120"/>
      <w:jc w:val="center"/>
    </w:pPr>
  </w:style>
  <w:style w:type="paragraph" w:customStyle="1" w:styleId="NormalRight">
    <w:name w:val="Normal Right"/>
    <w:basedOn w:val="Normal"/>
    <w:pPr>
      <w:spacing w:before="120" w:after="120"/>
      <w:jc w:val="right"/>
    </w:pPr>
  </w:style>
  <w:style w:type="paragraph" w:customStyle="1" w:styleId="NormalLeft">
    <w:name w:val="Normal Left"/>
    <w:basedOn w:val="Normal"/>
    <w:pPr>
      <w:spacing w:before="120" w:after="120"/>
    </w:pPr>
  </w:style>
  <w:style w:type="paragraph" w:customStyle="1" w:styleId="Point0number">
    <w:name w:val="Point 0 (number)"/>
    <w:basedOn w:val="Normal"/>
    <w:uiPriority w:val="99"/>
    <w:pPr>
      <w:numPr>
        <w:numId w:val="27"/>
      </w:numPr>
      <w:spacing w:before="120" w:after="120"/>
      <w:jc w:val="both"/>
    </w:pPr>
  </w:style>
  <w:style w:type="paragraph" w:customStyle="1" w:styleId="Point1number">
    <w:name w:val="Point 1 (number)"/>
    <w:basedOn w:val="Normal"/>
    <w:uiPriority w:val="99"/>
    <w:pPr>
      <w:numPr>
        <w:ilvl w:val="2"/>
        <w:numId w:val="27"/>
      </w:numPr>
      <w:spacing w:before="120" w:after="120"/>
      <w:jc w:val="both"/>
    </w:pPr>
  </w:style>
  <w:style w:type="paragraph" w:customStyle="1" w:styleId="Point2number">
    <w:name w:val="Point 2 (number)"/>
    <w:basedOn w:val="Normal"/>
    <w:uiPriority w:val="99"/>
    <w:pPr>
      <w:numPr>
        <w:ilvl w:val="4"/>
        <w:numId w:val="27"/>
      </w:numPr>
      <w:spacing w:before="120" w:after="120"/>
      <w:jc w:val="both"/>
    </w:pPr>
  </w:style>
  <w:style w:type="paragraph" w:customStyle="1" w:styleId="Point3number">
    <w:name w:val="Point 3 (number)"/>
    <w:basedOn w:val="Normal"/>
    <w:uiPriority w:val="99"/>
    <w:pPr>
      <w:numPr>
        <w:ilvl w:val="6"/>
        <w:numId w:val="27"/>
      </w:numPr>
      <w:spacing w:before="120" w:after="120"/>
      <w:jc w:val="both"/>
    </w:pPr>
  </w:style>
  <w:style w:type="paragraph" w:customStyle="1" w:styleId="Point0letter">
    <w:name w:val="Point 0 (letter)"/>
    <w:basedOn w:val="Normal"/>
    <w:uiPriority w:val="99"/>
    <w:pPr>
      <w:numPr>
        <w:ilvl w:val="1"/>
        <w:numId w:val="27"/>
      </w:numPr>
      <w:spacing w:before="120" w:after="120"/>
      <w:jc w:val="both"/>
    </w:pPr>
  </w:style>
  <w:style w:type="paragraph" w:customStyle="1" w:styleId="Point1letter">
    <w:name w:val="Point 1 (letter)"/>
    <w:basedOn w:val="Normal"/>
    <w:uiPriority w:val="99"/>
    <w:pPr>
      <w:numPr>
        <w:ilvl w:val="3"/>
        <w:numId w:val="27"/>
      </w:numPr>
      <w:spacing w:before="120" w:after="120"/>
      <w:jc w:val="both"/>
    </w:pPr>
  </w:style>
  <w:style w:type="paragraph" w:customStyle="1" w:styleId="Point2letter">
    <w:name w:val="Point 2 (letter)"/>
    <w:basedOn w:val="Normal"/>
    <w:uiPriority w:val="99"/>
    <w:pPr>
      <w:numPr>
        <w:ilvl w:val="5"/>
        <w:numId w:val="27"/>
      </w:numPr>
      <w:spacing w:before="120" w:after="120"/>
      <w:jc w:val="both"/>
    </w:pPr>
  </w:style>
  <w:style w:type="paragraph" w:customStyle="1" w:styleId="Point3letter">
    <w:name w:val="Point 3 (letter)"/>
    <w:basedOn w:val="Normal"/>
    <w:uiPriority w:val="99"/>
    <w:pPr>
      <w:numPr>
        <w:ilvl w:val="7"/>
        <w:numId w:val="27"/>
      </w:numPr>
      <w:spacing w:before="120" w:after="120"/>
      <w:jc w:val="both"/>
    </w:pPr>
  </w:style>
  <w:style w:type="paragraph" w:customStyle="1" w:styleId="Point4letter">
    <w:name w:val="Point 4 (letter)"/>
    <w:basedOn w:val="Normal"/>
    <w:uiPriority w:val="99"/>
    <w:pPr>
      <w:numPr>
        <w:ilvl w:val="8"/>
        <w:numId w:val="27"/>
      </w:numPr>
      <w:spacing w:before="120" w:after="120"/>
      <w:jc w:val="both"/>
    </w:pPr>
  </w:style>
  <w:style w:type="paragraph" w:customStyle="1" w:styleId="NumPar1">
    <w:name w:val="NumPar 1"/>
    <w:basedOn w:val="Normal"/>
    <w:next w:val="Text1"/>
    <w:pPr>
      <w:numPr>
        <w:numId w:val="36"/>
      </w:numPr>
      <w:spacing w:before="120" w:after="120"/>
      <w:jc w:val="both"/>
    </w:pPr>
  </w:style>
  <w:style w:type="paragraph" w:customStyle="1" w:styleId="NumPar2">
    <w:name w:val="NumPar 2"/>
    <w:basedOn w:val="Normal"/>
    <w:next w:val="Normal"/>
    <w:pPr>
      <w:numPr>
        <w:ilvl w:val="1"/>
        <w:numId w:val="36"/>
      </w:numPr>
      <w:spacing w:before="120" w:after="120"/>
      <w:jc w:val="both"/>
    </w:pPr>
  </w:style>
  <w:style w:type="paragraph" w:customStyle="1" w:styleId="NumPar3">
    <w:name w:val="NumPar 3"/>
    <w:basedOn w:val="Normal"/>
    <w:next w:val="Normal"/>
    <w:pPr>
      <w:numPr>
        <w:ilvl w:val="2"/>
        <w:numId w:val="36"/>
      </w:numPr>
      <w:spacing w:before="120" w:after="120"/>
      <w:jc w:val="both"/>
    </w:pPr>
  </w:style>
  <w:style w:type="paragraph" w:customStyle="1" w:styleId="NumPar4">
    <w:name w:val="NumPar 4"/>
    <w:basedOn w:val="Normal"/>
    <w:next w:val="Normal"/>
    <w:pPr>
      <w:numPr>
        <w:ilvl w:val="3"/>
        <w:numId w:val="36"/>
      </w:numPr>
      <w:spacing w:before="120" w:after="120"/>
      <w:jc w:val="both"/>
    </w:pPr>
  </w:style>
  <w:style w:type="paragraph" w:customStyle="1" w:styleId="Exposdesmotifstitre">
    <w:name w:val="Exposé des motifs titre"/>
    <w:basedOn w:val="Normal"/>
    <w:next w:val="Normal"/>
    <w:pPr>
      <w:spacing w:before="120" w:after="120"/>
      <w:jc w:val="center"/>
    </w:pPr>
    <w:rPr>
      <w:b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Statut">
    <w:name w:val="Statut"/>
    <w:basedOn w:val="Normal"/>
    <w:next w:val="Typedudocument"/>
    <w:pPr>
      <w:spacing w:before="360"/>
      <w:jc w:val="center"/>
    </w:pPr>
    <w:rPr>
      <w:rFonts w:eastAsia="Calibri"/>
      <w:szCs w:val="22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sz w:val="24"/>
      <w:szCs w:val="22"/>
      <w:lang w:eastAsia="da-DK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sz w:val="24"/>
      <w:szCs w:val="22"/>
      <w:lang w:eastAsia="da-DK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da-DK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120"/>
      <w:ind w:left="720" w:hanging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</w:numPr>
      <w:tabs>
        <w:tab w:val="num" w:pos="850"/>
      </w:tabs>
      <w:spacing w:before="120" w:after="120"/>
      <w:ind w:left="850" w:hanging="850"/>
      <w:jc w:val="both"/>
      <w:outlineLvl w:val="2"/>
    </w:pPr>
    <w:rPr>
      <w:rFonts w:ascii="Arial" w:hAnsi="Arial"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</w:numPr>
      <w:tabs>
        <w:tab w:val="num" w:pos="1030"/>
      </w:tabs>
      <w:spacing w:before="120" w:after="120"/>
      <w:ind w:left="1030" w:hanging="850"/>
      <w:jc w:val="both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</w:rPr>
  </w:style>
  <w:style w:type="paragraph" w:styleId="FootnoteText">
    <w:name w:val="footnote text"/>
    <w:basedOn w:val="Normal"/>
    <w:link w:val="FootnoteTextChar"/>
    <w:pPr>
      <w:ind w:left="720" w:hanging="720"/>
      <w:jc w:val="both"/>
    </w:pPr>
    <w:rPr>
      <w:sz w:val="20"/>
      <w:szCs w:val="20"/>
    </w:rPr>
  </w:style>
  <w:style w:type="paragraph" w:styleId="TOC1">
    <w:name w:val="toc 1"/>
    <w:basedOn w:val="Normal"/>
    <w:next w:val="Normal"/>
    <w:uiPriority w:val="39"/>
    <w:pPr>
      <w:spacing w:before="120" w:after="120"/>
    </w:pPr>
    <w:rPr>
      <w:b/>
      <w:bCs/>
      <w:caps/>
      <w:sz w:val="20"/>
      <w:szCs w:val="20"/>
    </w:rPr>
  </w:style>
  <w:style w:type="character" w:styleId="FootnoteReference">
    <w:name w:val="footnote reference"/>
    <w:aliases w:val="stylish,Footnote Reference Superscript,BVI fnr,Footnote symbol,Footnote symboFußnotenzeichen,Footnote sign,Footnote Reference Number,E FNZ,-E Fußnotenzeichen,Footnote#,Footnote,Times 10 Point,Exposant 3 Point,Ref,de nota al pie,SUPER"/>
    <w:rPr>
      <w:vertAlign w:val="superscript"/>
    </w:rPr>
  </w:style>
  <w:style w:type="paragraph" w:customStyle="1" w:styleId="Text1">
    <w:name w:val="Text 1"/>
    <w:basedOn w:val="Normal"/>
    <w:pPr>
      <w:spacing w:before="120" w:after="120"/>
      <w:ind w:left="850"/>
      <w:jc w:val="both"/>
    </w:pPr>
  </w:style>
  <w:style w:type="paragraph" w:customStyle="1" w:styleId="Tiret0">
    <w:name w:val="Tiret 0"/>
    <w:basedOn w:val="Normal"/>
    <w:pPr>
      <w:numPr>
        <w:numId w:val="1"/>
      </w:numPr>
      <w:spacing w:before="120" w:after="120"/>
      <w:jc w:val="both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Normal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</w:rPr>
  </w:style>
  <w:style w:type="paragraph" w:customStyle="1" w:styleId="ListDash">
    <w:name w:val="List Dash"/>
    <w:basedOn w:val="Normal"/>
    <w:link w:val="ListDashChar"/>
    <w:pPr>
      <w:numPr>
        <w:numId w:val="2"/>
      </w:numPr>
      <w:spacing w:before="120" w:after="120"/>
      <w:jc w:val="both"/>
    </w:pPr>
  </w:style>
  <w:style w:type="paragraph" w:styleId="TOCHeading">
    <w:name w:val="TOC Heading"/>
    <w:basedOn w:val="Normal"/>
    <w:next w:val="Normal"/>
    <w:qFormat/>
    <w:pPr>
      <w:spacing w:before="120" w:after="240"/>
      <w:jc w:val="center"/>
    </w:pPr>
    <w:rPr>
      <w:b/>
      <w:sz w:val="28"/>
    </w:r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b/>
    </w:rPr>
  </w:style>
  <w:style w:type="paragraph" w:customStyle="1" w:styleId="Prliminairetype">
    <w:name w:val="Préliminaire type"/>
    <w:basedOn w:val="Normal"/>
    <w:next w:val="Normal"/>
    <w:pPr>
      <w:spacing w:before="360"/>
      <w:jc w:val="center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120" w:after="120"/>
      <w:jc w:val="both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paragraph" w:customStyle="1" w:styleId="HeaderCoverPage">
    <w:name w:val="Header Cover Page"/>
    <w:basedOn w:val="Normal"/>
    <w:pPr>
      <w:tabs>
        <w:tab w:val="center" w:pos="4535"/>
        <w:tab w:val="right" w:pos="9071"/>
      </w:tabs>
      <w:spacing w:after="120"/>
      <w:jc w:val="both"/>
    </w:p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styleId="ListBullet">
    <w:name w:val="List Bullet"/>
    <w:basedOn w:val="Normal"/>
    <w:pPr>
      <w:numPr>
        <w:numId w:val="7"/>
      </w:numPr>
      <w:spacing w:before="120" w:after="120"/>
      <w:jc w:val="both"/>
    </w:pPr>
  </w:style>
  <w:style w:type="paragraph" w:customStyle="1" w:styleId="ListDash2">
    <w:name w:val="List Dash 2"/>
    <w:basedOn w:val="Normal"/>
    <w:pPr>
      <w:tabs>
        <w:tab w:val="num" w:pos="1134"/>
      </w:tabs>
      <w:spacing w:before="120" w:after="120"/>
      <w:ind w:left="1134" w:hanging="283"/>
      <w:jc w:val="both"/>
    </w:pPr>
  </w:style>
  <w:style w:type="paragraph" w:customStyle="1" w:styleId="ListBullet1">
    <w:name w:val="List Bullet 1"/>
    <w:basedOn w:val="Text1"/>
    <w:pPr>
      <w:numPr>
        <w:numId w:val="8"/>
      </w:numPr>
      <w:spacing w:before="0" w:after="240"/>
    </w:pPr>
    <w:rPr>
      <w:szCs w:val="20"/>
    </w:rPr>
  </w:style>
  <w:style w:type="paragraph" w:styleId="ListBullet2">
    <w:name w:val="List Bullet 2"/>
    <w:basedOn w:val="Normal"/>
    <w:pPr>
      <w:numPr>
        <w:numId w:val="14"/>
      </w:numPr>
      <w:spacing w:after="240"/>
      <w:jc w:val="both"/>
    </w:pPr>
    <w:rPr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u w:val="single"/>
    </w:rPr>
  </w:style>
  <w:style w:type="paragraph" w:customStyle="1" w:styleId="Typedudocument">
    <w:name w:val="Type du document"/>
    <w:basedOn w:val="Normal"/>
    <w:next w:val="Titreobjet"/>
    <w:pPr>
      <w:spacing w:before="360"/>
      <w:jc w:val="center"/>
    </w:pPr>
    <w:rPr>
      <w:b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Text2">
    <w:name w:val="Text 2"/>
    <w:basedOn w:val="Normal"/>
    <w:pPr>
      <w:spacing w:before="120" w:after="120"/>
      <w:ind w:left="85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pPr>
      <w:numPr>
        <w:numId w:val="28"/>
      </w:numPr>
      <w:spacing w:before="120" w:after="120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28"/>
      </w:numPr>
      <w:spacing w:before="120" w:after="120"/>
      <w:jc w:val="both"/>
    </w:pPr>
  </w:style>
  <w:style w:type="paragraph" w:customStyle="1" w:styleId="ListNumberLevel3">
    <w:name w:val="List Number (Level 3)"/>
    <w:basedOn w:val="Normal"/>
    <w:pPr>
      <w:numPr>
        <w:ilvl w:val="2"/>
        <w:numId w:val="28"/>
      </w:numPr>
      <w:spacing w:before="120" w:after="120"/>
      <w:jc w:val="both"/>
    </w:pPr>
  </w:style>
  <w:style w:type="paragraph" w:customStyle="1" w:styleId="ListNumberLevel4">
    <w:name w:val="List Number (Level 4)"/>
    <w:basedOn w:val="Normal"/>
    <w:pPr>
      <w:numPr>
        <w:ilvl w:val="3"/>
        <w:numId w:val="28"/>
      </w:numPr>
      <w:spacing w:before="120" w:after="120"/>
      <w:jc w:val="both"/>
    </w:pPr>
  </w:style>
  <w:style w:type="character" w:customStyle="1" w:styleId="ListDashChar">
    <w:name w:val="List Dash Char"/>
    <w:link w:val="ListDash"/>
    <w:rPr>
      <w:sz w:val="24"/>
      <w:szCs w:val="24"/>
      <w:lang w:eastAsia="da-DK"/>
    </w:rPr>
  </w:style>
  <w:style w:type="paragraph" w:customStyle="1" w:styleId="StyleManualHeading2Italic">
    <w:name w:val="Style Manual Heading 2 + Italic"/>
    <w:basedOn w:val="ManualHeading2"/>
    <w:autoRedefine/>
    <w:pPr>
      <w:spacing w:before="160" w:after="160"/>
      <w:ind w:left="851" w:hanging="851"/>
    </w:pPr>
    <w:rPr>
      <w:bCs/>
      <w:i/>
      <w:iCs/>
    </w:rPr>
  </w:style>
  <w:style w:type="character" w:customStyle="1" w:styleId="FootnoteTextChar">
    <w:name w:val="Footnote Text Char"/>
    <w:link w:val="FootnoteText"/>
    <w:rPr>
      <w:lang w:eastAsia="da-DK"/>
    </w:rPr>
  </w:style>
  <w:style w:type="paragraph" w:customStyle="1" w:styleId="NormalCentered">
    <w:name w:val="Normal Centered"/>
    <w:basedOn w:val="Normal"/>
    <w:pPr>
      <w:spacing w:before="120" w:after="120"/>
      <w:jc w:val="center"/>
    </w:pPr>
  </w:style>
  <w:style w:type="paragraph" w:customStyle="1" w:styleId="NormalRight">
    <w:name w:val="Normal Right"/>
    <w:basedOn w:val="Normal"/>
    <w:pPr>
      <w:spacing w:before="120" w:after="120"/>
      <w:jc w:val="right"/>
    </w:pPr>
  </w:style>
  <w:style w:type="paragraph" w:customStyle="1" w:styleId="NormalLeft">
    <w:name w:val="Normal Left"/>
    <w:basedOn w:val="Normal"/>
    <w:pPr>
      <w:spacing w:before="120" w:after="120"/>
    </w:pPr>
  </w:style>
  <w:style w:type="paragraph" w:customStyle="1" w:styleId="Point0number">
    <w:name w:val="Point 0 (number)"/>
    <w:basedOn w:val="Normal"/>
    <w:uiPriority w:val="99"/>
    <w:pPr>
      <w:numPr>
        <w:numId w:val="27"/>
      </w:numPr>
      <w:spacing w:before="120" w:after="120"/>
      <w:jc w:val="both"/>
    </w:pPr>
  </w:style>
  <w:style w:type="paragraph" w:customStyle="1" w:styleId="Point1number">
    <w:name w:val="Point 1 (number)"/>
    <w:basedOn w:val="Normal"/>
    <w:uiPriority w:val="99"/>
    <w:pPr>
      <w:numPr>
        <w:ilvl w:val="2"/>
        <w:numId w:val="27"/>
      </w:numPr>
      <w:spacing w:before="120" w:after="120"/>
      <w:jc w:val="both"/>
    </w:pPr>
  </w:style>
  <w:style w:type="paragraph" w:customStyle="1" w:styleId="Point2number">
    <w:name w:val="Point 2 (number)"/>
    <w:basedOn w:val="Normal"/>
    <w:uiPriority w:val="99"/>
    <w:pPr>
      <w:numPr>
        <w:ilvl w:val="4"/>
        <w:numId w:val="27"/>
      </w:numPr>
      <w:spacing w:before="120" w:after="120"/>
      <w:jc w:val="both"/>
    </w:pPr>
  </w:style>
  <w:style w:type="paragraph" w:customStyle="1" w:styleId="Point3number">
    <w:name w:val="Point 3 (number)"/>
    <w:basedOn w:val="Normal"/>
    <w:uiPriority w:val="99"/>
    <w:pPr>
      <w:numPr>
        <w:ilvl w:val="6"/>
        <w:numId w:val="27"/>
      </w:numPr>
      <w:spacing w:before="120" w:after="120"/>
      <w:jc w:val="both"/>
    </w:pPr>
  </w:style>
  <w:style w:type="paragraph" w:customStyle="1" w:styleId="Point0letter">
    <w:name w:val="Point 0 (letter)"/>
    <w:basedOn w:val="Normal"/>
    <w:uiPriority w:val="99"/>
    <w:pPr>
      <w:numPr>
        <w:ilvl w:val="1"/>
        <w:numId w:val="27"/>
      </w:numPr>
      <w:spacing w:before="120" w:after="120"/>
      <w:jc w:val="both"/>
    </w:pPr>
  </w:style>
  <w:style w:type="paragraph" w:customStyle="1" w:styleId="Point1letter">
    <w:name w:val="Point 1 (letter)"/>
    <w:basedOn w:val="Normal"/>
    <w:uiPriority w:val="99"/>
    <w:pPr>
      <w:numPr>
        <w:ilvl w:val="3"/>
        <w:numId w:val="27"/>
      </w:numPr>
      <w:spacing w:before="120" w:after="120"/>
      <w:jc w:val="both"/>
    </w:pPr>
  </w:style>
  <w:style w:type="paragraph" w:customStyle="1" w:styleId="Point2letter">
    <w:name w:val="Point 2 (letter)"/>
    <w:basedOn w:val="Normal"/>
    <w:uiPriority w:val="99"/>
    <w:pPr>
      <w:numPr>
        <w:ilvl w:val="5"/>
        <w:numId w:val="27"/>
      </w:numPr>
      <w:spacing w:before="120" w:after="120"/>
      <w:jc w:val="both"/>
    </w:pPr>
  </w:style>
  <w:style w:type="paragraph" w:customStyle="1" w:styleId="Point3letter">
    <w:name w:val="Point 3 (letter)"/>
    <w:basedOn w:val="Normal"/>
    <w:uiPriority w:val="99"/>
    <w:pPr>
      <w:numPr>
        <w:ilvl w:val="7"/>
        <w:numId w:val="27"/>
      </w:numPr>
      <w:spacing w:before="120" w:after="120"/>
      <w:jc w:val="both"/>
    </w:pPr>
  </w:style>
  <w:style w:type="paragraph" w:customStyle="1" w:styleId="Point4letter">
    <w:name w:val="Point 4 (letter)"/>
    <w:basedOn w:val="Normal"/>
    <w:uiPriority w:val="99"/>
    <w:pPr>
      <w:numPr>
        <w:ilvl w:val="8"/>
        <w:numId w:val="27"/>
      </w:numPr>
      <w:spacing w:before="120" w:after="120"/>
      <w:jc w:val="both"/>
    </w:pPr>
  </w:style>
  <w:style w:type="paragraph" w:customStyle="1" w:styleId="NumPar1">
    <w:name w:val="NumPar 1"/>
    <w:basedOn w:val="Normal"/>
    <w:next w:val="Text1"/>
    <w:pPr>
      <w:numPr>
        <w:numId w:val="36"/>
      </w:numPr>
      <w:spacing w:before="120" w:after="120"/>
      <w:jc w:val="both"/>
    </w:pPr>
  </w:style>
  <w:style w:type="paragraph" w:customStyle="1" w:styleId="NumPar2">
    <w:name w:val="NumPar 2"/>
    <w:basedOn w:val="Normal"/>
    <w:next w:val="Normal"/>
    <w:pPr>
      <w:numPr>
        <w:ilvl w:val="1"/>
        <w:numId w:val="36"/>
      </w:numPr>
      <w:spacing w:before="120" w:after="120"/>
      <w:jc w:val="both"/>
    </w:pPr>
  </w:style>
  <w:style w:type="paragraph" w:customStyle="1" w:styleId="NumPar3">
    <w:name w:val="NumPar 3"/>
    <w:basedOn w:val="Normal"/>
    <w:next w:val="Normal"/>
    <w:pPr>
      <w:numPr>
        <w:ilvl w:val="2"/>
        <w:numId w:val="36"/>
      </w:numPr>
      <w:spacing w:before="120" w:after="120"/>
      <w:jc w:val="both"/>
    </w:pPr>
  </w:style>
  <w:style w:type="paragraph" w:customStyle="1" w:styleId="NumPar4">
    <w:name w:val="NumPar 4"/>
    <w:basedOn w:val="Normal"/>
    <w:next w:val="Normal"/>
    <w:pPr>
      <w:numPr>
        <w:ilvl w:val="3"/>
        <w:numId w:val="36"/>
      </w:numPr>
      <w:spacing w:before="120" w:after="120"/>
      <w:jc w:val="both"/>
    </w:pPr>
  </w:style>
  <w:style w:type="paragraph" w:customStyle="1" w:styleId="Exposdesmotifstitre">
    <w:name w:val="Exposé des motifs titre"/>
    <w:basedOn w:val="Normal"/>
    <w:next w:val="Normal"/>
    <w:pPr>
      <w:spacing w:before="120" w:after="120"/>
      <w:jc w:val="center"/>
    </w:pPr>
    <w:rPr>
      <w:b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Statut">
    <w:name w:val="Statut"/>
    <w:basedOn w:val="Normal"/>
    <w:next w:val="Typedudocument"/>
    <w:pPr>
      <w:spacing w:before="360"/>
      <w:jc w:val="center"/>
    </w:pPr>
    <w:rPr>
      <w:rFonts w:eastAsia="Calibri"/>
      <w:szCs w:val="22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sz w:val="24"/>
      <w:szCs w:val="22"/>
      <w:lang w:eastAsia="da-DK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sz w:val="24"/>
      <w:szCs w:val="22"/>
      <w:lang w:eastAsia="da-DK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budget/www/index-da.htm" TargetMode="Externa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760E-497E-45D2-8111-C72C1B32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1090</Words>
  <Characters>5475</Characters>
  <Application>Microsoft Office Word</Application>
  <DocSecurity>0</DocSecurity>
  <Lines>273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6331</CharactersWithSpaces>
  <SharedDoc>false</SharedDoc>
  <HLinks>
    <vt:vector size="6" baseType="variant">
      <vt:variant>
        <vt:i4>5046279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http://eur-lex.europa.eu/budget/www/index-en.htm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20</cp:revision>
  <cp:lastPrinted>2019-04-01T14:47:00Z</cp:lastPrinted>
  <dcterms:created xsi:type="dcterms:W3CDTF">2019-04-11T12:14:00Z</dcterms:created>
  <dcterms:modified xsi:type="dcterms:W3CDTF">2019-04-29T12:19:00Z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Level of sensitivity">
    <vt:lpwstr>Standard treatment</vt:lpwstr>
  </property>
  <property fmtid="{D5CDD505-2E9C-101B-9397-08002B2CF9AE}" pid="6" name="Last edited using">
    <vt:lpwstr>LW 6.0.1, Build 20180503</vt:lpwstr>
  </property>
  <property fmtid="{D5CDD505-2E9C-101B-9397-08002B2CF9AE}" pid="7" name="Created using">
    <vt:lpwstr>LW 6.0.1, Build 20180503</vt:lpwstr>
  </property>
</Properties>
</file>