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F790B8D-EF30-4A84-98C8-6AEDE47750F3" style="width:450.75pt;height:42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ANEXO </w:t>
      </w:r>
    </w:p>
    <w:p>
      <w:pPr>
        <w:jc w:val="center"/>
        <w:rPr>
          <w:b/>
          <w:noProof/>
          <w:u w:val="single"/>
        </w:rPr>
      </w:pPr>
    </w:p>
    <w:p>
      <w:pPr>
        <w:jc w:val="center"/>
        <w:rPr>
          <w:b/>
          <w:noProof/>
        </w:rPr>
      </w:pPr>
      <w:r>
        <w:rPr>
          <w:b/>
          <w:noProof/>
        </w:rPr>
        <w:t>Projeto de</w:t>
      </w:r>
    </w:p>
    <w:p>
      <w:pPr>
        <w:jc w:val="center"/>
        <w:rPr>
          <w:b/>
          <w:noProof/>
        </w:rPr>
      </w:pPr>
      <w:r>
        <w:rPr>
          <w:b/>
          <w:noProof/>
        </w:rPr>
        <w:t>DECISÃO N.º …/2018 DO COMITÉ DE COOPERAÇÃO UE-SÃO MARINHO</w:t>
      </w:r>
    </w:p>
    <w:p>
      <w:pPr>
        <w:jc w:val="center"/>
        <w:rPr>
          <w:b/>
          <w:noProof/>
        </w:rPr>
      </w:pPr>
      <w:r>
        <w:rPr>
          <w:b/>
          <w:noProof/>
        </w:rPr>
        <w:t>de XX YY de 2018</w:t>
      </w:r>
    </w:p>
    <w:p>
      <w:pPr>
        <w:jc w:val="center"/>
        <w:rPr>
          <w:b/>
          <w:noProof/>
        </w:rPr>
      </w:pPr>
      <w:r>
        <w:rPr>
          <w:b/>
          <w:noProof/>
        </w:rPr>
        <w:t xml:space="preserve">relativa às disposições aplicáveis à produção biológica e à rotulagem dos produtos biológicos, e ao regime de importação de produtos biológicos, adotada ao abrigo do Acordo de Cooperação e de União Aduaneira entre a Comunidade Económica Europeia e a República de São Marinho </w:t>
      </w:r>
    </w:p>
    <w:p>
      <w:pPr>
        <w:keepNext/>
        <w:spacing w:before="600"/>
        <w:rPr>
          <w:noProof/>
        </w:rPr>
      </w:pPr>
      <w:r>
        <w:rPr>
          <w:noProof/>
        </w:rPr>
        <w:t>O COMITÉ DE COOPERAÇÃO UE-SÃO MARINHO,</w:t>
      </w:r>
    </w:p>
    <w:p>
      <w:pPr>
        <w:rPr>
          <w:noProof/>
        </w:rPr>
      </w:pPr>
      <w:r>
        <w:rPr>
          <w:noProof/>
        </w:rPr>
        <w:t>Tendo em conta o Acordo de Cooperação e de União Aduaneira entre a Comunidade Económica Europeia e a República de São Marinho</w:t>
      </w:r>
      <w:r>
        <w:rPr>
          <w:rStyle w:val="FootnoteReference"/>
          <w:noProof/>
        </w:rPr>
        <w:footnoteReference w:id="1"/>
      </w:r>
      <w:r>
        <w:rPr>
          <w:noProof/>
        </w:rPr>
        <w:t>, nomeadamente o artigo 7.º, n.º 2, o artigo 8.º, n.º 3, alínea c), e o artigo 23.º, n.º 1,</w:t>
      </w:r>
    </w:p>
    <w:p>
      <w:pPr>
        <w:rPr>
          <w:noProof/>
        </w:rPr>
      </w:pPr>
      <w:r>
        <w:rPr>
          <w:noProof/>
        </w:rPr>
        <w:t>Considerando o seguinte:</w:t>
      </w:r>
    </w:p>
    <w:p>
      <w:pPr>
        <w:ind w:left="709" w:hanging="709"/>
        <w:rPr>
          <w:noProof/>
        </w:rPr>
      </w:pPr>
      <w:r>
        <w:rPr>
          <w:noProof/>
        </w:rPr>
        <w:t>1)</w:t>
      </w:r>
      <w:r>
        <w:rPr>
          <w:noProof/>
        </w:rPr>
        <w:tab/>
        <w:t xml:space="preserve">O artigo 6.º, n.º 4, do Acordo de Cooperação e de União Aduaneira entre a Comunidade Económica Europeia e a República de São Marinho («o acordo») prevê que, no domínio das trocas de produtos agrícolas entre a União e a República de São Marinho, a República de São Marinho compromete-se a aplicar a regulamentação da União em matéria de qualidade na medida necessária para o bom funcionamento do acordo. </w:t>
      </w:r>
    </w:p>
    <w:p>
      <w:pPr>
        <w:ind w:left="709" w:hanging="709"/>
        <w:rPr>
          <w:noProof/>
        </w:rPr>
      </w:pPr>
      <w:r>
        <w:rPr>
          <w:noProof/>
        </w:rPr>
        <w:t>2)</w:t>
      </w:r>
      <w:r>
        <w:rPr>
          <w:noProof/>
        </w:rPr>
        <w:tab/>
        <w:t>Em conformidade com o disposto no artigo 7.º, n.º 1, quinto travessão, do acordo, a República de São Marinho deve aplicar, no que diz respeito aos países que não são membros da União («países terceiros»), a legislação da União em matéria de qualidade, na medida necessária para o bom funcionamento do acordo.</w:t>
      </w:r>
    </w:p>
    <w:p>
      <w:pPr>
        <w:ind w:left="709" w:hanging="709"/>
        <w:rPr>
          <w:noProof/>
        </w:rPr>
      </w:pPr>
      <w:r>
        <w:rPr>
          <w:noProof/>
        </w:rPr>
        <w:t>3)</w:t>
      </w:r>
      <w:r>
        <w:rPr>
          <w:noProof/>
        </w:rPr>
        <w:tab/>
        <w:t xml:space="preserve">A fim de evitar obstáculos à livre circulação das mercadorias e assegurar o bom funcionamento da união aduaneira estabelecida pelo acordo, é conveniente precisar as disposições da legislação da União em matéria de qualidade aplicáveis à produção biológica e à rotulagem dos produtos biológicos. </w:t>
      </w:r>
    </w:p>
    <w:p>
      <w:pPr>
        <w:ind w:left="709" w:hanging="709"/>
        <w:rPr>
          <w:noProof/>
        </w:rPr>
      </w:pPr>
      <w:r>
        <w:rPr>
          <w:noProof/>
        </w:rPr>
        <w:t>4)</w:t>
      </w:r>
      <w:r>
        <w:rPr>
          <w:noProof/>
        </w:rPr>
        <w:tab/>
        <w:t xml:space="preserve">A fim de assegurar a conformidade com a legislação da União no que respeita às importações de produtos biológicos de países terceiros para a República de São Marinho, é necessário estabelecer as disposições pertinentes a aplicar pelas suas autoridades nacionais.   </w:t>
      </w:r>
    </w:p>
    <w:p>
      <w:pPr>
        <w:ind w:left="709" w:hanging="709"/>
        <w:rPr>
          <w:noProof/>
        </w:rPr>
      </w:pPr>
      <w:r>
        <w:rPr>
          <w:noProof/>
        </w:rPr>
        <w:t>5)</w:t>
      </w:r>
      <w:r>
        <w:rPr>
          <w:noProof/>
        </w:rPr>
        <w:tab/>
        <w:t xml:space="preserve"> A fim de assegurar a conformidade com a legislação da União no que respeita aos produtos biológicos preparados ou produzidos na República de São Marinho, é igualmente necessário estabelecer as disposições pertinentes. </w:t>
      </w:r>
    </w:p>
    <w:p>
      <w:pPr>
        <w:ind w:left="709" w:hanging="709"/>
        <w:rPr>
          <w:noProof/>
        </w:rPr>
      </w:pPr>
      <w:r>
        <w:rPr>
          <w:noProof/>
        </w:rPr>
        <w:t>6)</w:t>
      </w:r>
      <w:r>
        <w:rPr>
          <w:noProof/>
        </w:rPr>
        <w:tab/>
        <w:t>É também conveniente prever um procedimento a seguir caso seja adotada nova legislação da União em matéria de produção biológica e de rotulagem de produtos biológicos que afete as referências às disposições e modalidades estabelecidas na presente decisão,</w:t>
      </w:r>
    </w:p>
    <w:p>
      <w:pPr>
        <w:ind w:left="709" w:hanging="709"/>
        <w:rPr>
          <w:noProof/>
        </w:rPr>
      </w:pPr>
      <w:r>
        <w:rPr>
          <w:noProof/>
        </w:rPr>
        <w:tab/>
        <w:t>ADOTOU A PRESENTE DECISÃO:</w:t>
      </w:r>
    </w:p>
    <w:p>
      <w:pPr>
        <w:keepNext/>
        <w:spacing w:before="360"/>
        <w:jc w:val="center"/>
        <w:rPr>
          <w:i/>
          <w:noProof/>
        </w:rPr>
      </w:pPr>
      <w:r>
        <w:rPr>
          <w:i/>
          <w:noProof/>
        </w:rPr>
        <w:t>Artigo 1.º</w:t>
      </w:r>
    </w:p>
    <w:p>
      <w:pPr>
        <w:keepNext/>
        <w:spacing w:before="360"/>
        <w:rPr>
          <w:noProof/>
        </w:rPr>
      </w:pPr>
      <w:r>
        <w:rPr>
          <w:noProof/>
        </w:rPr>
        <w:t>As disposições aplicáveis da legislação da União em matéria de produção biológica e de rotulagem de produtos biológicos são enumeradas no anexo A.</w:t>
      </w:r>
    </w:p>
    <w:p>
      <w:pPr>
        <w:keepNext/>
        <w:spacing w:before="360"/>
        <w:ind w:left="720" w:hanging="720"/>
        <w:jc w:val="center"/>
        <w:rPr>
          <w:i/>
          <w:noProof/>
        </w:rPr>
      </w:pPr>
      <w:r>
        <w:rPr>
          <w:i/>
          <w:noProof/>
        </w:rPr>
        <w:t>Artigo 2.º</w:t>
      </w:r>
    </w:p>
    <w:p>
      <w:pPr>
        <w:spacing w:before="150" w:after="150"/>
        <w:ind w:right="527"/>
        <w:rPr>
          <w:noProof/>
        </w:rPr>
      </w:pPr>
      <w:r>
        <w:rPr>
          <w:noProof/>
          <w:color w:val="000000"/>
          <w:szCs w:val="24"/>
        </w:rPr>
        <w:t>As disposições necessárias para garantir a conformidade com a legislação da União referida no artigo 1.º no que respeita às importações de produtos biológicos de países terceiros para a República de São Marinho são estabelecidas no anexo B.</w:t>
      </w:r>
    </w:p>
    <w:p>
      <w:pPr>
        <w:spacing w:before="150" w:after="150"/>
        <w:ind w:left="225" w:right="525"/>
        <w:jc w:val="center"/>
        <w:rPr>
          <w:rFonts w:eastAsia="Times New Roman"/>
          <w:i/>
          <w:noProof/>
          <w:color w:val="000000"/>
          <w:szCs w:val="24"/>
        </w:rPr>
      </w:pPr>
      <w:r>
        <w:rPr>
          <w:i/>
          <w:noProof/>
          <w:color w:val="000000"/>
          <w:szCs w:val="24"/>
        </w:rPr>
        <w:t>Artigo 3.º</w:t>
      </w:r>
    </w:p>
    <w:p>
      <w:pPr>
        <w:spacing w:before="150" w:after="150"/>
        <w:ind w:right="525"/>
        <w:rPr>
          <w:rFonts w:eastAsia="Times New Roman"/>
          <w:noProof/>
          <w:color w:val="000000"/>
          <w:szCs w:val="24"/>
        </w:rPr>
      </w:pPr>
      <w:r>
        <w:rPr>
          <w:noProof/>
        </w:rPr>
        <w:t xml:space="preserve">As disposições necessárias para garantir a conformidade com a legislação da União referida no artigo 1.º no que respeita às importações de produtos biológicos preparados ou produzidos na República de São Marinho são estabelecidas no anexo C. </w:t>
      </w:r>
    </w:p>
    <w:p>
      <w:pPr>
        <w:spacing w:before="150" w:after="150"/>
        <w:ind w:left="225" w:right="525"/>
        <w:jc w:val="center"/>
        <w:rPr>
          <w:rFonts w:eastAsia="Times New Roman"/>
          <w:i/>
          <w:noProof/>
          <w:color w:val="000000"/>
          <w:szCs w:val="24"/>
        </w:rPr>
      </w:pPr>
      <w:r>
        <w:rPr>
          <w:i/>
          <w:noProof/>
          <w:color w:val="000000"/>
          <w:szCs w:val="24"/>
        </w:rPr>
        <w:t>Artigo 4.º</w:t>
      </w:r>
    </w:p>
    <w:p>
      <w:pPr>
        <w:spacing w:before="150" w:after="150"/>
        <w:ind w:right="525"/>
        <w:rPr>
          <w:noProof/>
        </w:rPr>
      </w:pPr>
      <w:r>
        <w:rPr>
          <w:noProof/>
        </w:rPr>
        <w:t xml:space="preserve">As alterações dos anexos A, B e C, bem como outras disposições práticas necessárias para a aplicação da legislação referida nesses anexos, devem ser acordadas pelos serviços da Comissão Europeia e pelas autoridades da República de São Marinho.   </w:t>
      </w:r>
    </w:p>
    <w:p>
      <w:pPr>
        <w:keepNext/>
        <w:spacing w:before="360"/>
        <w:jc w:val="center"/>
        <w:rPr>
          <w:i/>
          <w:noProof/>
        </w:rPr>
      </w:pPr>
      <w:r>
        <w:rPr>
          <w:i/>
          <w:noProof/>
        </w:rPr>
        <w:t>Artigo 5.º</w:t>
      </w:r>
    </w:p>
    <w:p>
      <w:pPr>
        <w:rPr>
          <w:noProof/>
          <w:vertAlign w:val="superscript"/>
        </w:rPr>
      </w:pPr>
      <w:r>
        <w:rPr>
          <w:noProof/>
        </w:rPr>
        <w:t xml:space="preserve">A presente decisão entra em vigor no dia da sua adoção. </w:t>
      </w:r>
    </w:p>
    <w:p>
      <w:pPr>
        <w:keepNext/>
        <w:spacing w:after="0"/>
        <w:rPr>
          <w:noProof/>
        </w:rPr>
      </w:pPr>
      <w:r>
        <w:rPr>
          <w:noProof/>
        </w:rPr>
        <w:t>Feito em Bruxelas, em XX de XX de 2018.</w:t>
      </w:r>
    </w:p>
    <w:p>
      <w:pPr>
        <w:keepNext/>
        <w:tabs>
          <w:tab w:val="left" w:pos="4252"/>
        </w:tabs>
        <w:spacing w:before="720" w:after="0"/>
        <w:rPr>
          <w:i/>
          <w:noProof/>
        </w:rPr>
      </w:pPr>
      <w:r>
        <w:rPr>
          <w:i/>
          <w:noProof/>
        </w:rPr>
        <w:tab/>
        <w:t>Pelo Comité de Cooperação</w:t>
      </w:r>
    </w:p>
    <w:p>
      <w:pPr>
        <w:tabs>
          <w:tab w:val="left" w:pos="4252"/>
        </w:tabs>
        <w:spacing w:before="0" w:after="0"/>
        <w:ind w:left="2880"/>
        <w:jc w:val="left"/>
        <w:rPr>
          <w:i/>
          <w:noProof/>
        </w:rPr>
      </w:pPr>
      <w:r>
        <w:rPr>
          <w:i/>
          <w:noProof/>
        </w:rPr>
        <w:tab/>
        <w:t xml:space="preserve">O Presidente </w:t>
      </w:r>
      <w:r>
        <w:rPr>
          <w:i/>
          <w:noProof/>
        </w:rPr>
        <w:br/>
      </w:r>
    </w:p>
    <w:p>
      <w:pPr>
        <w:tabs>
          <w:tab w:val="left" w:pos="4252"/>
        </w:tabs>
        <w:spacing w:before="0" w:after="0"/>
        <w:jc w:val="left"/>
        <w:rPr>
          <w:i/>
          <w:noProof/>
        </w:rPr>
      </w:pPr>
      <w:r>
        <w:rPr>
          <w:i/>
          <w:noProof/>
        </w:rPr>
        <w:br/>
      </w:r>
    </w:p>
    <w:p>
      <w:pPr>
        <w:spacing w:before="0" w:after="200" w:line="276" w:lineRule="auto"/>
        <w:jc w:val="left"/>
        <w:rPr>
          <w:i/>
          <w:noProof/>
        </w:rPr>
      </w:pPr>
      <w:r>
        <w:rPr>
          <w:noProof/>
        </w:rPr>
        <w:br w:type="page"/>
      </w:r>
    </w:p>
    <w:p>
      <w:pPr>
        <w:jc w:val="center"/>
        <w:rPr>
          <w:b/>
          <w:noProof/>
        </w:rPr>
      </w:pPr>
      <w:r>
        <w:rPr>
          <w:b/>
          <w:noProof/>
        </w:rPr>
        <w:t>ANEXO A</w:t>
      </w:r>
    </w:p>
    <w:p>
      <w:pPr>
        <w:jc w:val="center"/>
        <w:rPr>
          <w:b/>
          <w:noProof/>
        </w:rPr>
      </w:pPr>
      <w:r>
        <w:rPr>
          <w:b/>
          <w:noProof/>
        </w:rPr>
        <w:t xml:space="preserve">LISTA DAS DISPOSIÇÕES APLICÁVEIS À PRODUÇÃO BIOLÓGICA E À ROTULAGEM DE PRODUTOS BIOLÓGICOS  </w:t>
      </w:r>
    </w:p>
    <w:p>
      <w:pPr>
        <w:autoSpaceDE w:val="0"/>
        <w:autoSpaceDN w:val="0"/>
        <w:adjustRightInd w:val="0"/>
        <w:spacing w:before="0" w:after="0"/>
        <w:rPr>
          <w:b/>
          <w:noProof/>
        </w:rPr>
      </w:pPr>
    </w:p>
    <w:p>
      <w:pPr>
        <w:rPr>
          <w:rFonts w:eastAsia="Times New Roman"/>
          <w:noProof/>
          <w:szCs w:val="24"/>
        </w:rPr>
      </w:pPr>
      <w:r>
        <w:rPr>
          <w:noProof/>
        </w:rPr>
        <w:t>Regulamento (CE) n.º 834/2007 do Conselho, de 28 de junho de 2007, relativo à produção biológica e à rotulagem dos produtos biológicos e que revoga o Regulamento (CEE) n.º 2092/91 (JO L 189 de 20.7.2007, p. 1), com a redação que lhe foi dada por:</w:t>
      </w:r>
    </w:p>
    <w:p>
      <w:pPr>
        <w:ind w:left="1417" w:hanging="567"/>
        <w:rPr>
          <w:noProof/>
        </w:rPr>
      </w:pPr>
      <w:r>
        <w:rPr>
          <w:noProof/>
        </w:rPr>
        <w:t>-</w:t>
      </w:r>
      <w:r>
        <w:rPr>
          <w:noProof/>
        </w:rPr>
        <w:tab/>
        <w:t xml:space="preserve">Regulamento (CE) n.º 967/2008 do Conselho, de 29 de setembro de 2008 (JO L 264 de 3.10.2008, p. 1), </w:t>
      </w:r>
    </w:p>
    <w:p>
      <w:pPr>
        <w:ind w:left="1417" w:hanging="567"/>
        <w:rPr>
          <w:rFonts w:eastAsia="Times New Roman"/>
          <w:noProof/>
          <w:szCs w:val="24"/>
        </w:rPr>
      </w:pPr>
      <w:r>
        <w:rPr>
          <w:noProof/>
        </w:rPr>
        <w:t>-</w:t>
      </w:r>
      <w:r>
        <w:rPr>
          <w:noProof/>
        </w:rPr>
        <w:tab/>
        <w:t>Regulamento (UE) n.º 517/2013 do Conselho, de 13 de maio de 2013 (JO L 158 de 10.6.2013, p. 1).</w:t>
      </w:r>
    </w:p>
    <w:p>
      <w:pPr>
        <w:rPr>
          <w:rFonts w:eastAsia="Times New Roman"/>
          <w:noProof/>
          <w:szCs w:val="24"/>
        </w:rPr>
      </w:pPr>
      <w:r>
        <w:rPr>
          <w:noProof/>
        </w:rPr>
        <w:t>Regulamento (CE) n.º 889/2008 da Comissão, de 5 de setembro de 2008, que estabelece normas de execução do Regulamento (CE) n.º 834/2007 do Conselho relativo à produção biológica e à rotulagem dos produtos biológicos, no que respeita à produção biológica, à rotulagem e ao controlo (JO L 250 de 18.9.2008, p. 1), com a redação que lhe foi dada por:</w:t>
      </w:r>
    </w:p>
    <w:p>
      <w:pPr>
        <w:ind w:left="1984" w:hanging="567"/>
        <w:rPr>
          <w:rFonts w:eastAsia="Times New Roman"/>
          <w:noProof/>
          <w:szCs w:val="24"/>
        </w:rPr>
      </w:pPr>
      <w:r>
        <w:rPr>
          <w:noProof/>
        </w:rPr>
        <w:t>-</w:t>
      </w:r>
      <w:r>
        <w:rPr>
          <w:noProof/>
        </w:rPr>
        <w:tab/>
        <w:t>Regulamento (CE) n.º 1254/2008 da Comissão, de 15 de dezembro de 2008 (JO L 337 de 16.12.2008, p. 80),</w:t>
      </w:r>
    </w:p>
    <w:p>
      <w:pPr>
        <w:ind w:left="1984" w:hanging="567"/>
        <w:rPr>
          <w:rFonts w:eastAsia="Times New Roman"/>
          <w:noProof/>
          <w:szCs w:val="24"/>
        </w:rPr>
      </w:pPr>
      <w:r>
        <w:rPr>
          <w:noProof/>
        </w:rPr>
        <w:t>-</w:t>
      </w:r>
      <w:r>
        <w:rPr>
          <w:noProof/>
        </w:rPr>
        <w:tab/>
        <w:t>Regulamento (CE) n.º 710/2009 da Comissão, de 5 de agosto de 2009 (JO L 204 de 6.8.2009, p. 15),</w:t>
      </w:r>
    </w:p>
    <w:p>
      <w:pPr>
        <w:ind w:left="1984" w:hanging="567"/>
        <w:rPr>
          <w:rFonts w:eastAsia="Times New Roman"/>
          <w:noProof/>
          <w:szCs w:val="24"/>
        </w:rPr>
      </w:pPr>
      <w:r>
        <w:rPr>
          <w:noProof/>
        </w:rPr>
        <w:t>-</w:t>
      </w:r>
      <w:r>
        <w:rPr>
          <w:noProof/>
        </w:rPr>
        <w:tab/>
        <w:t>Regulamento (UE) n.º 271/2010 da Comissão, de 24 de março de 2010 (JO L 84 de 31.3.2010, p. 19),</w:t>
      </w:r>
    </w:p>
    <w:p>
      <w:pPr>
        <w:ind w:left="1984" w:hanging="567"/>
        <w:rPr>
          <w:rFonts w:eastAsia="Times New Roman"/>
          <w:noProof/>
          <w:szCs w:val="24"/>
        </w:rPr>
      </w:pPr>
      <w:r>
        <w:rPr>
          <w:noProof/>
        </w:rPr>
        <w:t>-</w:t>
      </w:r>
      <w:r>
        <w:rPr>
          <w:noProof/>
        </w:rPr>
        <w:tab/>
        <w:t>Regulamento de Execução (UE) n.º 344/2011 da Comissão, de 8 de abril de 2011 (JO L 96 de 9.4.2011, p. 15),</w:t>
      </w:r>
    </w:p>
    <w:p>
      <w:pPr>
        <w:ind w:left="1984" w:hanging="567"/>
        <w:rPr>
          <w:rFonts w:eastAsia="Times New Roman"/>
          <w:noProof/>
          <w:szCs w:val="24"/>
        </w:rPr>
      </w:pPr>
      <w:r>
        <w:rPr>
          <w:noProof/>
        </w:rPr>
        <w:t>-</w:t>
      </w:r>
      <w:r>
        <w:rPr>
          <w:noProof/>
        </w:rPr>
        <w:tab/>
        <w:t>Regulamento de Execução (UE) n.º 426/2011 da Comissão, de 2 de maio de 2011 (JO L 113 de 3.5.2011, p. 1),</w:t>
      </w:r>
    </w:p>
    <w:p>
      <w:pPr>
        <w:ind w:left="1984" w:hanging="567"/>
        <w:rPr>
          <w:rFonts w:eastAsia="Times New Roman"/>
          <w:noProof/>
          <w:szCs w:val="24"/>
        </w:rPr>
      </w:pPr>
      <w:r>
        <w:rPr>
          <w:noProof/>
        </w:rPr>
        <w:t>-</w:t>
      </w:r>
      <w:r>
        <w:rPr>
          <w:noProof/>
        </w:rPr>
        <w:tab/>
        <w:t>Regulamento de Execução (UE) n.º 126/2012 da Comissão, de 14 de fevereiro de 2012 (JO L 41 de 15.2.2012, p. 5),</w:t>
      </w:r>
    </w:p>
    <w:p>
      <w:pPr>
        <w:ind w:left="1984" w:hanging="566"/>
        <w:rPr>
          <w:rFonts w:eastAsia="Times New Roman"/>
          <w:noProof/>
          <w:szCs w:val="24"/>
        </w:rPr>
      </w:pPr>
      <w:r>
        <w:rPr>
          <w:noProof/>
        </w:rPr>
        <w:t xml:space="preserve">- </w:t>
      </w:r>
      <w:r>
        <w:rPr>
          <w:noProof/>
        </w:rPr>
        <w:tab/>
        <w:t>Regulamento de Execução (UE) n.º 203/2012 da Comissão, de 8 de março de 2012 (JO L 71 de 9.3.2012, p. 42),</w:t>
      </w:r>
    </w:p>
    <w:p>
      <w:pPr>
        <w:ind w:left="1984" w:hanging="566"/>
        <w:rPr>
          <w:rFonts w:eastAsia="Times New Roman"/>
          <w:noProof/>
          <w:szCs w:val="24"/>
        </w:rPr>
      </w:pPr>
      <w:r>
        <w:rPr>
          <w:noProof/>
        </w:rPr>
        <w:t>-</w:t>
      </w:r>
      <w:r>
        <w:rPr>
          <w:noProof/>
        </w:rPr>
        <w:tab/>
        <w:t xml:space="preserve">Regulamento de Execução (UE) n.º 505/2012 da Comissão, de 14 de junho de 2012 (JO L 154 de 15.6.2012, p. 12), </w:t>
      </w:r>
    </w:p>
    <w:p>
      <w:pPr>
        <w:ind w:left="1984" w:hanging="567"/>
        <w:rPr>
          <w:rFonts w:eastAsia="Times New Roman"/>
          <w:noProof/>
          <w:szCs w:val="24"/>
        </w:rPr>
      </w:pPr>
      <w:r>
        <w:rPr>
          <w:noProof/>
        </w:rPr>
        <w:t>-</w:t>
      </w:r>
      <w:r>
        <w:rPr>
          <w:noProof/>
        </w:rPr>
        <w:tab/>
        <w:t xml:space="preserve">Regulamento de Execução (UE) n.º 392/2013 da Comissão, de 29 de abril de 2013 (JO L 118 de 30.4.2013, p. 5), </w:t>
      </w:r>
    </w:p>
    <w:p>
      <w:pPr>
        <w:ind w:left="1984" w:hanging="567"/>
        <w:rPr>
          <w:rFonts w:eastAsia="Times New Roman"/>
          <w:noProof/>
          <w:szCs w:val="24"/>
        </w:rPr>
      </w:pPr>
      <w:r>
        <w:rPr>
          <w:noProof/>
        </w:rPr>
        <w:t>-</w:t>
      </w:r>
      <w:r>
        <w:rPr>
          <w:noProof/>
        </w:rPr>
        <w:tab/>
        <w:t>Regulamento (UE) n.º 519/2013 da Comissão, de 21 de fevereiro de 2013 (JO L 158 de 10.6.2013, p. 74),</w:t>
      </w:r>
    </w:p>
    <w:p>
      <w:pPr>
        <w:ind w:left="1984" w:hanging="567"/>
        <w:rPr>
          <w:rFonts w:eastAsia="Times New Roman"/>
          <w:noProof/>
          <w:szCs w:val="24"/>
        </w:rPr>
      </w:pPr>
      <w:r>
        <w:rPr>
          <w:noProof/>
        </w:rPr>
        <w:t>-</w:t>
      </w:r>
      <w:r>
        <w:rPr>
          <w:noProof/>
        </w:rPr>
        <w:tab/>
        <w:t>Regulamento de Execução (UE) n.º 1030/2013 da Comissão, de 24 de outubro de 2013 (JO L 283 de 25.10.2013, p. 15),</w:t>
      </w:r>
    </w:p>
    <w:p>
      <w:pPr>
        <w:ind w:left="1984" w:hanging="567"/>
        <w:rPr>
          <w:rFonts w:eastAsia="Times New Roman"/>
          <w:iCs/>
          <w:noProof/>
          <w:szCs w:val="24"/>
        </w:rPr>
      </w:pPr>
      <w:r>
        <w:rPr>
          <w:noProof/>
        </w:rPr>
        <w:t>-</w:t>
      </w:r>
      <w:r>
        <w:rPr>
          <w:noProof/>
        </w:rPr>
        <w:tab/>
        <w:t>Regulamento de Execução (UE) n.º 1364/2013 da Comissão, de 17 de dezembro de 2013 (JO L 343 de 19.12.2013, p. 29),</w:t>
      </w:r>
    </w:p>
    <w:p>
      <w:pPr>
        <w:ind w:left="1984" w:hanging="567"/>
        <w:rPr>
          <w:rFonts w:eastAsia="Times New Roman"/>
          <w:noProof/>
          <w:szCs w:val="24"/>
        </w:rPr>
      </w:pPr>
      <w:r>
        <w:rPr>
          <w:noProof/>
        </w:rPr>
        <w:t>-</w:t>
      </w:r>
      <w:r>
        <w:rPr>
          <w:noProof/>
        </w:rPr>
        <w:tab/>
        <w:t>Regulamento de Execução (UE) n.º 354/2014 da Comissão, de 8 de abril de 2014 (JO L 106 de 9.4.2014, p. 7),</w:t>
      </w:r>
    </w:p>
    <w:p>
      <w:pPr>
        <w:ind w:left="1984" w:hanging="567"/>
        <w:rPr>
          <w:rFonts w:eastAsia="Times New Roman"/>
          <w:noProof/>
          <w:szCs w:val="24"/>
        </w:rPr>
      </w:pPr>
      <w:r>
        <w:rPr>
          <w:noProof/>
        </w:rPr>
        <w:t>-</w:t>
      </w:r>
      <w:r>
        <w:rPr>
          <w:noProof/>
        </w:rPr>
        <w:tab/>
        <w:t xml:space="preserve">Regulamento de Execução (UE) n.º 836/2014 da Comissão, de 31 de julho de 2014 (JO L 230 de 1.8.2014, p. 10), </w:t>
      </w:r>
    </w:p>
    <w:p>
      <w:pPr>
        <w:ind w:left="1984" w:hanging="567"/>
        <w:rPr>
          <w:rFonts w:eastAsia="Times New Roman"/>
          <w:noProof/>
          <w:szCs w:val="24"/>
        </w:rPr>
      </w:pPr>
      <w:r>
        <w:rPr>
          <w:noProof/>
        </w:rPr>
        <w:t>-</w:t>
      </w:r>
      <w:r>
        <w:rPr>
          <w:noProof/>
        </w:rPr>
        <w:tab/>
        <w:t>Regulamento de Execução (UE) n.º 1358/2014 da Comissão, de 18 de dezembro de 2014 (JO L 365 de 19.12.2014, p. 97),</w:t>
      </w:r>
    </w:p>
    <w:p>
      <w:pPr>
        <w:ind w:left="1984" w:hanging="567"/>
        <w:rPr>
          <w:rFonts w:eastAsia="Times New Roman"/>
          <w:bCs/>
          <w:noProof/>
          <w:szCs w:val="24"/>
        </w:rPr>
      </w:pPr>
      <w:r>
        <w:rPr>
          <w:noProof/>
        </w:rPr>
        <w:t>-</w:t>
      </w:r>
      <w:r>
        <w:rPr>
          <w:noProof/>
        </w:rPr>
        <w:tab/>
        <w:t>Regulamento de Execução (UE) 2016/673 da Comissão, de 29 de abril de 2016 (JO L 116 de 30.4.2016, p. 8),</w:t>
      </w:r>
    </w:p>
    <w:p>
      <w:pPr>
        <w:ind w:left="1984" w:hanging="567"/>
        <w:rPr>
          <w:rFonts w:eastAsia="Times New Roman"/>
          <w:bCs/>
          <w:noProof/>
          <w:szCs w:val="24"/>
        </w:rPr>
      </w:pPr>
      <w:r>
        <w:rPr>
          <w:noProof/>
        </w:rPr>
        <w:t>-</w:t>
      </w:r>
      <w:r>
        <w:rPr>
          <w:noProof/>
        </w:rPr>
        <w:tab/>
        <w:t>Regulamento de Execução (UE) 2016/1842 da Comissão, de 14 de outubro de 2016 (JO L 282 de 19.10.2016, p. 19),</w:t>
      </w:r>
    </w:p>
    <w:p>
      <w:pPr>
        <w:ind w:left="1984" w:hanging="567"/>
        <w:rPr>
          <w:rFonts w:eastAsia="Times New Roman"/>
          <w:bCs/>
          <w:noProof/>
          <w:szCs w:val="24"/>
        </w:rPr>
      </w:pPr>
      <w:r>
        <w:rPr>
          <w:noProof/>
        </w:rPr>
        <w:t>-</w:t>
      </w:r>
      <w:r>
        <w:rPr>
          <w:noProof/>
        </w:rPr>
        <w:tab/>
        <w:t>Regulamento de Execução (UE) 2017/838 da Comissão, de 17 de maio de 2017 (JO L 125 de 18.5.2017, p. 5),</w:t>
      </w:r>
    </w:p>
    <w:p>
      <w:pPr>
        <w:ind w:left="1984" w:hanging="567"/>
        <w:rPr>
          <w:rFonts w:eastAsia="Times New Roman"/>
          <w:bCs/>
          <w:noProof/>
          <w:szCs w:val="24"/>
        </w:rPr>
      </w:pPr>
      <w:r>
        <w:rPr>
          <w:noProof/>
        </w:rPr>
        <w:t>-</w:t>
      </w:r>
      <w:r>
        <w:rPr>
          <w:noProof/>
        </w:rPr>
        <w:tab/>
        <w:t>Regulamento de Execução (UE) 2017/2273 da Comissão, de 8 de dezembro de 2017 (JO L 326 de 9.12.2017, p. 42).</w:t>
      </w:r>
    </w:p>
    <w:p>
      <w:pPr>
        <w:rPr>
          <w:rFonts w:eastAsia="Times New Roman"/>
          <w:noProof/>
          <w:szCs w:val="24"/>
        </w:rPr>
      </w:pPr>
    </w:p>
    <w:p>
      <w:pPr>
        <w:rPr>
          <w:rFonts w:eastAsia="Times New Roman"/>
          <w:noProof/>
          <w:szCs w:val="24"/>
        </w:rPr>
      </w:pPr>
      <w:r>
        <w:rPr>
          <w:noProof/>
        </w:rPr>
        <w:t>Regulamento (CE) n.º 1235/2008 da Comissão, de 8 de dezembro de 2008, que estabelece normas de execução do Regulamento (CE) n.º 834/2007 do Conselho no que respeita ao regime de importação de produtos biológicos de países terceiros (JO L 334 de 12.12.2008, p. 25), com a redação que lhe foi dada por:</w:t>
      </w:r>
    </w:p>
    <w:p>
      <w:pPr>
        <w:ind w:left="1984" w:hanging="567"/>
        <w:rPr>
          <w:rFonts w:eastAsia="Times New Roman"/>
          <w:noProof/>
          <w:szCs w:val="24"/>
        </w:rPr>
      </w:pPr>
      <w:r>
        <w:rPr>
          <w:noProof/>
        </w:rPr>
        <w:t>-</w:t>
      </w:r>
      <w:r>
        <w:rPr>
          <w:noProof/>
        </w:rPr>
        <w:tab/>
        <w:t>Regulamento (CE) n.º 537/2009 da Comissão, de 19 de junho de 2009 (JO L 159 de 20.6.2009, p. 6),</w:t>
      </w:r>
    </w:p>
    <w:p>
      <w:pPr>
        <w:ind w:left="1984" w:hanging="567"/>
        <w:rPr>
          <w:rFonts w:eastAsia="Times New Roman"/>
          <w:noProof/>
          <w:szCs w:val="24"/>
        </w:rPr>
      </w:pPr>
      <w:r>
        <w:rPr>
          <w:noProof/>
        </w:rPr>
        <w:t>-</w:t>
      </w:r>
      <w:r>
        <w:rPr>
          <w:noProof/>
        </w:rPr>
        <w:tab/>
        <w:t>Regulamento (UE) n.º 471/2010 da Comissão, de 31 de maio de 2010 (JO L 134 de 1.6.2010, p. 1),</w:t>
      </w:r>
    </w:p>
    <w:p>
      <w:pPr>
        <w:ind w:left="1984" w:hanging="567"/>
        <w:rPr>
          <w:rFonts w:eastAsia="Times New Roman"/>
          <w:noProof/>
          <w:szCs w:val="24"/>
        </w:rPr>
      </w:pPr>
      <w:r>
        <w:rPr>
          <w:noProof/>
        </w:rPr>
        <w:t>-</w:t>
      </w:r>
      <w:r>
        <w:rPr>
          <w:noProof/>
        </w:rPr>
        <w:tab/>
        <w:t>Regulamento de Execução (UE) n.º 590/2011 da Comissão, de 20 de junho de 2011 (JO L 161 de 21.6.2011, p. 9),</w:t>
      </w:r>
    </w:p>
    <w:p>
      <w:pPr>
        <w:ind w:left="1984" w:hanging="567"/>
        <w:rPr>
          <w:rFonts w:eastAsia="Times New Roman"/>
          <w:noProof/>
          <w:szCs w:val="24"/>
        </w:rPr>
      </w:pPr>
      <w:r>
        <w:rPr>
          <w:noProof/>
        </w:rPr>
        <w:t>-</w:t>
      </w:r>
      <w:r>
        <w:rPr>
          <w:noProof/>
        </w:rPr>
        <w:tab/>
        <w:t>Regulamento de Execução (UE) n.º 1084/2011 da Comissão, de 27 de outubro de 2011 (JO L 281 de 28.10.2011, p. 3),</w:t>
      </w:r>
    </w:p>
    <w:p>
      <w:pPr>
        <w:ind w:left="1984" w:hanging="567"/>
        <w:rPr>
          <w:rFonts w:eastAsia="Times New Roman"/>
          <w:noProof/>
          <w:szCs w:val="24"/>
        </w:rPr>
      </w:pPr>
      <w:r>
        <w:rPr>
          <w:noProof/>
        </w:rPr>
        <w:t>-</w:t>
      </w:r>
      <w:r>
        <w:rPr>
          <w:noProof/>
        </w:rPr>
        <w:tab/>
        <w:t xml:space="preserve">Regulamento de Execução (UE) n.º 1267/2011 da Comissão, de 6 de dezembro de 2011 (JO L 324 de 7.12.2011, p. 9), </w:t>
      </w:r>
    </w:p>
    <w:p>
      <w:pPr>
        <w:ind w:left="1984" w:hanging="567"/>
        <w:rPr>
          <w:rFonts w:eastAsia="Times New Roman"/>
          <w:noProof/>
          <w:szCs w:val="24"/>
        </w:rPr>
      </w:pPr>
      <w:r>
        <w:rPr>
          <w:noProof/>
        </w:rPr>
        <w:t>-</w:t>
      </w:r>
      <w:r>
        <w:rPr>
          <w:noProof/>
        </w:rPr>
        <w:tab/>
        <w:t xml:space="preserve">Regulamento de Execução (UE) n.º 126/2012 da Comissão, de 14 de fevereiro de 2012 (JO L 41 de 15.2.2012, p. 5), </w:t>
      </w:r>
    </w:p>
    <w:p>
      <w:pPr>
        <w:ind w:left="1984" w:hanging="567"/>
        <w:rPr>
          <w:rFonts w:eastAsia="Times New Roman"/>
          <w:noProof/>
          <w:szCs w:val="24"/>
        </w:rPr>
      </w:pPr>
      <w:r>
        <w:rPr>
          <w:noProof/>
        </w:rPr>
        <w:t>-</w:t>
      </w:r>
      <w:r>
        <w:rPr>
          <w:noProof/>
        </w:rPr>
        <w:tab/>
        <w:t>Regulamento de Execução (UE) n.º 508/2012 da Comissão, de 20 de junho de 2012 (JO L 162 de 21.6.2012, p. 1),</w:t>
      </w:r>
    </w:p>
    <w:p>
      <w:pPr>
        <w:ind w:left="1984" w:hanging="567"/>
        <w:rPr>
          <w:rFonts w:eastAsia="Times New Roman"/>
          <w:noProof/>
          <w:szCs w:val="24"/>
        </w:rPr>
      </w:pPr>
      <w:r>
        <w:rPr>
          <w:noProof/>
        </w:rPr>
        <w:t>-</w:t>
      </w:r>
      <w:r>
        <w:rPr>
          <w:noProof/>
        </w:rPr>
        <w:tab/>
        <w:t>Regulamento de Execução (UE) n.º 751/2012 da Comissão, de 16 de agosto de 2012 (JO L 222 de 18.8.2012, p. 5),</w:t>
      </w:r>
    </w:p>
    <w:p>
      <w:pPr>
        <w:ind w:left="1984" w:hanging="566"/>
        <w:rPr>
          <w:rFonts w:eastAsia="Times New Roman"/>
          <w:noProof/>
          <w:szCs w:val="24"/>
        </w:rPr>
      </w:pPr>
      <w:r>
        <w:rPr>
          <w:noProof/>
        </w:rPr>
        <w:t>-</w:t>
      </w:r>
      <w:r>
        <w:rPr>
          <w:noProof/>
        </w:rPr>
        <w:tab/>
        <w:t>Regulamento de Execução (UE) n.º 125/2013 da Comissão, de 13 de fevereiro de 2013 (JO L 43 de 14.2.2013, p. 1),</w:t>
      </w:r>
    </w:p>
    <w:p>
      <w:pPr>
        <w:ind w:left="1984" w:hanging="566"/>
        <w:rPr>
          <w:rFonts w:eastAsia="Times New Roman"/>
          <w:noProof/>
          <w:szCs w:val="24"/>
        </w:rPr>
      </w:pPr>
      <w:r>
        <w:rPr>
          <w:noProof/>
        </w:rPr>
        <w:t>-</w:t>
      </w:r>
      <w:r>
        <w:rPr>
          <w:noProof/>
        </w:rPr>
        <w:tab/>
        <w:t>Regulamento (UE) n.º 519/2013 da Comissão, de 21 de fevereiro de 2013 (JO L 158 de 10.6.2013, p. 74),</w:t>
      </w:r>
    </w:p>
    <w:p>
      <w:pPr>
        <w:ind w:left="1984" w:hanging="567"/>
        <w:rPr>
          <w:rFonts w:eastAsia="Times New Roman"/>
          <w:noProof/>
          <w:szCs w:val="24"/>
        </w:rPr>
      </w:pPr>
      <w:r>
        <w:rPr>
          <w:noProof/>
        </w:rPr>
        <w:t>-</w:t>
      </w:r>
      <w:r>
        <w:rPr>
          <w:noProof/>
        </w:rPr>
        <w:tab/>
        <w:t>Regulamento de Execução (UE) n.º 567/2013 da Comissão, de 18 de junho de 2013 (JO L 167 de 19.6.2013, p. 30),</w:t>
      </w:r>
    </w:p>
    <w:p>
      <w:pPr>
        <w:ind w:left="1984" w:hanging="567"/>
        <w:rPr>
          <w:rFonts w:eastAsia="Times New Roman"/>
          <w:noProof/>
          <w:szCs w:val="24"/>
        </w:rPr>
      </w:pPr>
      <w:r>
        <w:rPr>
          <w:noProof/>
        </w:rPr>
        <w:t>-</w:t>
      </w:r>
      <w:r>
        <w:rPr>
          <w:noProof/>
        </w:rPr>
        <w:tab/>
        <w:t>Regulamento de Execução (UE) n.º 586/2013 da Comissão, de 20 de junho de 2013 (JO L 169 de 21.6.2013, p. 51),</w:t>
      </w:r>
    </w:p>
    <w:p>
      <w:pPr>
        <w:ind w:left="1984" w:hanging="567"/>
        <w:rPr>
          <w:rFonts w:eastAsia="Times New Roman"/>
          <w:noProof/>
          <w:szCs w:val="24"/>
        </w:rPr>
      </w:pPr>
      <w:r>
        <w:rPr>
          <w:noProof/>
        </w:rPr>
        <w:t>-</w:t>
      </w:r>
      <w:r>
        <w:rPr>
          <w:noProof/>
        </w:rPr>
        <w:tab/>
        <w:t>Regulamento de Execução (UE) n.º 355/2014 da Comissão, de 8 de abril de 2014 (JO L 106 de 9.4.2014, p. 15),</w:t>
      </w:r>
    </w:p>
    <w:p>
      <w:pPr>
        <w:ind w:left="1984" w:hanging="567"/>
        <w:rPr>
          <w:rFonts w:eastAsia="Times New Roman"/>
          <w:noProof/>
          <w:szCs w:val="24"/>
        </w:rPr>
      </w:pPr>
      <w:r>
        <w:rPr>
          <w:noProof/>
        </w:rPr>
        <w:t>-</w:t>
      </w:r>
      <w:r>
        <w:rPr>
          <w:noProof/>
        </w:rPr>
        <w:tab/>
        <w:t>Regulamento de Execução (UE) n.º 442/2014 da Comissão, de 30 de abril de 2014 (JO L 130 de 1.5.2014, p. 39),</w:t>
      </w:r>
    </w:p>
    <w:p>
      <w:pPr>
        <w:ind w:left="1984" w:hanging="567"/>
        <w:rPr>
          <w:rFonts w:eastAsia="Times New Roman"/>
          <w:noProof/>
          <w:szCs w:val="24"/>
        </w:rPr>
      </w:pPr>
      <w:r>
        <w:rPr>
          <w:noProof/>
        </w:rPr>
        <w:t>-</w:t>
      </w:r>
      <w:r>
        <w:rPr>
          <w:noProof/>
        </w:rPr>
        <w:tab/>
        <w:t>Regulamento de Execução (UE) n.º 644/2014 da Comissão, de 16 de junho de 2014 (JO L 177 de 17.6.2014, p. 42),</w:t>
      </w:r>
    </w:p>
    <w:p>
      <w:pPr>
        <w:ind w:left="1984" w:hanging="567"/>
        <w:rPr>
          <w:rFonts w:eastAsia="Times New Roman"/>
          <w:noProof/>
          <w:szCs w:val="24"/>
        </w:rPr>
      </w:pPr>
      <w:r>
        <w:rPr>
          <w:noProof/>
        </w:rPr>
        <w:t>-</w:t>
      </w:r>
      <w:r>
        <w:rPr>
          <w:noProof/>
        </w:rPr>
        <w:tab/>
        <w:t>Regulamento de Execução (UE) n.º 829/2014 da Comissão, de 30 de julho de 2014 (JO L 228 de 31.7.2014, p. 9),</w:t>
      </w:r>
    </w:p>
    <w:p>
      <w:pPr>
        <w:ind w:left="1984" w:hanging="567"/>
        <w:rPr>
          <w:rFonts w:eastAsia="Times New Roman"/>
          <w:noProof/>
          <w:szCs w:val="24"/>
        </w:rPr>
      </w:pPr>
      <w:r>
        <w:rPr>
          <w:noProof/>
        </w:rPr>
        <w:t>-</w:t>
      </w:r>
      <w:r>
        <w:rPr>
          <w:noProof/>
        </w:rPr>
        <w:tab/>
        <w:t xml:space="preserve">Regulamento de Execução (UE) n.º 1287/2014 da Comissão, de 28 de novembro de 2014 (JO L 348 de 4.12.2014, p. 1), </w:t>
      </w:r>
    </w:p>
    <w:p>
      <w:pPr>
        <w:ind w:left="1984" w:hanging="567"/>
        <w:rPr>
          <w:rFonts w:eastAsia="Times New Roman"/>
          <w:noProof/>
          <w:szCs w:val="24"/>
        </w:rPr>
      </w:pPr>
      <w:r>
        <w:rPr>
          <w:noProof/>
        </w:rPr>
        <w:t>-</w:t>
      </w:r>
      <w:r>
        <w:rPr>
          <w:noProof/>
        </w:rPr>
        <w:tab/>
        <w:t>Regulamento de Execução (UE) 2015/131 da Comissão, de 26 de janeiro de 2015 (JO L 23 de 29.1.2015, p. 1),</w:t>
      </w:r>
    </w:p>
    <w:p>
      <w:pPr>
        <w:ind w:left="1984" w:hanging="567"/>
        <w:rPr>
          <w:rFonts w:eastAsia="Times New Roman"/>
          <w:noProof/>
          <w:szCs w:val="24"/>
        </w:rPr>
      </w:pPr>
      <w:r>
        <w:rPr>
          <w:noProof/>
        </w:rPr>
        <w:t>-</w:t>
      </w:r>
      <w:r>
        <w:rPr>
          <w:noProof/>
        </w:rPr>
        <w:tab/>
        <w:t>Regulamento de Execução (UE) 2015/931 da Comissão, de 17 de junho de 2015 (JO L 151 de 18.6.2015, p. 1),</w:t>
      </w:r>
    </w:p>
    <w:p>
      <w:pPr>
        <w:ind w:left="1984" w:hanging="567"/>
        <w:rPr>
          <w:rFonts w:eastAsia="Times New Roman"/>
          <w:noProof/>
          <w:szCs w:val="24"/>
        </w:rPr>
      </w:pPr>
      <w:r>
        <w:rPr>
          <w:noProof/>
        </w:rPr>
        <w:t>-</w:t>
      </w:r>
      <w:r>
        <w:rPr>
          <w:noProof/>
        </w:rPr>
        <w:tab/>
        <w:t>Regulamento de Execução (UE) 2015/1980 da Comissão, de 4 de novembro de 2015 (JO L 289 de 5.11.2015, p. 6),</w:t>
      </w:r>
    </w:p>
    <w:p>
      <w:pPr>
        <w:ind w:left="1984" w:hanging="567"/>
        <w:rPr>
          <w:rFonts w:eastAsia="Times New Roman"/>
          <w:noProof/>
          <w:szCs w:val="24"/>
        </w:rPr>
      </w:pPr>
      <w:r>
        <w:rPr>
          <w:noProof/>
        </w:rPr>
        <w:t>-</w:t>
      </w:r>
      <w:r>
        <w:rPr>
          <w:noProof/>
        </w:rPr>
        <w:tab/>
        <w:t>Regulamento de Execução (UE) 2015/2345 da Comissão, de 15 de dezembro de 2015 (JO L 330 de 16.12.2015, p. 29),</w:t>
      </w:r>
    </w:p>
    <w:p>
      <w:pPr>
        <w:ind w:left="1984" w:hanging="567"/>
        <w:rPr>
          <w:rFonts w:eastAsia="Times New Roman"/>
          <w:bCs/>
          <w:noProof/>
          <w:szCs w:val="24"/>
        </w:rPr>
      </w:pPr>
      <w:r>
        <w:rPr>
          <w:noProof/>
        </w:rPr>
        <w:t>-</w:t>
      </w:r>
      <w:r>
        <w:rPr>
          <w:noProof/>
        </w:rPr>
        <w:tab/>
        <w:t>Regulamento de Execução (UE) 2016/459 da Comissão, de 18 de março de 2016 (JO L 80 de 31.3.2016, p. 14),</w:t>
      </w:r>
    </w:p>
    <w:p>
      <w:pPr>
        <w:ind w:left="1984" w:hanging="567"/>
        <w:rPr>
          <w:rFonts w:eastAsia="Times New Roman"/>
          <w:bCs/>
          <w:noProof/>
          <w:szCs w:val="24"/>
        </w:rPr>
      </w:pPr>
      <w:r>
        <w:rPr>
          <w:noProof/>
        </w:rPr>
        <w:t>-</w:t>
      </w:r>
      <w:r>
        <w:rPr>
          <w:noProof/>
        </w:rPr>
        <w:tab/>
        <w:t>Regulamento de Execução (UE) 2016/910 da Comissão, de 9 de junho de 2016 (JO L 153 de 10.6.2016, p. 23),</w:t>
      </w:r>
    </w:p>
    <w:p>
      <w:pPr>
        <w:ind w:left="1984" w:hanging="567"/>
        <w:rPr>
          <w:noProof/>
        </w:rPr>
      </w:pPr>
      <w:r>
        <w:rPr>
          <w:noProof/>
        </w:rPr>
        <w:t>-</w:t>
      </w:r>
      <w:r>
        <w:rPr>
          <w:noProof/>
        </w:rPr>
        <w:tab/>
        <w:t xml:space="preserve">Regulamento de Execução (UE) 2016/1330 da Comissão, de 2 de agosto de 2016 (JO L 210 de 4.8.2016, p. 43), </w:t>
      </w:r>
    </w:p>
    <w:p>
      <w:pPr>
        <w:ind w:left="1984" w:hanging="567"/>
        <w:rPr>
          <w:rFonts w:eastAsia="Times New Roman"/>
          <w:bCs/>
          <w:noProof/>
          <w:szCs w:val="24"/>
        </w:rPr>
      </w:pPr>
      <w:r>
        <w:rPr>
          <w:noProof/>
        </w:rPr>
        <w:t>-</w:t>
      </w:r>
      <w:r>
        <w:rPr>
          <w:noProof/>
        </w:rPr>
        <w:tab/>
        <w:t>Regulamento de Execução (UE) 2016/1842 da Comissão, de 14 de outubro de 2016 (JO L 282 de 19.10.2016, p. 19),</w:t>
      </w:r>
    </w:p>
    <w:p>
      <w:pPr>
        <w:ind w:left="1984" w:hanging="567"/>
        <w:rPr>
          <w:rFonts w:eastAsia="Times New Roman"/>
          <w:bCs/>
          <w:noProof/>
          <w:szCs w:val="24"/>
        </w:rPr>
      </w:pPr>
      <w:r>
        <w:rPr>
          <w:noProof/>
        </w:rPr>
        <w:t>-</w:t>
      </w:r>
      <w:r>
        <w:rPr>
          <w:noProof/>
        </w:rPr>
        <w:tab/>
        <w:t xml:space="preserve">Regulamento de Execução (UE) 2016/2259 da Comissão, de 15 de dezembro de 2016 (JO L 342 de 16.12.2016, p. 4), </w:t>
      </w:r>
    </w:p>
    <w:p>
      <w:pPr>
        <w:ind w:left="1984" w:hanging="567"/>
        <w:rPr>
          <w:rFonts w:eastAsia="Times New Roman"/>
          <w:bCs/>
          <w:noProof/>
          <w:szCs w:val="24"/>
        </w:rPr>
      </w:pPr>
      <w:r>
        <w:rPr>
          <w:noProof/>
        </w:rPr>
        <w:t>-</w:t>
      </w:r>
      <w:r>
        <w:rPr>
          <w:noProof/>
        </w:rPr>
        <w:tab/>
        <w:t>Regulamento de Execução (UE) 2017/872 da Comissão, de 22 de maio de 2017 (JO L 134 de 23.5.2017, p. 6),</w:t>
      </w:r>
    </w:p>
    <w:p>
      <w:pPr>
        <w:ind w:left="1984" w:hanging="567"/>
        <w:rPr>
          <w:rFonts w:eastAsia="Times New Roman"/>
          <w:bCs/>
          <w:noProof/>
          <w:szCs w:val="24"/>
        </w:rPr>
      </w:pPr>
      <w:r>
        <w:rPr>
          <w:noProof/>
        </w:rPr>
        <w:t>-</w:t>
      </w:r>
      <w:r>
        <w:rPr>
          <w:noProof/>
        </w:rPr>
        <w:tab/>
        <w:t>Regulamento de Execução (UE) 2017/1473 da Comissão, de 14 de agosto de 2017 (JO L 210 de 15.8.2017, p. 4),</w:t>
      </w:r>
    </w:p>
    <w:p>
      <w:pPr>
        <w:ind w:left="1984" w:hanging="567"/>
        <w:rPr>
          <w:rFonts w:eastAsia="Times New Roman"/>
          <w:bCs/>
          <w:noProof/>
          <w:szCs w:val="24"/>
        </w:rPr>
      </w:pPr>
      <w:r>
        <w:rPr>
          <w:noProof/>
        </w:rPr>
        <w:t>-</w:t>
      </w:r>
      <w:r>
        <w:rPr>
          <w:noProof/>
        </w:rPr>
        <w:tab/>
        <w:t>Regulamento de Execução (UE) 2017/1862 da Comissão, de 16 de outubro de 2017 (JO L 266 de 17.10.2017, p. 1),</w:t>
      </w:r>
    </w:p>
    <w:p>
      <w:pPr>
        <w:ind w:left="1984" w:hanging="567"/>
        <w:rPr>
          <w:rFonts w:eastAsia="Times New Roman"/>
          <w:bCs/>
          <w:noProof/>
          <w:szCs w:val="24"/>
        </w:rPr>
      </w:pPr>
      <w:r>
        <w:rPr>
          <w:noProof/>
        </w:rPr>
        <w:t>-</w:t>
      </w:r>
      <w:r>
        <w:rPr>
          <w:noProof/>
        </w:rPr>
        <w:tab/>
        <w:t>Regulamento de Execução (UE) 2017/2329 da Comissão, de 14 de dezembro de 2017 (JO L 333 de 15.12.2017, p. 29),</w:t>
      </w:r>
    </w:p>
    <w:p>
      <w:pPr>
        <w:ind w:left="1984" w:hanging="567"/>
        <w:rPr>
          <w:rFonts w:eastAsia="Times New Roman"/>
          <w:bCs/>
          <w:noProof/>
          <w:szCs w:val="24"/>
        </w:rPr>
      </w:pPr>
      <w:r>
        <w:rPr>
          <w:noProof/>
        </w:rPr>
        <w:t>-</w:t>
      </w:r>
      <w:r>
        <w:rPr>
          <w:noProof/>
        </w:rPr>
        <w:tab/>
        <w:t>Regulamento de Execução (UE) 2018/949 da Comissão, de 3 de julho de 2018 (JO L 167 de 4.7.2018, p. 3),</w:t>
      </w:r>
    </w:p>
    <w:p>
      <w:pPr>
        <w:ind w:left="1984" w:hanging="567"/>
        <w:rPr>
          <w:rFonts w:eastAsia="Times New Roman"/>
          <w:bCs/>
          <w:noProof/>
          <w:szCs w:val="24"/>
        </w:rPr>
      </w:pPr>
      <w:r>
        <w:rPr>
          <w:noProof/>
        </w:rPr>
        <w:t>tal como retificado no:</w:t>
      </w:r>
    </w:p>
    <w:p>
      <w:pPr>
        <w:ind w:left="1984" w:hanging="567"/>
        <w:rPr>
          <w:rFonts w:eastAsia="Times New Roman"/>
          <w:bCs/>
          <w:noProof/>
          <w:szCs w:val="24"/>
        </w:rPr>
      </w:pPr>
      <w:r>
        <w:rPr>
          <w:noProof/>
        </w:rPr>
        <w:t>JO L 28 de 4.2.2015, p. 48 (1287/2014),</w:t>
      </w:r>
    </w:p>
    <w:p>
      <w:pPr>
        <w:ind w:left="1984" w:hanging="567"/>
        <w:rPr>
          <w:rFonts w:eastAsia="Times New Roman"/>
          <w:bCs/>
          <w:noProof/>
          <w:szCs w:val="24"/>
        </w:rPr>
      </w:pPr>
      <w:r>
        <w:rPr>
          <w:noProof/>
        </w:rPr>
        <w:t>JO L 241 de 17.9.2015, p. 51 (2015/131).</w:t>
      </w:r>
    </w:p>
    <w:p>
      <w:pPr>
        <w:jc w:val="center"/>
        <w:rPr>
          <w:b/>
          <w:noProof/>
        </w:rPr>
      </w:pPr>
      <w:r>
        <w:rPr>
          <w:b/>
          <w:noProof/>
        </w:rPr>
        <w:t>ANEXO B</w:t>
      </w:r>
    </w:p>
    <w:p>
      <w:pPr>
        <w:jc w:val="center"/>
        <w:rPr>
          <w:b/>
          <w:noProof/>
        </w:rPr>
      </w:pPr>
      <w:r>
        <w:rPr>
          <w:b/>
          <w:noProof/>
        </w:rPr>
        <w:t>DISPOSIÇÕES REFERIDAS NO ARTIGO 2.º</w:t>
      </w:r>
    </w:p>
    <w:p>
      <w:pPr>
        <w:jc w:val="center"/>
        <w:rPr>
          <w:noProof/>
        </w:rPr>
      </w:pPr>
    </w:p>
    <w:p>
      <w:pPr>
        <w:pStyle w:val="Point0"/>
        <w:spacing w:after="240"/>
        <w:ind w:left="851" w:hanging="851"/>
        <w:rPr>
          <w:noProof/>
        </w:rPr>
      </w:pPr>
      <w:r>
        <w:rPr>
          <w:noProof/>
        </w:rPr>
        <w:t xml:space="preserve">1. </w:t>
      </w:r>
      <w:r>
        <w:rPr>
          <w:noProof/>
        </w:rPr>
        <w:tab/>
        <w:t>Os produtos biológicos importados para a República de São Marinho em proveniência de países terceiros devem ser acompanhados de um certificado de inspeção nos termos do artigo 33.º, n.º 1, primeiro parágrafo, alínea d), do Regulamento (CE) n.º 834/2007.</w:t>
      </w:r>
    </w:p>
    <w:p>
      <w:pPr>
        <w:pStyle w:val="Point0"/>
        <w:spacing w:after="240"/>
        <w:ind w:left="851" w:hanging="851"/>
        <w:rPr>
          <w:noProof/>
        </w:rPr>
      </w:pPr>
      <w:r>
        <w:rPr>
          <w:noProof/>
        </w:rPr>
        <w:t xml:space="preserve">2. </w:t>
      </w:r>
      <w:r>
        <w:rPr>
          <w:noProof/>
        </w:rPr>
        <w:tab/>
        <w:t>A República de São Marinho deve utilizar o sistema eletrónico TRACES (sistema informático veterinário integrado) estabelecido pela Decisão 2003/24/CE da Comissão</w:t>
      </w:r>
      <w:r>
        <w:rPr>
          <w:rStyle w:val="FootnoteReference"/>
          <w:noProof/>
        </w:rPr>
        <w:footnoteReference w:id="2"/>
      </w:r>
      <w:r>
        <w:rPr>
          <w:noProof/>
        </w:rPr>
        <w:t xml:space="preserve"> para o tratamento dos certificados eletrónicos de inspeção das importações de produtos biológicos provenientes de países terceiros. </w:t>
      </w:r>
    </w:p>
    <w:p>
      <w:pPr>
        <w:pStyle w:val="Point0"/>
        <w:spacing w:after="240"/>
        <w:ind w:left="851" w:hanging="851"/>
        <w:rPr>
          <w:rFonts w:eastAsia="Times New Roman"/>
          <w:noProof/>
          <w:szCs w:val="24"/>
        </w:rPr>
      </w:pPr>
      <w:r>
        <w:rPr>
          <w:noProof/>
        </w:rPr>
        <w:t xml:space="preserve">3. </w:t>
      </w:r>
      <w:r>
        <w:rPr>
          <w:noProof/>
        </w:rPr>
        <w:tab/>
        <w:t>Para efeitos do artigo 13.º do Regulamento (CE) n.º 1235/2008, no que respeita às importações de produtos biológicos de países terceiros para a República de São Marinho, a verificação e a aposição de visto nos certificados de inspeção utilizando o sistema TRACES são efetuadas, em nome da República de São Marinho, pelas estâncias aduaneiras enumeradas no anexo II da Decisão n.º 1/2010 «Omnibus»</w:t>
      </w:r>
      <w:r>
        <w:rPr>
          <w:rStyle w:val="FootnoteReference"/>
          <w:noProof/>
        </w:rPr>
        <w:footnoteReference w:id="3"/>
      </w:r>
      <w:r>
        <w:rPr>
          <w:noProof/>
        </w:rPr>
        <w:t>.</w:t>
      </w:r>
    </w:p>
    <w:p>
      <w:pPr>
        <w:pStyle w:val="Point0"/>
        <w:spacing w:after="240"/>
        <w:ind w:left="851" w:hanging="851"/>
        <w:rPr>
          <w:noProof/>
        </w:rPr>
      </w:pPr>
      <w:r>
        <w:rPr>
          <w:noProof/>
        </w:rPr>
        <w:t xml:space="preserve">4. </w:t>
      </w:r>
      <w:r>
        <w:rPr>
          <w:noProof/>
        </w:rPr>
        <w:tab/>
        <w:t>Para efeitos do artigo 16.º, n.º 2, do Regulamento (CE) n.º 1235/2008, pode ser solicitado à República de São Marinho que atue como co-relator. A República de São Marinho é livre de aceitar ou não esse papel.</w:t>
      </w:r>
    </w:p>
    <w:p>
      <w:pPr>
        <w:spacing w:before="0" w:after="200" w:line="276" w:lineRule="auto"/>
        <w:jc w:val="left"/>
        <w:rPr>
          <w:b/>
          <w:noProof/>
        </w:rPr>
      </w:pPr>
      <w:r>
        <w:rPr>
          <w:noProof/>
        </w:rPr>
        <w:br w:type="page"/>
      </w:r>
    </w:p>
    <w:p>
      <w:pPr>
        <w:jc w:val="center"/>
        <w:rPr>
          <w:b/>
          <w:noProof/>
        </w:rPr>
      </w:pPr>
      <w:r>
        <w:rPr>
          <w:b/>
          <w:noProof/>
        </w:rPr>
        <w:t>ANEXO C</w:t>
      </w:r>
    </w:p>
    <w:p>
      <w:pPr>
        <w:pStyle w:val="ListParagraph"/>
        <w:jc w:val="center"/>
        <w:rPr>
          <w:b/>
          <w:noProof/>
        </w:rPr>
      </w:pPr>
      <w:r>
        <w:rPr>
          <w:b/>
          <w:noProof/>
        </w:rPr>
        <w:t>DISPOSIÇÕES REFERIDAS NO ARTIGO 3.º</w:t>
      </w:r>
    </w:p>
    <w:p>
      <w:pPr>
        <w:rPr>
          <w:noProof/>
        </w:rPr>
      </w:pPr>
    </w:p>
    <w:p>
      <w:pPr>
        <w:pStyle w:val="Point0"/>
        <w:spacing w:after="240"/>
        <w:ind w:left="851" w:hanging="851"/>
        <w:rPr>
          <w:noProof/>
        </w:rPr>
      </w:pPr>
      <w:r>
        <w:rPr>
          <w:noProof/>
        </w:rPr>
        <w:t>1.</w:t>
      </w:r>
      <w:r>
        <w:rPr>
          <w:noProof/>
        </w:rPr>
        <w:tab/>
        <w:t xml:space="preserve">Nos artigos pertinentes dos regulamentos enunciados no anexo A, o termo «Estado-Membro» ou «Estados-Membros» deve ser entendido como incluindo a República de São Marinho. </w:t>
      </w:r>
    </w:p>
    <w:p>
      <w:pPr>
        <w:pStyle w:val="Point0"/>
        <w:spacing w:after="240"/>
        <w:ind w:left="851" w:hanging="851"/>
        <w:rPr>
          <w:noProof/>
        </w:rPr>
      </w:pPr>
      <w:r>
        <w:rPr>
          <w:noProof/>
        </w:rPr>
        <w:t>2.</w:t>
      </w:r>
      <w:r>
        <w:rPr>
          <w:noProof/>
        </w:rPr>
        <w:tab/>
        <w:t xml:space="preserve">Se os artigos pertinentes dos regulamentos enunciados no anexo A indicarem que deve ser tomada uma decisão, ou que deve ser feita uma comunicação ou notificação por um Estado-Membro, essa decisão deve ser tomada, ou essa comunicação ou notificação deve ser feita, pelas autoridades da República de São Marinho. Essas autoridades têm em conta os pareceres dos comités científicos da União e baseiam as suas decisões na jurisprudência do Tribunal de Justiça da União Europeia e nas regras de conduta administrativa adotadas pela Comissão Europeia.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84 de 28.3.2002, p. 43.</w:t>
      </w:r>
    </w:p>
  </w:footnote>
  <w:footnote w:id="2">
    <w:p>
      <w:pPr>
        <w:pStyle w:val="FootnoteText"/>
      </w:pPr>
      <w:r>
        <w:rPr>
          <w:rStyle w:val="FootnoteReference"/>
        </w:rPr>
        <w:footnoteRef/>
      </w:r>
      <w:r>
        <w:tab/>
        <w:t>Decisão 2003/24/CE da Comissão, de 30 de dezembro de 2002, relativa ao desenvolvimento de um sistema informático veterinário integrado (JO L 8 de 14.1.2003, p. 44).</w:t>
      </w:r>
    </w:p>
  </w:footnote>
  <w:footnote w:id="3">
    <w:p>
      <w:pPr>
        <w:pStyle w:val="FootnoteText"/>
      </w:pPr>
      <w:r>
        <w:rPr>
          <w:rStyle w:val="FootnoteReference"/>
        </w:rPr>
        <w:footnoteRef/>
      </w:r>
      <w:r>
        <w:tab/>
        <w:t>Decisão n.º 1/2010 «Omnibus» do Comité de Cooperação UE-São Marinho, de 29 de março de 2010, que estabelece várias medidas de execução do Acordo de Cooperação e de União Aduaneira entre a Comunidade Económica Europeia e a República de São Marinho (JO L 156 de 23.6.2010,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14CA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0E83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AC0B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884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88A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64B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F875BC"/>
    <w:lvl w:ilvl="0">
      <w:start w:val="1"/>
      <w:numFmt w:val="decimal"/>
      <w:pStyle w:val="ListNumber"/>
      <w:lvlText w:val="%1."/>
      <w:lvlJc w:val="left"/>
      <w:pPr>
        <w:tabs>
          <w:tab w:val="num" w:pos="360"/>
        </w:tabs>
        <w:ind w:left="360" w:hanging="360"/>
      </w:pPr>
    </w:lvl>
  </w:abstractNum>
  <w:abstractNum w:abstractNumId="7">
    <w:nsid w:val="FFFFFF89"/>
    <w:multiLevelType w:val="singleLevel"/>
    <w:tmpl w:val="D72070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FORNESA ROCA Carla (AGRI)">
    <w15:presenceInfo w15:providerId="None" w15:userId="FORNESA ROCA Carl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9: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ACCOMPAGNANT" w:val="à"/>
    <w:docVar w:name="LW_ACCOMPAGNANT.CP" w:val="à"/>
    <w:docVar w:name="LW_ANNEX_NBR_FIRST" w:val="1"/>
    <w:docVar w:name="LW_ANNEX_NBR_LAST" w:val="1"/>
    <w:docVar w:name="LW_ANNEX_UNIQUE" w:val="1"/>
    <w:docVar w:name="LW_CORRIGENDUM" w:val="&lt;UNUSED&gt;"/>
    <w:docVar w:name="LW_COVERPAGE_EXISTS" w:val="True"/>
    <w:docVar w:name="LW_COVERPAGE_GUID" w:val="3F790B8D-EF30-4A84-98C8-6AEDE47750F3"/>
    <w:docVar w:name="LW_COVERPAGE_TYPE" w:val="1"/>
    <w:docVar w:name="LW_CROSSREFERENCE" w:val="&lt;UNUSED&gt;"/>
    <w:docVar w:name="LW_DocType" w:val="ANNEX"/>
    <w:docVar w:name="LW_EMISSION" w:val="30.4.2019"/>
    <w:docVar w:name="LW_EMISSION_ISODATE" w:val="2019-04-30"/>
    <w:docVar w:name="LW_EMISSION_LOCATION" w:val="BRX"/>
    <w:docVar w:name="LW_EMISSION_PREFIX" w:val="Bruxelas, "/>
    <w:docVar w:name="LW_EMISSION_SUFFIX" w:val="&lt;EMPTY&gt;"/>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posição a adotar, em nome da União Europeia, no Comité de Cooperação instituído pelo Acordo de Cooperação e de União Aduaneira entre a Comunidade Económica Europeia e a República de São Marinho, no que diz respeito às disposições aplicáveis à produção biológica e à rotulagem dos produtos biológicos, e ao regime de importação de produtos biológicos"/>
    <w:docVar w:name="LW_OBJETACTEPRINCIPAL.CP" w:val="relativa à posição a adotar, em nome da União Europeia, no Comité de Cooperação instituído pelo Acordo de Cooperação e de União Aduaneira entre a Comunidade Económica Europeia e a República de São Marinho, no que diz respeito às disposições aplicáveis à produção biológica e à rotulagem dos produtos biológicos, e ao regime de importação de produtos biológicos"/>
    <w:docVar w:name="LW_PART_NBR" w:val="1"/>
    <w:docVar w:name="LW_PART_NBR_TOTAL" w:val="1"/>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742">
      <w:bodyDiv w:val="1"/>
      <w:marLeft w:val="0"/>
      <w:marRight w:val="0"/>
      <w:marTop w:val="0"/>
      <w:marBottom w:val="0"/>
      <w:divBdr>
        <w:top w:val="none" w:sz="0" w:space="0" w:color="auto"/>
        <w:left w:val="none" w:sz="0" w:space="0" w:color="auto"/>
        <w:bottom w:val="none" w:sz="0" w:space="0" w:color="auto"/>
        <w:right w:val="none" w:sz="0" w:space="0" w:color="auto"/>
      </w:divBdr>
    </w:div>
    <w:div w:id="1539078125">
      <w:bodyDiv w:val="1"/>
      <w:marLeft w:val="0"/>
      <w:marRight w:val="0"/>
      <w:marTop w:val="0"/>
      <w:marBottom w:val="0"/>
      <w:divBdr>
        <w:top w:val="none" w:sz="0" w:space="0" w:color="auto"/>
        <w:left w:val="none" w:sz="0" w:space="0" w:color="auto"/>
        <w:bottom w:val="none" w:sz="0" w:space="0" w:color="auto"/>
        <w:right w:val="none" w:sz="0" w:space="0" w:color="auto"/>
      </w:divBdr>
    </w:div>
    <w:div w:id="2071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BE7B-A173-4839-B7DC-D8002830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2186</Words>
  <Characters>10126</Characters>
  <Application>Microsoft Office Word</Application>
  <DocSecurity>0</DocSecurity>
  <Lines>225</Lines>
  <Paragraphs>119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WES PDFC Administrator</cp:lastModifiedBy>
  <cp:revision>8</cp:revision>
  <cp:lastPrinted>2019-01-09T08:13:00Z</cp:lastPrinted>
  <dcterms:created xsi:type="dcterms:W3CDTF">2019-04-04T08:30:00Z</dcterms:created>
  <dcterms:modified xsi:type="dcterms:W3CDTF">2019-04-23T09:29:00Z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