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3411F52-2662-46B3-80D3-320020855761" style="width:450.75pt;height:42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w:t>
      </w:r>
    </w:p>
    <w:p>
      <w:pPr>
        <w:jc w:val="center"/>
        <w:rPr>
          <w:b/>
          <w:noProof/>
          <w:u w:val="single"/>
        </w:rPr>
      </w:pPr>
    </w:p>
    <w:p>
      <w:pPr>
        <w:jc w:val="center"/>
        <w:rPr>
          <w:b/>
          <w:noProof/>
        </w:rPr>
      </w:pPr>
      <w:r>
        <w:rPr>
          <w:b/>
          <w:noProof/>
        </w:rPr>
        <w:t>Ontwerp</w:t>
      </w:r>
    </w:p>
    <w:p>
      <w:pPr>
        <w:jc w:val="center"/>
        <w:rPr>
          <w:b/>
          <w:noProof/>
        </w:rPr>
      </w:pPr>
      <w:r>
        <w:rPr>
          <w:b/>
          <w:noProof/>
        </w:rPr>
        <w:t>BESLUIT Nr. …/2018 VAN HET SAMENWERKINGSCOMITÉ EU-SAN MARINO</w:t>
      </w:r>
    </w:p>
    <w:p>
      <w:pPr>
        <w:jc w:val="center"/>
        <w:rPr>
          <w:b/>
          <w:noProof/>
        </w:rPr>
      </w:pPr>
      <w:r>
        <w:rPr>
          <w:b/>
          <w:noProof/>
        </w:rPr>
        <w:t>van XX YY 2018</w:t>
      </w:r>
    </w:p>
    <w:p>
      <w:pPr>
        <w:jc w:val="center"/>
        <w:rPr>
          <w:b/>
          <w:noProof/>
        </w:rPr>
      </w:pPr>
      <w:r>
        <w:rPr>
          <w:b/>
          <w:noProof/>
        </w:rPr>
        <w:t xml:space="preserve">betreffende de toepasselijke bepalingen inzake de biologische productie en de etikettering van biologische producten, en de regeling voor de invoer van biologische producten, goedgekeurd in het kader van de Overeenkomst tot instelling van een douane-unie en samenwerking tussen de Europese Economische Gemeenschap en de Republiek San Marino </w:t>
      </w:r>
    </w:p>
    <w:p>
      <w:pPr>
        <w:keepNext/>
        <w:spacing w:before="600"/>
        <w:rPr>
          <w:noProof/>
        </w:rPr>
      </w:pPr>
      <w:r>
        <w:rPr>
          <w:noProof/>
        </w:rPr>
        <w:t>HET SAMENWERKINGSCOMITÉ EU-SAN MARINO,</w:t>
      </w:r>
    </w:p>
    <w:p>
      <w:pPr>
        <w:rPr>
          <w:noProof/>
        </w:rPr>
      </w:pPr>
      <w:r>
        <w:rPr>
          <w:noProof/>
        </w:rPr>
        <w:t>Gezien de Overeenkomst tot instelling van een douane-unie en samenwerking tussen de Europese Economische Gemeenschap en de Republiek San Marino</w:t>
      </w:r>
      <w:r>
        <w:rPr>
          <w:rStyle w:val="FootnoteReference"/>
          <w:noProof/>
        </w:rPr>
        <w:footnoteReference w:id="1"/>
      </w:r>
      <w:r>
        <w:rPr>
          <w:noProof/>
        </w:rPr>
        <w:t>, en met name artikel 7, lid 2, artikel 8, lid 3, onder c), en artikel 23, lid 1,</w:t>
      </w:r>
    </w:p>
    <w:p>
      <w:pPr>
        <w:rPr>
          <w:noProof/>
        </w:rPr>
      </w:pPr>
      <w:r>
        <w:rPr>
          <w:noProof/>
        </w:rPr>
        <w:t>Overwegende hetgeen volgt:</w:t>
      </w:r>
    </w:p>
    <w:p>
      <w:pPr>
        <w:ind w:left="709" w:hanging="709"/>
        <w:rPr>
          <w:noProof/>
        </w:rPr>
      </w:pPr>
      <w:r>
        <w:rPr>
          <w:noProof/>
        </w:rPr>
        <w:t>(1)</w:t>
      </w:r>
      <w:r>
        <w:rPr>
          <w:noProof/>
        </w:rPr>
        <w:tab/>
        <w:t xml:space="preserve">In artikel 6, lid 4, van de Overeenkomst tot instelling van een douane-unie en samenwerking tussen de Europese Economische Gemeenschap en de Republiek San Marino (hierna "de overeenkomst" genoemd), wordt bepaald dat, ten aanzien van de handel in landbouwproducten tussen de Unie en de Republiek San Marino, de Republiek San Marino zich ertoe verbindt de Uniewetgeving met betrekking tot de kwaliteit over te nemen voorzover die nodig is voor de goede werking van de overeenkomst. </w:t>
      </w:r>
    </w:p>
    <w:p>
      <w:pPr>
        <w:ind w:left="709" w:hanging="709"/>
        <w:rPr>
          <w:noProof/>
        </w:rPr>
      </w:pPr>
      <w:r>
        <w:rPr>
          <w:noProof/>
        </w:rPr>
        <w:t>(2)</w:t>
      </w:r>
      <w:r>
        <w:rPr>
          <w:noProof/>
        </w:rPr>
        <w:tab/>
        <w:t>Krachtens artikel 7, lid 1, vijfde streepje, van de overeenkomst moet de Republiek San Marino wat betreft de landen die geen lid zijn van de Unie ("derde landen") de Uniewetgeving met betrekking tot de kwaliteit toepassen voorzover die nodig is voor de goede werking van de overeenkomst.</w:t>
      </w:r>
    </w:p>
    <w:p>
      <w:pPr>
        <w:ind w:left="709" w:hanging="709"/>
        <w:rPr>
          <w:noProof/>
        </w:rPr>
      </w:pPr>
      <w:r>
        <w:rPr>
          <w:noProof/>
        </w:rPr>
        <w:t>(3)</w:t>
      </w:r>
      <w:r>
        <w:rPr>
          <w:noProof/>
        </w:rPr>
        <w:tab/>
        <w:t xml:space="preserve">Om belemmeringen voor het vrije verkeer van goederen te voorkomen en de goede werking van de bij de overeenkomst ingestelde douane-unie te waarborgen, moet nader worden bepaald welke bepalingen van de Uniewetgeving met betrekking tot kwaliteit van toepassing zijn op de biologische productie en de etikettering van biologische producten. </w:t>
      </w:r>
    </w:p>
    <w:p>
      <w:pPr>
        <w:ind w:left="709" w:hanging="709"/>
        <w:rPr>
          <w:noProof/>
        </w:rPr>
      </w:pPr>
      <w:r>
        <w:rPr>
          <w:noProof/>
        </w:rPr>
        <w:t>(4)</w:t>
      </w:r>
      <w:r>
        <w:rPr>
          <w:noProof/>
        </w:rPr>
        <w:tab/>
        <w:t xml:space="preserve">Om ervoor te zorgen dat de Uniewetgeving wordt nageleefd met betrekking tot de invoer in de Republiek San Marino van biologische producten uit derde landen, moeten de nodige regelingen worden vastgesteld die door de nationale autoriteiten moeten worden toegepast.   </w:t>
      </w:r>
    </w:p>
    <w:p>
      <w:pPr>
        <w:ind w:left="709" w:hanging="709"/>
        <w:rPr>
          <w:noProof/>
        </w:rPr>
      </w:pPr>
      <w:r>
        <w:rPr>
          <w:noProof/>
        </w:rPr>
        <w:t xml:space="preserve">(5) </w:t>
      </w:r>
      <w:r>
        <w:rPr>
          <w:noProof/>
        </w:rPr>
        <w:tab/>
        <w:t xml:space="preserve">Om ervoor te zorgen dat de Uniewetgeving wordt nageleefd met betrekking tot in de Republiek San Marino bereide of geproduceerde biologische producten, moeten eveneens de nodige regelingen worden vastgesteld. </w:t>
      </w:r>
    </w:p>
    <w:p>
      <w:pPr>
        <w:ind w:left="709" w:hanging="709"/>
        <w:rPr>
          <w:noProof/>
        </w:rPr>
      </w:pPr>
      <w:r>
        <w:rPr>
          <w:noProof/>
        </w:rPr>
        <w:t>(6)</w:t>
      </w:r>
      <w:r>
        <w:rPr>
          <w:noProof/>
        </w:rPr>
        <w:tab/>
        <w:t>Ook moet een procedure worden ingesteld voor het geval nieuwe Uniewetgeving inzake de biologische productie en de etikettering van biologische producten wordt goedgekeurd die van invloed is op de verwijzingen naar de bepalingen en regelingen die in dit besluit zijn vastgesteld,</w:t>
      </w:r>
    </w:p>
    <w:p>
      <w:pPr>
        <w:ind w:left="709" w:hanging="709"/>
        <w:rPr>
          <w:noProof/>
        </w:rPr>
      </w:pPr>
      <w:r>
        <w:rPr>
          <w:noProof/>
        </w:rPr>
        <w:tab/>
        <w:t>HEEFT HET VOLGENDE BESLUIT VASTGESTELD:</w:t>
      </w:r>
    </w:p>
    <w:p>
      <w:pPr>
        <w:keepNext/>
        <w:spacing w:before="360"/>
        <w:jc w:val="center"/>
        <w:rPr>
          <w:i/>
          <w:noProof/>
        </w:rPr>
      </w:pPr>
      <w:r>
        <w:rPr>
          <w:i/>
          <w:noProof/>
        </w:rPr>
        <w:t>Artikel 1</w:t>
      </w:r>
    </w:p>
    <w:p>
      <w:pPr>
        <w:keepNext/>
        <w:spacing w:before="360"/>
        <w:rPr>
          <w:noProof/>
        </w:rPr>
      </w:pPr>
      <w:r>
        <w:rPr>
          <w:noProof/>
        </w:rPr>
        <w:t>De toepasselijke bepalingen van de Uniewetgeving inzake de biologische productie en de etikettering van biologische producten, worden opgesomd in bijlage A.</w:t>
      </w:r>
    </w:p>
    <w:p>
      <w:pPr>
        <w:keepNext/>
        <w:spacing w:before="360"/>
        <w:ind w:left="720" w:hanging="720"/>
        <w:jc w:val="center"/>
        <w:rPr>
          <w:i/>
          <w:noProof/>
        </w:rPr>
      </w:pPr>
      <w:r>
        <w:rPr>
          <w:i/>
          <w:noProof/>
        </w:rPr>
        <w:t>Artikel 2</w:t>
      </w:r>
    </w:p>
    <w:p>
      <w:pPr>
        <w:spacing w:before="150" w:after="150"/>
        <w:ind w:right="527"/>
        <w:rPr>
          <w:noProof/>
        </w:rPr>
      </w:pPr>
      <w:r>
        <w:rPr>
          <w:noProof/>
          <w:color w:val="000000"/>
        </w:rPr>
        <w:t>De regelingen die nodig zijn om ervoor te zorgen dat de in artikel 1 bedoelde Uniewetgeving wordt nageleefd met betrekking tot de invoer van biologische producten uit derde landen in de Republiek San Marino, worden vastgesteld in bijlage B.</w:t>
      </w:r>
    </w:p>
    <w:p>
      <w:pPr>
        <w:spacing w:before="150" w:after="150"/>
        <w:ind w:left="225" w:right="525"/>
        <w:jc w:val="center"/>
        <w:rPr>
          <w:rFonts w:eastAsia="Times New Roman"/>
          <w:i/>
          <w:noProof/>
          <w:color w:val="000000"/>
          <w:szCs w:val="24"/>
        </w:rPr>
      </w:pPr>
      <w:r>
        <w:rPr>
          <w:i/>
          <w:noProof/>
          <w:color w:val="000000"/>
        </w:rPr>
        <w:t>Artikel 3</w:t>
      </w:r>
    </w:p>
    <w:p>
      <w:pPr>
        <w:spacing w:before="150" w:after="150"/>
        <w:ind w:right="525"/>
        <w:rPr>
          <w:rFonts w:eastAsia="Times New Roman"/>
          <w:noProof/>
          <w:color w:val="000000"/>
          <w:szCs w:val="24"/>
        </w:rPr>
      </w:pPr>
      <w:r>
        <w:rPr>
          <w:noProof/>
        </w:rPr>
        <w:t xml:space="preserve">De regelingen die nodig zijn om ervoor te zorgen dat de in artikel 1 bedoelde Uniewetgeving wordt nageleefd met betrekking tot in de Republiek San Marino bereide of geproduceerde biologische producten, worden vastgesteld in bijlage B. </w:t>
      </w:r>
    </w:p>
    <w:p>
      <w:pPr>
        <w:spacing w:before="150" w:after="150"/>
        <w:ind w:left="225" w:right="525"/>
        <w:jc w:val="center"/>
        <w:rPr>
          <w:rFonts w:eastAsia="Times New Roman"/>
          <w:i/>
          <w:noProof/>
          <w:color w:val="000000"/>
          <w:szCs w:val="24"/>
        </w:rPr>
      </w:pPr>
      <w:r>
        <w:rPr>
          <w:i/>
          <w:noProof/>
          <w:color w:val="000000"/>
        </w:rPr>
        <w:t>Artikel 4</w:t>
      </w:r>
    </w:p>
    <w:p>
      <w:pPr>
        <w:spacing w:before="150" w:after="150"/>
        <w:ind w:right="525"/>
        <w:rPr>
          <w:noProof/>
        </w:rPr>
      </w:pPr>
      <w:r>
        <w:rPr>
          <w:noProof/>
        </w:rPr>
        <w:t xml:space="preserve">Wijzigingen van de bijlagen A, B en C, en andere praktische regelingen die nodig zijn voor de toepassing van de in die bijlagen bedoelde wetgeving, worden vastgesteld in overleg tussen de diensten van de Europese Commissie en de autoriteiten van de Republiek San Marino.   </w:t>
      </w:r>
    </w:p>
    <w:p>
      <w:pPr>
        <w:keepNext/>
        <w:spacing w:before="360"/>
        <w:jc w:val="center"/>
        <w:rPr>
          <w:i/>
          <w:noProof/>
        </w:rPr>
      </w:pPr>
      <w:r>
        <w:rPr>
          <w:i/>
          <w:noProof/>
        </w:rPr>
        <w:t>Artikel 5</w:t>
      </w:r>
    </w:p>
    <w:p>
      <w:pPr>
        <w:rPr>
          <w:noProof/>
          <w:vertAlign w:val="superscript"/>
        </w:rPr>
      </w:pPr>
      <w:r>
        <w:rPr>
          <w:noProof/>
        </w:rPr>
        <w:t xml:space="preserve">Dit besluit treedt in werking op de dag waarop het wordt vastgesteld. </w:t>
      </w:r>
    </w:p>
    <w:p>
      <w:pPr>
        <w:keepNext/>
        <w:spacing w:after="0"/>
        <w:rPr>
          <w:noProof/>
        </w:rPr>
      </w:pPr>
      <w:r>
        <w:rPr>
          <w:noProof/>
        </w:rPr>
        <w:t>Gedaan te Brussel, XX YYYY 2018.</w:t>
      </w:r>
    </w:p>
    <w:p>
      <w:pPr>
        <w:keepNext/>
        <w:tabs>
          <w:tab w:val="left" w:pos="4252"/>
        </w:tabs>
        <w:spacing w:before="720" w:after="0"/>
        <w:rPr>
          <w:i/>
          <w:noProof/>
        </w:rPr>
      </w:pPr>
      <w:r>
        <w:rPr>
          <w:noProof/>
        </w:rPr>
        <w:tab/>
      </w:r>
      <w:r>
        <w:rPr>
          <w:i/>
          <w:noProof/>
        </w:rPr>
        <w:t>Voor het samenwerkingscomité</w:t>
      </w:r>
    </w:p>
    <w:p>
      <w:pPr>
        <w:tabs>
          <w:tab w:val="left" w:pos="4252"/>
        </w:tabs>
        <w:spacing w:before="0" w:after="0"/>
        <w:ind w:left="2880"/>
        <w:jc w:val="left"/>
        <w:rPr>
          <w:i/>
          <w:noProof/>
        </w:rPr>
      </w:pPr>
      <w:r>
        <w:rPr>
          <w:noProof/>
        </w:rPr>
        <w:tab/>
      </w:r>
      <w:r>
        <w:rPr>
          <w:i/>
          <w:noProof/>
        </w:rPr>
        <w:t xml:space="preserve">De voorzitter </w:t>
      </w:r>
      <w:r>
        <w:rPr>
          <w:i/>
          <w:noProof/>
        </w:rPr>
        <w:br/>
      </w:r>
    </w:p>
    <w:p>
      <w:pPr>
        <w:tabs>
          <w:tab w:val="left" w:pos="4252"/>
        </w:tabs>
        <w:spacing w:before="0" w:after="0"/>
        <w:jc w:val="left"/>
        <w:rPr>
          <w:i/>
          <w:noProof/>
        </w:rPr>
      </w:pPr>
      <w:r>
        <w:rPr>
          <w:i/>
          <w:noProof/>
        </w:rPr>
        <w:br/>
      </w:r>
    </w:p>
    <w:p>
      <w:pPr>
        <w:spacing w:before="0" w:after="200" w:line="276" w:lineRule="auto"/>
        <w:jc w:val="left"/>
        <w:rPr>
          <w:i/>
          <w:noProof/>
        </w:rPr>
      </w:pPr>
      <w:r>
        <w:rPr>
          <w:noProof/>
        </w:rPr>
        <w:br w:type="page"/>
      </w:r>
    </w:p>
    <w:p>
      <w:pPr>
        <w:jc w:val="center"/>
        <w:rPr>
          <w:b/>
          <w:noProof/>
        </w:rPr>
      </w:pPr>
      <w:r>
        <w:rPr>
          <w:b/>
          <w:noProof/>
        </w:rPr>
        <w:t>BIJLAGE A</w:t>
      </w:r>
    </w:p>
    <w:p>
      <w:pPr>
        <w:jc w:val="center"/>
        <w:rPr>
          <w:b/>
          <w:noProof/>
        </w:rPr>
      </w:pPr>
      <w:r>
        <w:rPr>
          <w:b/>
          <w:noProof/>
        </w:rPr>
        <w:t xml:space="preserve">LIJST VAN TOEPASSELIJKE BEPALINGEN INZAKE DE BIOLOGISCHE PRODUCTIE EN DE ETIKETTERING VAN BIOLOGISCHE PRODUCTEN  </w:t>
      </w:r>
    </w:p>
    <w:p>
      <w:pPr>
        <w:autoSpaceDE w:val="0"/>
        <w:autoSpaceDN w:val="0"/>
        <w:adjustRightInd w:val="0"/>
        <w:spacing w:before="0" w:after="0"/>
        <w:rPr>
          <w:b/>
          <w:noProof/>
        </w:rPr>
      </w:pPr>
    </w:p>
    <w:p>
      <w:pPr>
        <w:rPr>
          <w:rFonts w:eastAsia="Times New Roman"/>
          <w:noProof/>
          <w:szCs w:val="24"/>
        </w:rPr>
      </w:pPr>
      <w:r>
        <w:rPr>
          <w:noProof/>
        </w:rPr>
        <w:t>Verordening (EG) nr. 834/2007 van de Raad van 28 juni 2007 inzake de biologische productie en de etikettering van biologische producten en tot intrekking van Verordening (EEG) nr. 2092/91 (PB L 189 van 20.7.2007, blz. 1), als gewijzigd bij:</w:t>
      </w:r>
    </w:p>
    <w:p>
      <w:pPr>
        <w:ind w:left="1417" w:hanging="567"/>
        <w:rPr>
          <w:noProof/>
        </w:rPr>
      </w:pPr>
      <w:r>
        <w:rPr>
          <w:noProof/>
        </w:rPr>
        <w:t>-</w:t>
      </w:r>
      <w:r>
        <w:rPr>
          <w:noProof/>
        </w:rPr>
        <w:tab/>
        <w:t xml:space="preserve">Verordening (EG) nr. 967/2008 van de Raad van 29 september 2008 (PB L 264 van 3.10.2008, blz. 1), </w:t>
      </w:r>
    </w:p>
    <w:p>
      <w:pPr>
        <w:ind w:left="1417" w:hanging="567"/>
        <w:rPr>
          <w:rFonts w:eastAsia="Times New Roman"/>
          <w:noProof/>
          <w:szCs w:val="24"/>
        </w:rPr>
      </w:pPr>
      <w:r>
        <w:rPr>
          <w:noProof/>
        </w:rPr>
        <w:t>-</w:t>
      </w:r>
      <w:r>
        <w:rPr>
          <w:noProof/>
        </w:rPr>
        <w:tab/>
        <w:t>Verordening (EU) nr. 517/2013 van de Raad van 13 mei 2013 (PB L 158 van 10.6.2013, blz. 1).</w:t>
      </w:r>
    </w:p>
    <w:p>
      <w:pPr>
        <w:rPr>
          <w:rFonts w:eastAsia="Times New Roman"/>
          <w:noProof/>
          <w:szCs w:val="24"/>
        </w:rPr>
      </w:pPr>
      <w:r>
        <w:rPr>
          <w:noProof/>
        </w:rPr>
        <w:t>Verordening (EG) nr. 889/2008 van de Commissie van 5 september 2008 tot vaststelling van bepalingen ter uitvoering van Verordening (EG) nr. 834/2007 van de Raad inzake de biologische productie en de etikettering van biologische producten, wat de biologische productie, de etikettering en de controle betreft (PB L 250 van 18.9.2008, blz. 1), als gewijzigd bij:</w:t>
      </w:r>
    </w:p>
    <w:p>
      <w:pPr>
        <w:ind w:left="1984" w:hanging="567"/>
        <w:rPr>
          <w:rFonts w:eastAsia="Times New Roman"/>
          <w:noProof/>
          <w:szCs w:val="24"/>
        </w:rPr>
      </w:pPr>
      <w:r>
        <w:rPr>
          <w:noProof/>
        </w:rPr>
        <w:t>-</w:t>
      </w:r>
      <w:r>
        <w:rPr>
          <w:noProof/>
        </w:rPr>
        <w:tab/>
        <w:t>Verordening (EG) nr. 1254/2008 van de Commissie van 15 december 2008 (PB L 337 van 16.12.2008, blz. 80),</w:t>
      </w:r>
    </w:p>
    <w:p>
      <w:pPr>
        <w:ind w:left="1984" w:hanging="567"/>
        <w:rPr>
          <w:rFonts w:eastAsia="Times New Roman"/>
          <w:noProof/>
          <w:szCs w:val="24"/>
        </w:rPr>
      </w:pPr>
      <w:r>
        <w:rPr>
          <w:noProof/>
        </w:rPr>
        <w:t>-</w:t>
      </w:r>
      <w:r>
        <w:rPr>
          <w:noProof/>
        </w:rPr>
        <w:tab/>
        <w:t>Verordening (EG) nr. 710/2009 van de Commissie van 5 augustus 2009 (PB L 204 van 6.8.2009, blz. 15),</w:t>
      </w:r>
    </w:p>
    <w:p>
      <w:pPr>
        <w:ind w:left="1984" w:hanging="567"/>
        <w:rPr>
          <w:rFonts w:eastAsia="Times New Roman"/>
          <w:noProof/>
          <w:szCs w:val="24"/>
        </w:rPr>
      </w:pPr>
      <w:r>
        <w:rPr>
          <w:noProof/>
        </w:rPr>
        <w:t>-</w:t>
      </w:r>
      <w:r>
        <w:rPr>
          <w:noProof/>
        </w:rPr>
        <w:tab/>
        <w:t>Verordening (EU) nr. 271/2010 van de Commissie van 24 maart 2010 (PB L 84 van 31.3.2010, blz. 19),</w:t>
      </w:r>
    </w:p>
    <w:p>
      <w:pPr>
        <w:ind w:left="1984" w:hanging="567"/>
        <w:rPr>
          <w:rFonts w:eastAsia="Times New Roman"/>
          <w:noProof/>
          <w:szCs w:val="24"/>
        </w:rPr>
      </w:pPr>
      <w:r>
        <w:rPr>
          <w:noProof/>
        </w:rPr>
        <w:t>-</w:t>
      </w:r>
      <w:r>
        <w:rPr>
          <w:noProof/>
        </w:rPr>
        <w:tab/>
        <w:t>Uitvoeringsverordening (EU) nr. 344/2011 van de Commissie van 8 april 2011 (PB L 96 van 9.4.2011, blz. 15),</w:t>
      </w:r>
    </w:p>
    <w:p>
      <w:pPr>
        <w:ind w:left="1984" w:hanging="567"/>
        <w:rPr>
          <w:rFonts w:eastAsia="Times New Roman"/>
          <w:noProof/>
          <w:szCs w:val="24"/>
        </w:rPr>
      </w:pPr>
      <w:r>
        <w:rPr>
          <w:noProof/>
        </w:rPr>
        <w:t>-</w:t>
      </w:r>
      <w:r>
        <w:rPr>
          <w:noProof/>
        </w:rPr>
        <w:tab/>
        <w:t>Uitvoeringsverordening (EU) nr. 426/2011 van de Commissie van 2 mei 2011 (PB L 113 van 3.5.2011, blz. 1),</w:t>
      </w:r>
    </w:p>
    <w:p>
      <w:pPr>
        <w:ind w:left="1984" w:hanging="567"/>
        <w:rPr>
          <w:rFonts w:eastAsia="Times New Roman"/>
          <w:noProof/>
          <w:szCs w:val="24"/>
        </w:rPr>
      </w:pPr>
      <w:r>
        <w:rPr>
          <w:noProof/>
        </w:rPr>
        <w:t>-</w:t>
      </w:r>
      <w:r>
        <w:rPr>
          <w:noProof/>
        </w:rPr>
        <w:tab/>
        <w:t>Uitvoeringsverordening (EU) nr. 126/2012 van de Commissie van 14 februari 2012 (PB L 41 van 15.2.2012, blz. 5),</w:t>
      </w:r>
    </w:p>
    <w:p>
      <w:pPr>
        <w:ind w:left="1984" w:hanging="566"/>
        <w:rPr>
          <w:rFonts w:eastAsia="Times New Roman"/>
          <w:noProof/>
          <w:szCs w:val="24"/>
        </w:rPr>
      </w:pPr>
      <w:r>
        <w:rPr>
          <w:noProof/>
        </w:rPr>
        <w:t xml:space="preserve">- </w:t>
      </w:r>
      <w:r>
        <w:rPr>
          <w:noProof/>
        </w:rPr>
        <w:tab/>
        <w:t>Uitvoeringsverordening (EU) nr. 203/2012 van de Commissie van 8 maart 2012 (PB L 71 van 9.3.2012, blz. 42),</w:t>
      </w:r>
    </w:p>
    <w:p>
      <w:pPr>
        <w:ind w:left="1984" w:hanging="566"/>
        <w:rPr>
          <w:rFonts w:eastAsia="Times New Roman"/>
          <w:noProof/>
          <w:szCs w:val="24"/>
        </w:rPr>
      </w:pPr>
      <w:r>
        <w:rPr>
          <w:noProof/>
        </w:rPr>
        <w:t>-</w:t>
      </w:r>
      <w:r>
        <w:rPr>
          <w:noProof/>
        </w:rPr>
        <w:tab/>
        <w:t xml:space="preserve">Uitvoeringsverordening (EU) nr. 505/2012 van de Commissie van 14 juni 2012 (PB L 154 van 15.6.2012, blz. 12), </w:t>
      </w:r>
    </w:p>
    <w:p>
      <w:pPr>
        <w:ind w:left="1984" w:hanging="567"/>
        <w:rPr>
          <w:rFonts w:eastAsia="Times New Roman"/>
          <w:noProof/>
          <w:szCs w:val="24"/>
        </w:rPr>
      </w:pPr>
      <w:r>
        <w:rPr>
          <w:noProof/>
        </w:rPr>
        <w:t>-</w:t>
      </w:r>
      <w:r>
        <w:rPr>
          <w:noProof/>
        </w:rPr>
        <w:tab/>
        <w:t xml:space="preserve">Uitvoeringsverordening (EU) nr. 392/2013 van de Commissie van 29 april 2013 (PB L 118 van 30.4.2013, blz. 5), </w:t>
      </w:r>
    </w:p>
    <w:p>
      <w:pPr>
        <w:ind w:left="1984" w:hanging="567"/>
        <w:rPr>
          <w:rFonts w:eastAsia="Times New Roman"/>
          <w:noProof/>
          <w:szCs w:val="24"/>
        </w:rPr>
      </w:pPr>
      <w:r>
        <w:rPr>
          <w:noProof/>
        </w:rPr>
        <w:t>-</w:t>
      </w:r>
      <w:r>
        <w:rPr>
          <w:noProof/>
        </w:rPr>
        <w:tab/>
        <w:t>Verordening (EU) nr. 519/2013 van de Commissie van 21 februari 2013 (PB L 158 van 10.6.2013, blz. 74),</w:t>
      </w:r>
    </w:p>
    <w:p>
      <w:pPr>
        <w:ind w:left="1984" w:hanging="567"/>
        <w:rPr>
          <w:rFonts w:eastAsia="Times New Roman"/>
          <w:noProof/>
          <w:szCs w:val="24"/>
        </w:rPr>
      </w:pPr>
      <w:r>
        <w:rPr>
          <w:noProof/>
        </w:rPr>
        <w:t>-</w:t>
      </w:r>
      <w:r>
        <w:rPr>
          <w:noProof/>
        </w:rPr>
        <w:tab/>
        <w:t>Uitvoeringsverordening (EU) nr. 1030/2013 van de Commissie van 24 oktober 2013 (PB L 283 van 25.10.2013, blz. 15),</w:t>
      </w:r>
    </w:p>
    <w:p>
      <w:pPr>
        <w:ind w:left="1984" w:hanging="567"/>
        <w:rPr>
          <w:rFonts w:eastAsia="Times New Roman"/>
          <w:iCs/>
          <w:noProof/>
          <w:szCs w:val="24"/>
        </w:rPr>
      </w:pPr>
      <w:r>
        <w:rPr>
          <w:noProof/>
        </w:rPr>
        <w:t>-</w:t>
      </w:r>
      <w:r>
        <w:rPr>
          <w:noProof/>
        </w:rPr>
        <w:tab/>
        <w:t>Uitvoeringsverordening (EU) nr. 1364/2013 van de Commissie van 17 december 2013 (PB L 343 van 19.12.2013, blz. 29),</w:t>
      </w:r>
    </w:p>
    <w:p>
      <w:pPr>
        <w:ind w:left="1984" w:hanging="567"/>
        <w:rPr>
          <w:rFonts w:eastAsia="Times New Roman"/>
          <w:noProof/>
          <w:szCs w:val="24"/>
        </w:rPr>
      </w:pPr>
      <w:r>
        <w:rPr>
          <w:noProof/>
        </w:rPr>
        <w:t>-</w:t>
      </w:r>
      <w:r>
        <w:rPr>
          <w:noProof/>
        </w:rPr>
        <w:tab/>
        <w:t>Uitvoeringsverordening (EU) nr. 354/2014 van de Commissie van 8 april 2014 (PB L 106 van 9.4.2014, blz. 7),</w:t>
      </w:r>
    </w:p>
    <w:p>
      <w:pPr>
        <w:ind w:left="1984" w:hanging="567"/>
        <w:rPr>
          <w:rFonts w:eastAsia="Times New Roman"/>
          <w:noProof/>
          <w:szCs w:val="24"/>
        </w:rPr>
      </w:pPr>
      <w:r>
        <w:rPr>
          <w:noProof/>
        </w:rPr>
        <w:t>-</w:t>
      </w:r>
      <w:r>
        <w:rPr>
          <w:noProof/>
        </w:rPr>
        <w:tab/>
        <w:t xml:space="preserve">Uitvoeringsverordening (EU) nr. 836/2014 van de Commissie van 31 juli 2014 (PB L 230 van 1.8.2014, blz. 10), </w:t>
      </w:r>
    </w:p>
    <w:p>
      <w:pPr>
        <w:ind w:left="1984" w:hanging="567"/>
        <w:rPr>
          <w:rFonts w:eastAsia="Times New Roman"/>
          <w:noProof/>
          <w:szCs w:val="24"/>
        </w:rPr>
      </w:pPr>
      <w:r>
        <w:rPr>
          <w:noProof/>
        </w:rPr>
        <w:t>-</w:t>
      </w:r>
      <w:r>
        <w:rPr>
          <w:noProof/>
        </w:rPr>
        <w:tab/>
        <w:t>Uitvoeringsverordening (EU) nr. 1358/2014 van de Commissie van 18 december 2014 (PB L 365 van 19.12.2014, blz. 97),</w:t>
      </w:r>
    </w:p>
    <w:p>
      <w:pPr>
        <w:ind w:left="1984" w:hanging="567"/>
        <w:rPr>
          <w:rFonts w:eastAsia="Times New Roman"/>
          <w:bCs/>
          <w:noProof/>
          <w:szCs w:val="24"/>
        </w:rPr>
      </w:pPr>
      <w:r>
        <w:rPr>
          <w:noProof/>
        </w:rPr>
        <w:t>-</w:t>
      </w:r>
      <w:r>
        <w:rPr>
          <w:noProof/>
        </w:rPr>
        <w:tab/>
        <w:t>Uitvoeringsverordening (EU) 2016/673 van de Commissie van 29 april 2016 (PB L 116 van 30.4.2016, blz. 8),</w:t>
      </w:r>
    </w:p>
    <w:p>
      <w:pPr>
        <w:ind w:left="1984" w:hanging="567"/>
        <w:rPr>
          <w:rFonts w:eastAsia="Times New Roman"/>
          <w:bCs/>
          <w:noProof/>
          <w:szCs w:val="24"/>
        </w:rPr>
      </w:pPr>
      <w:r>
        <w:rPr>
          <w:noProof/>
        </w:rPr>
        <w:t>-</w:t>
      </w:r>
      <w:r>
        <w:rPr>
          <w:noProof/>
        </w:rPr>
        <w:tab/>
        <w:t>Uitvoeringsverordening (EU) 2016/1842 van de Commissie van 14 oktober 2016 (PB L 282 van 19.10.2016, blz. 19),</w:t>
      </w:r>
    </w:p>
    <w:p>
      <w:pPr>
        <w:ind w:left="1984" w:hanging="567"/>
        <w:rPr>
          <w:rFonts w:eastAsia="Times New Roman"/>
          <w:bCs/>
          <w:noProof/>
          <w:szCs w:val="24"/>
        </w:rPr>
      </w:pPr>
      <w:r>
        <w:rPr>
          <w:noProof/>
        </w:rPr>
        <w:t>-</w:t>
      </w:r>
      <w:r>
        <w:rPr>
          <w:noProof/>
        </w:rPr>
        <w:tab/>
        <w:t>Uitvoeringsverordening (EU) 2017/838 van de Commissie van 17 mei 2017 (PB L 125 van 18.5.2017, blz. 5),</w:t>
      </w:r>
    </w:p>
    <w:p>
      <w:pPr>
        <w:ind w:left="1984" w:hanging="567"/>
        <w:rPr>
          <w:rFonts w:eastAsia="Times New Roman"/>
          <w:bCs/>
          <w:noProof/>
          <w:szCs w:val="24"/>
        </w:rPr>
      </w:pPr>
      <w:r>
        <w:rPr>
          <w:noProof/>
        </w:rPr>
        <w:t>-</w:t>
      </w:r>
      <w:r>
        <w:rPr>
          <w:noProof/>
        </w:rPr>
        <w:tab/>
        <w:t>Uitvoeringsverordening (EU) 2017/2273 van de Commissie van 8 december 2017 (PB L 326 van 9.12.2017, blz. 42),</w:t>
      </w:r>
    </w:p>
    <w:p>
      <w:pPr>
        <w:rPr>
          <w:rFonts w:eastAsia="Times New Roman"/>
          <w:noProof/>
          <w:szCs w:val="24"/>
        </w:rPr>
      </w:pPr>
    </w:p>
    <w:p>
      <w:pPr>
        <w:rPr>
          <w:rFonts w:eastAsia="Times New Roman"/>
          <w:noProof/>
          <w:szCs w:val="24"/>
        </w:rPr>
      </w:pPr>
      <w:r>
        <w:rPr>
          <w:noProof/>
        </w:rPr>
        <w:t>Verordening (EG) nr. 1235/2008 van de Commissie van 8 december 2008 houdende bepalingen ter uitvoering van Verordening (EG) nr. 834/2007 van de Raad wat de regeling voor de invoer van biologische producten uit derde landen betreft (PB L 334 van 12.12.2008, blz. 25), als gewijzigd bij:</w:t>
      </w:r>
    </w:p>
    <w:p>
      <w:pPr>
        <w:ind w:left="1984" w:hanging="567"/>
        <w:rPr>
          <w:rFonts w:eastAsia="Times New Roman"/>
          <w:noProof/>
          <w:szCs w:val="24"/>
        </w:rPr>
      </w:pPr>
      <w:r>
        <w:rPr>
          <w:noProof/>
        </w:rPr>
        <w:t>-</w:t>
      </w:r>
      <w:r>
        <w:rPr>
          <w:noProof/>
        </w:rPr>
        <w:tab/>
        <w:t>Verordening (EG) nr. 537/2009 van de Commissie van 19 juni 2009 (PB L 159 van 20.6.2009, blz. 6),</w:t>
      </w:r>
    </w:p>
    <w:p>
      <w:pPr>
        <w:ind w:left="1984" w:hanging="567"/>
        <w:rPr>
          <w:rFonts w:eastAsia="Times New Roman"/>
          <w:noProof/>
          <w:szCs w:val="24"/>
        </w:rPr>
      </w:pPr>
      <w:r>
        <w:rPr>
          <w:noProof/>
        </w:rPr>
        <w:t>-</w:t>
      </w:r>
      <w:r>
        <w:rPr>
          <w:noProof/>
        </w:rPr>
        <w:tab/>
        <w:t>Verordening (EU) nr. 471/2010 van de Commissie van 31 mei 2010 (PB L 134 van 1.6.2010, blz. 1),</w:t>
      </w:r>
    </w:p>
    <w:p>
      <w:pPr>
        <w:ind w:left="1984" w:hanging="567"/>
        <w:rPr>
          <w:rFonts w:eastAsia="Times New Roman"/>
          <w:noProof/>
          <w:szCs w:val="24"/>
        </w:rPr>
      </w:pPr>
      <w:r>
        <w:rPr>
          <w:noProof/>
        </w:rPr>
        <w:t>-</w:t>
      </w:r>
      <w:r>
        <w:rPr>
          <w:noProof/>
        </w:rPr>
        <w:tab/>
        <w:t>Uitvoeringsverordening (EU) nr. 590/2011 van de Commissie van 20 juni 2011 (PB L 161 van 21.6.2011, blz. 9),</w:t>
      </w:r>
    </w:p>
    <w:p>
      <w:pPr>
        <w:ind w:left="1984" w:hanging="567"/>
        <w:rPr>
          <w:rFonts w:eastAsia="Times New Roman"/>
          <w:noProof/>
          <w:szCs w:val="24"/>
        </w:rPr>
      </w:pPr>
      <w:r>
        <w:rPr>
          <w:noProof/>
        </w:rPr>
        <w:t>-</w:t>
      </w:r>
      <w:r>
        <w:rPr>
          <w:noProof/>
        </w:rPr>
        <w:tab/>
        <w:t>Uitvoeringsverordening (EU) nr. 1084/2011 van de Commissie van 27 oktober 2011 (PB L 281 van 28.10.2011, blz. 3),</w:t>
      </w:r>
    </w:p>
    <w:p>
      <w:pPr>
        <w:ind w:left="1984" w:hanging="567"/>
        <w:rPr>
          <w:rFonts w:eastAsia="Times New Roman"/>
          <w:noProof/>
          <w:szCs w:val="24"/>
        </w:rPr>
      </w:pPr>
      <w:r>
        <w:rPr>
          <w:noProof/>
        </w:rPr>
        <w:t>-</w:t>
      </w:r>
      <w:r>
        <w:rPr>
          <w:noProof/>
        </w:rPr>
        <w:tab/>
        <w:t xml:space="preserve">Uitvoeringsverordening (EU) nr. 1267/2011 van de Commissie van 6 december 2011 (PB L 324 van 7.12.2011, blz. 9), </w:t>
      </w:r>
    </w:p>
    <w:p>
      <w:pPr>
        <w:ind w:left="1984" w:hanging="567"/>
        <w:rPr>
          <w:rFonts w:eastAsia="Times New Roman"/>
          <w:noProof/>
          <w:szCs w:val="24"/>
        </w:rPr>
      </w:pPr>
      <w:r>
        <w:rPr>
          <w:noProof/>
        </w:rPr>
        <w:t>-</w:t>
      </w:r>
      <w:r>
        <w:rPr>
          <w:noProof/>
        </w:rPr>
        <w:tab/>
        <w:t xml:space="preserve">Uitvoeringsverordening (EU) nr. 126/2012 van de Commissie van 14 februari 2012 (PB L 41 van 15.2.2012, blz. 5), </w:t>
      </w:r>
    </w:p>
    <w:p>
      <w:pPr>
        <w:ind w:left="1984" w:hanging="567"/>
        <w:rPr>
          <w:rFonts w:eastAsia="Times New Roman"/>
          <w:noProof/>
          <w:szCs w:val="24"/>
        </w:rPr>
      </w:pPr>
      <w:r>
        <w:rPr>
          <w:noProof/>
        </w:rPr>
        <w:t>-</w:t>
      </w:r>
      <w:r>
        <w:rPr>
          <w:noProof/>
        </w:rPr>
        <w:tab/>
        <w:t>Uitvoeringsverordening (EU) nr. 508/2012 van de Commissie van 20 juni 2012 (PB L 162 van 21.6.2012, blz. 1),</w:t>
      </w:r>
    </w:p>
    <w:p>
      <w:pPr>
        <w:ind w:left="1984" w:hanging="567"/>
        <w:rPr>
          <w:rFonts w:eastAsia="Times New Roman"/>
          <w:noProof/>
          <w:szCs w:val="24"/>
        </w:rPr>
      </w:pPr>
      <w:r>
        <w:rPr>
          <w:noProof/>
        </w:rPr>
        <w:t>-</w:t>
      </w:r>
      <w:r>
        <w:rPr>
          <w:noProof/>
        </w:rPr>
        <w:tab/>
        <w:t>Uitvoeringsverordening (EU) nr. 751/2012 van de Commissie van 16 augustus 2012 (PB L 222 van 18.8.2012, blz. 5),</w:t>
      </w:r>
    </w:p>
    <w:p>
      <w:pPr>
        <w:ind w:left="1984" w:hanging="566"/>
        <w:rPr>
          <w:rFonts w:eastAsia="Times New Roman"/>
          <w:noProof/>
          <w:szCs w:val="24"/>
        </w:rPr>
      </w:pPr>
      <w:r>
        <w:rPr>
          <w:noProof/>
        </w:rPr>
        <w:t>-</w:t>
      </w:r>
      <w:r>
        <w:rPr>
          <w:noProof/>
        </w:rPr>
        <w:tab/>
        <w:t>Uitvoeringsverordening (EU) nr. 125/2013 van de Commissie van 13 februari 2013 (PB L 43 van 14.2.2013, blz. 1),</w:t>
      </w:r>
    </w:p>
    <w:p>
      <w:pPr>
        <w:ind w:left="1984" w:hanging="566"/>
        <w:rPr>
          <w:rFonts w:eastAsia="Times New Roman"/>
          <w:noProof/>
          <w:szCs w:val="24"/>
        </w:rPr>
      </w:pPr>
      <w:r>
        <w:rPr>
          <w:noProof/>
        </w:rPr>
        <w:t>-</w:t>
      </w:r>
      <w:r>
        <w:rPr>
          <w:noProof/>
        </w:rPr>
        <w:tab/>
        <w:t>Verordening (EU) nr. 519/2013 van de Commissie van 21 februari 2013 (PB L 158 van 10.6.2013, blz. 74),</w:t>
      </w:r>
    </w:p>
    <w:p>
      <w:pPr>
        <w:ind w:left="1984" w:hanging="567"/>
        <w:rPr>
          <w:rFonts w:eastAsia="Times New Roman"/>
          <w:noProof/>
          <w:szCs w:val="24"/>
        </w:rPr>
      </w:pPr>
      <w:r>
        <w:rPr>
          <w:noProof/>
        </w:rPr>
        <w:t>-</w:t>
      </w:r>
      <w:r>
        <w:rPr>
          <w:noProof/>
        </w:rPr>
        <w:tab/>
        <w:t>Uitvoeringsverordening (EU) nr. 567/2013 van de Commissie van 18 juni 2013 (PB L 167 van 19.6.2013, blz. 30),</w:t>
      </w:r>
    </w:p>
    <w:p>
      <w:pPr>
        <w:ind w:left="1984" w:hanging="567"/>
        <w:rPr>
          <w:rFonts w:eastAsia="Times New Roman"/>
          <w:noProof/>
          <w:szCs w:val="24"/>
        </w:rPr>
      </w:pPr>
      <w:r>
        <w:rPr>
          <w:noProof/>
        </w:rPr>
        <w:t>-</w:t>
      </w:r>
      <w:r>
        <w:rPr>
          <w:noProof/>
        </w:rPr>
        <w:tab/>
        <w:t>Uitvoeringsverordening (EU) nr. 586/2013 van de Commissie van 20 juni 2013 (PB L 169 van 21.6.2013, blz. 51),</w:t>
      </w:r>
    </w:p>
    <w:p>
      <w:pPr>
        <w:ind w:left="1984" w:hanging="567"/>
        <w:rPr>
          <w:rFonts w:eastAsia="Times New Roman"/>
          <w:noProof/>
          <w:szCs w:val="24"/>
        </w:rPr>
      </w:pPr>
      <w:r>
        <w:rPr>
          <w:noProof/>
        </w:rPr>
        <w:t>-</w:t>
      </w:r>
      <w:r>
        <w:rPr>
          <w:noProof/>
        </w:rPr>
        <w:tab/>
        <w:t>Uitvoeringsverordening (EU) nr. 355/2014 van de Commissie van 8 april 2014 (PB L 106 van 9.4.2014, blz. 15),</w:t>
      </w:r>
    </w:p>
    <w:p>
      <w:pPr>
        <w:ind w:left="1984" w:hanging="567"/>
        <w:rPr>
          <w:rFonts w:eastAsia="Times New Roman"/>
          <w:noProof/>
          <w:szCs w:val="24"/>
        </w:rPr>
      </w:pPr>
      <w:r>
        <w:rPr>
          <w:noProof/>
        </w:rPr>
        <w:t>-</w:t>
      </w:r>
      <w:r>
        <w:rPr>
          <w:noProof/>
        </w:rPr>
        <w:tab/>
        <w:t>Uitvoeringsverordening (EU) nr. 442/2014 van de Commissie van 30 april 2014 (PB L 130 van 1.5.2014, blz. 39),</w:t>
      </w:r>
    </w:p>
    <w:p>
      <w:pPr>
        <w:ind w:left="1984" w:hanging="567"/>
        <w:rPr>
          <w:rFonts w:eastAsia="Times New Roman"/>
          <w:noProof/>
          <w:szCs w:val="24"/>
        </w:rPr>
      </w:pPr>
      <w:r>
        <w:rPr>
          <w:noProof/>
        </w:rPr>
        <w:t>-</w:t>
      </w:r>
      <w:r>
        <w:rPr>
          <w:noProof/>
        </w:rPr>
        <w:tab/>
        <w:t>Uitvoeringsverordening (EU) nr. 644/2014 van de Commissie van 16 juni 2014 (PB L 177 van 17.6.2014, blz. 42),</w:t>
      </w:r>
    </w:p>
    <w:p>
      <w:pPr>
        <w:ind w:left="1984" w:hanging="567"/>
        <w:rPr>
          <w:rFonts w:eastAsia="Times New Roman"/>
          <w:noProof/>
          <w:szCs w:val="24"/>
        </w:rPr>
      </w:pPr>
      <w:r>
        <w:rPr>
          <w:noProof/>
        </w:rPr>
        <w:t>-</w:t>
      </w:r>
      <w:r>
        <w:rPr>
          <w:noProof/>
        </w:rPr>
        <w:tab/>
        <w:t>Uitvoeringsverordening (EU) nr. 829/2014 van de Commissie van 30 juli 2014 (PB L 228 van 31.7.2014, blz. 9),</w:t>
      </w:r>
    </w:p>
    <w:p>
      <w:pPr>
        <w:ind w:left="1984" w:hanging="567"/>
        <w:rPr>
          <w:rFonts w:eastAsia="Times New Roman"/>
          <w:noProof/>
          <w:szCs w:val="24"/>
        </w:rPr>
      </w:pPr>
      <w:r>
        <w:rPr>
          <w:noProof/>
        </w:rPr>
        <w:t>-</w:t>
      </w:r>
      <w:r>
        <w:rPr>
          <w:noProof/>
        </w:rPr>
        <w:tab/>
        <w:t xml:space="preserve">Uitvoeringsverordening (EU) nr. 1287/2014 van de Commissie van 28 november 2014 (PB L 348 van 4.12.2014, blz. 1), </w:t>
      </w:r>
    </w:p>
    <w:p>
      <w:pPr>
        <w:ind w:left="1984" w:hanging="567"/>
        <w:rPr>
          <w:rFonts w:eastAsia="Times New Roman"/>
          <w:noProof/>
          <w:szCs w:val="24"/>
        </w:rPr>
      </w:pPr>
      <w:r>
        <w:rPr>
          <w:noProof/>
        </w:rPr>
        <w:t>-</w:t>
      </w:r>
      <w:r>
        <w:rPr>
          <w:noProof/>
        </w:rPr>
        <w:tab/>
        <w:t>Uitvoeringsverordening (EU) 2015/131 van de Commissie van 26 januari 2015 (PB L 23 van 29.1.2015, blz. 1),</w:t>
      </w:r>
    </w:p>
    <w:p>
      <w:pPr>
        <w:ind w:left="1984" w:hanging="567"/>
        <w:rPr>
          <w:rFonts w:eastAsia="Times New Roman"/>
          <w:noProof/>
          <w:szCs w:val="24"/>
        </w:rPr>
      </w:pPr>
      <w:r>
        <w:rPr>
          <w:noProof/>
        </w:rPr>
        <w:t>-</w:t>
      </w:r>
      <w:r>
        <w:rPr>
          <w:noProof/>
        </w:rPr>
        <w:tab/>
        <w:t>Uitvoeringsverordening (EU) 2015/931 van de Commissie van 17 juni 2015 (PB L 151 van 18.6.2015, blz. 1),</w:t>
      </w:r>
    </w:p>
    <w:p>
      <w:pPr>
        <w:ind w:left="1984" w:hanging="567"/>
        <w:rPr>
          <w:rFonts w:eastAsia="Times New Roman"/>
          <w:noProof/>
          <w:szCs w:val="24"/>
        </w:rPr>
      </w:pPr>
      <w:r>
        <w:rPr>
          <w:noProof/>
        </w:rPr>
        <w:t>-</w:t>
      </w:r>
      <w:r>
        <w:rPr>
          <w:noProof/>
        </w:rPr>
        <w:tab/>
        <w:t>Uitvoeringsverordening (EU) 2015/1980 van de Commissie van 4 november 2015 (PB L 289 van 5.11.2015, blz. 6),</w:t>
      </w:r>
    </w:p>
    <w:p>
      <w:pPr>
        <w:ind w:left="1984" w:hanging="567"/>
        <w:rPr>
          <w:rFonts w:eastAsia="Times New Roman"/>
          <w:noProof/>
          <w:szCs w:val="24"/>
        </w:rPr>
      </w:pPr>
      <w:r>
        <w:rPr>
          <w:noProof/>
        </w:rPr>
        <w:t>-</w:t>
      </w:r>
      <w:r>
        <w:rPr>
          <w:noProof/>
        </w:rPr>
        <w:tab/>
        <w:t>Uitvoeringsverordening (EU) 2015/2345 van de Commissie van 15 december 2015 (PB L 330 van 16.12.2015, blz. 29),</w:t>
      </w:r>
    </w:p>
    <w:p>
      <w:pPr>
        <w:ind w:left="1984" w:hanging="567"/>
        <w:rPr>
          <w:rFonts w:eastAsia="Times New Roman"/>
          <w:bCs/>
          <w:noProof/>
          <w:szCs w:val="24"/>
        </w:rPr>
      </w:pPr>
      <w:r>
        <w:rPr>
          <w:noProof/>
        </w:rPr>
        <w:t>-</w:t>
      </w:r>
      <w:r>
        <w:rPr>
          <w:noProof/>
        </w:rPr>
        <w:tab/>
        <w:t>Uitvoeringsverordening (EU) 2016/459 van de Commissie van 18 maart 2016 (PB L 80 van 31.3.2016, blz. 14),</w:t>
      </w:r>
    </w:p>
    <w:p>
      <w:pPr>
        <w:ind w:left="1984" w:hanging="567"/>
        <w:rPr>
          <w:rFonts w:eastAsia="Times New Roman"/>
          <w:bCs/>
          <w:noProof/>
          <w:szCs w:val="24"/>
        </w:rPr>
      </w:pPr>
      <w:r>
        <w:rPr>
          <w:noProof/>
        </w:rPr>
        <w:t>-</w:t>
      </w:r>
      <w:r>
        <w:rPr>
          <w:noProof/>
        </w:rPr>
        <w:tab/>
        <w:t>Uitvoeringsverordening (EU) 2016/910 van de Commissie van 9 juni 2016 (PB L 153 van 10.6.2016, blz. 23),</w:t>
      </w:r>
    </w:p>
    <w:p>
      <w:pPr>
        <w:ind w:left="1984" w:hanging="567"/>
        <w:rPr>
          <w:noProof/>
        </w:rPr>
      </w:pPr>
      <w:r>
        <w:rPr>
          <w:noProof/>
        </w:rPr>
        <w:t>-</w:t>
      </w:r>
      <w:r>
        <w:rPr>
          <w:noProof/>
        </w:rPr>
        <w:tab/>
        <w:t xml:space="preserve">Uitvoeringsverordening (EU) 2016/1330 van de Commissie van 2 augustus 2016 (PB L 210 van 4.8.2016, blz. 43), </w:t>
      </w:r>
    </w:p>
    <w:p>
      <w:pPr>
        <w:ind w:left="1984" w:hanging="567"/>
        <w:rPr>
          <w:rFonts w:eastAsia="Times New Roman"/>
          <w:bCs/>
          <w:noProof/>
          <w:szCs w:val="24"/>
        </w:rPr>
      </w:pPr>
      <w:r>
        <w:rPr>
          <w:noProof/>
        </w:rPr>
        <w:t>-</w:t>
      </w:r>
      <w:r>
        <w:rPr>
          <w:noProof/>
        </w:rPr>
        <w:tab/>
        <w:t>Uitvoeringsverordening (EU) 2016/1842 van de Commissie van 14 oktober 2016 (PB L 282 van 19.10.2016, blz. 19),</w:t>
      </w:r>
    </w:p>
    <w:p>
      <w:pPr>
        <w:ind w:left="1984" w:hanging="567"/>
        <w:rPr>
          <w:rFonts w:eastAsia="Times New Roman"/>
          <w:bCs/>
          <w:noProof/>
          <w:szCs w:val="24"/>
        </w:rPr>
      </w:pPr>
      <w:r>
        <w:rPr>
          <w:noProof/>
        </w:rPr>
        <w:t>-</w:t>
      </w:r>
      <w:r>
        <w:rPr>
          <w:noProof/>
        </w:rPr>
        <w:tab/>
        <w:t xml:space="preserve">Uitvoeringsverordening (EU) 2016/2259 van de Commissie van 15 december 2016 (PB L 342 van 16.12.2016, blz. 4), </w:t>
      </w:r>
    </w:p>
    <w:p>
      <w:pPr>
        <w:ind w:left="1984" w:hanging="567"/>
        <w:rPr>
          <w:rFonts w:eastAsia="Times New Roman"/>
          <w:bCs/>
          <w:noProof/>
          <w:szCs w:val="24"/>
        </w:rPr>
      </w:pPr>
      <w:r>
        <w:rPr>
          <w:noProof/>
        </w:rPr>
        <w:t>-</w:t>
      </w:r>
      <w:r>
        <w:rPr>
          <w:noProof/>
        </w:rPr>
        <w:tab/>
        <w:t>Uitvoeringsverordening (EU) 2017/872 van de Commissie van 22 mei 2017 (PB L 134 van 23.5.2017, blz. 6),</w:t>
      </w:r>
    </w:p>
    <w:p>
      <w:pPr>
        <w:ind w:left="1984" w:hanging="567"/>
        <w:rPr>
          <w:rFonts w:eastAsia="Times New Roman"/>
          <w:bCs/>
          <w:noProof/>
          <w:szCs w:val="24"/>
        </w:rPr>
      </w:pPr>
      <w:r>
        <w:rPr>
          <w:noProof/>
        </w:rPr>
        <w:t>-</w:t>
      </w:r>
      <w:r>
        <w:rPr>
          <w:noProof/>
        </w:rPr>
        <w:tab/>
        <w:t>Uitvoeringsverordening (EU) 2017/1473 van de Commissie van 14 augustus 2017 (PB L 210 van 15.8.2017, blz. 4),</w:t>
      </w:r>
    </w:p>
    <w:p>
      <w:pPr>
        <w:ind w:left="1984" w:hanging="567"/>
        <w:rPr>
          <w:rFonts w:eastAsia="Times New Roman"/>
          <w:bCs/>
          <w:noProof/>
          <w:szCs w:val="24"/>
        </w:rPr>
      </w:pPr>
      <w:r>
        <w:rPr>
          <w:noProof/>
        </w:rPr>
        <w:t>-</w:t>
      </w:r>
      <w:r>
        <w:rPr>
          <w:noProof/>
        </w:rPr>
        <w:tab/>
        <w:t>Uitvoeringsverordening (EU) 2017/1862 van de Commissie van 16 oktober 2017 (PB L 266 van 17.10.2017, blz. 1),</w:t>
      </w:r>
    </w:p>
    <w:p>
      <w:pPr>
        <w:ind w:left="1984" w:hanging="567"/>
        <w:rPr>
          <w:rFonts w:eastAsia="Times New Roman"/>
          <w:bCs/>
          <w:noProof/>
          <w:szCs w:val="24"/>
        </w:rPr>
      </w:pPr>
      <w:r>
        <w:rPr>
          <w:noProof/>
        </w:rPr>
        <w:t>-</w:t>
      </w:r>
      <w:r>
        <w:rPr>
          <w:noProof/>
        </w:rPr>
        <w:tab/>
        <w:t>Uitvoeringsverordening (EU) 2017/2329 van de Commissie van 14 december 2017 (PB L 333 van 15.12.2017, blz. 29),</w:t>
      </w:r>
    </w:p>
    <w:p>
      <w:pPr>
        <w:ind w:left="1984" w:hanging="567"/>
        <w:rPr>
          <w:rFonts w:eastAsia="Times New Roman"/>
          <w:bCs/>
          <w:noProof/>
          <w:szCs w:val="24"/>
        </w:rPr>
      </w:pPr>
      <w:r>
        <w:rPr>
          <w:noProof/>
        </w:rPr>
        <w:t>-</w:t>
      </w:r>
      <w:r>
        <w:rPr>
          <w:noProof/>
        </w:rPr>
        <w:tab/>
        <w:t>Uitvoeringsverordening (EU) 2018/949 van de Commissie van 3 juli 2018 (PB L 167 van 4.7.2018, blz. 3),</w:t>
      </w:r>
    </w:p>
    <w:p>
      <w:pPr>
        <w:ind w:left="1984" w:hanging="567"/>
        <w:rPr>
          <w:rFonts w:eastAsia="Times New Roman"/>
          <w:bCs/>
          <w:noProof/>
          <w:szCs w:val="24"/>
        </w:rPr>
      </w:pPr>
      <w:r>
        <w:rPr>
          <w:noProof/>
        </w:rPr>
        <w:t>als gerectificeerd bij:</w:t>
      </w:r>
    </w:p>
    <w:p>
      <w:pPr>
        <w:ind w:left="1984" w:hanging="567"/>
        <w:rPr>
          <w:rFonts w:eastAsia="Times New Roman"/>
          <w:bCs/>
          <w:noProof/>
          <w:szCs w:val="24"/>
        </w:rPr>
      </w:pPr>
      <w:r>
        <w:rPr>
          <w:noProof/>
        </w:rPr>
        <w:t>PB 28 van 4.2.2015, blz. 48 (1287/2014),</w:t>
      </w:r>
    </w:p>
    <w:p>
      <w:pPr>
        <w:ind w:left="1984" w:hanging="567"/>
        <w:rPr>
          <w:rFonts w:eastAsia="Times New Roman"/>
          <w:bCs/>
          <w:noProof/>
          <w:szCs w:val="24"/>
        </w:rPr>
      </w:pPr>
      <w:r>
        <w:rPr>
          <w:noProof/>
        </w:rPr>
        <w:t>PB 241 van 17.9.2015, blz. 51 (2015/131).</w:t>
      </w:r>
    </w:p>
    <w:p>
      <w:pPr>
        <w:jc w:val="center"/>
        <w:rPr>
          <w:b/>
          <w:noProof/>
        </w:rPr>
      </w:pPr>
      <w:r>
        <w:rPr>
          <w:b/>
          <w:noProof/>
        </w:rPr>
        <w:t>BIJLAGE B</w:t>
      </w:r>
    </w:p>
    <w:p>
      <w:pPr>
        <w:jc w:val="center"/>
        <w:rPr>
          <w:b/>
          <w:noProof/>
        </w:rPr>
      </w:pPr>
      <w:r>
        <w:rPr>
          <w:b/>
          <w:noProof/>
        </w:rPr>
        <w:t>IN ARTIKEL 2 BEDOELDE REGELINGEN</w:t>
      </w:r>
    </w:p>
    <w:p>
      <w:pPr>
        <w:jc w:val="center"/>
        <w:rPr>
          <w:noProof/>
        </w:rPr>
      </w:pPr>
    </w:p>
    <w:p>
      <w:pPr>
        <w:pStyle w:val="Point0"/>
        <w:spacing w:after="240"/>
        <w:ind w:left="851" w:hanging="851"/>
        <w:rPr>
          <w:noProof/>
        </w:rPr>
      </w:pPr>
      <w:r>
        <w:rPr>
          <w:noProof/>
        </w:rPr>
        <w:t xml:space="preserve"> 1. </w:t>
      </w:r>
      <w:r>
        <w:rPr>
          <w:noProof/>
        </w:rPr>
        <w:tab/>
        <w:t>Uit derde landen in de Republiek San Marino ingevoerde biologische producten worden vergezeld van een controlecertificaat als bedoeld in artikel 33, lid 1, onder d), eerste alinea, van Verordening (EG) nr. 834/2007.</w:t>
      </w:r>
    </w:p>
    <w:p>
      <w:pPr>
        <w:pStyle w:val="Point0"/>
        <w:spacing w:after="240"/>
        <w:ind w:left="851" w:hanging="851"/>
        <w:rPr>
          <w:noProof/>
        </w:rPr>
      </w:pPr>
      <w:r>
        <w:rPr>
          <w:noProof/>
        </w:rPr>
        <w:t xml:space="preserve">2. </w:t>
      </w:r>
      <w:r>
        <w:rPr>
          <w:noProof/>
        </w:rPr>
        <w:tab/>
        <w:t>De Republiek San Marino gebruikt het bij Beschikking 2003/24/EG van de Commissie</w:t>
      </w:r>
      <w:r>
        <w:rPr>
          <w:rStyle w:val="FootnoteReference"/>
          <w:noProof/>
        </w:rPr>
        <w:footnoteReference w:id="2"/>
      </w:r>
      <w:r>
        <w:rPr>
          <w:noProof/>
        </w:rPr>
        <w:t xml:space="preserve"> ingevoerde elektronische Traces-systeem (Trade Control and Expert System) om de elektronische controlecertificaten voor de invoer van biologische producten uit derde landen te verwerken. </w:t>
      </w:r>
    </w:p>
    <w:p>
      <w:pPr>
        <w:pStyle w:val="Point0"/>
        <w:spacing w:after="240"/>
        <w:ind w:left="851" w:hanging="851"/>
        <w:rPr>
          <w:rFonts w:eastAsia="Times New Roman"/>
          <w:noProof/>
          <w:szCs w:val="24"/>
        </w:rPr>
      </w:pPr>
      <w:r>
        <w:rPr>
          <w:noProof/>
        </w:rPr>
        <w:t xml:space="preserve">3. </w:t>
      </w:r>
      <w:r>
        <w:rPr>
          <w:noProof/>
        </w:rPr>
        <w:tab/>
        <w:t>Voor de toepassing van artikel 13 van Verordening (EG) nr. 1235/2008 met betrekking tot de invoer in de Republiek San Marino van biologische producten uit derde landen, worden de controlecertificaten geverifieerd en geviseerd met Traces door de in bijlage II van het "Omnibus"-besluit nr. 1/2010</w:t>
      </w:r>
      <w:r>
        <w:rPr>
          <w:rStyle w:val="FootnoteReference"/>
          <w:noProof/>
        </w:rPr>
        <w:footnoteReference w:id="3"/>
      </w:r>
      <w:r>
        <w:rPr>
          <w:noProof/>
        </w:rPr>
        <w:t xml:space="preserve"> vermelde douanekantoren.</w:t>
      </w:r>
    </w:p>
    <w:p>
      <w:pPr>
        <w:pStyle w:val="Point0"/>
        <w:spacing w:after="240"/>
        <w:ind w:left="851" w:hanging="851"/>
        <w:rPr>
          <w:noProof/>
        </w:rPr>
      </w:pPr>
      <w:r>
        <w:rPr>
          <w:noProof/>
        </w:rPr>
        <w:t xml:space="preserve">4. </w:t>
      </w:r>
      <w:r>
        <w:rPr>
          <w:noProof/>
        </w:rPr>
        <w:tab/>
        <w:t>Voor de toepassing van artikel 16, lid 2, van Verordening (EG) nr. 1235/2008, kan de Republiek San Marino worden verzocht als mederapporteur op te treden. De Republiek San Marino kan deze taak naar eigen goeddunken aanvaarden.</w:t>
      </w:r>
    </w:p>
    <w:p>
      <w:pPr>
        <w:spacing w:before="0" w:after="200" w:line="276" w:lineRule="auto"/>
        <w:jc w:val="left"/>
        <w:rPr>
          <w:b/>
          <w:noProof/>
        </w:rPr>
      </w:pPr>
      <w:r>
        <w:rPr>
          <w:noProof/>
        </w:rPr>
        <w:br w:type="page"/>
      </w:r>
    </w:p>
    <w:p>
      <w:pPr>
        <w:jc w:val="center"/>
        <w:rPr>
          <w:b/>
          <w:noProof/>
        </w:rPr>
      </w:pPr>
      <w:r>
        <w:rPr>
          <w:b/>
          <w:noProof/>
        </w:rPr>
        <w:t>BIJLAGE C</w:t>
      </w:r>
    </w:p>
    <w:p>
      <w:pPr>
        <w:pStyle w:val="ListParagraph"/>
        <w:jc w:val="center"/>
        <w:rPr>
          <w:b/>
          <w:noProof/>
        </w:rPr>
      </w:pPr>
      <w:r>
        <w:rPr>
          <w:b/>
          <w:noProof/>
        </w:rPr>
        <w:t>IN ARTIKEL 3 BEDOELDE REGELINGEN</w:t>
      </w:r>
    </w:p>
    <w:p>
      <w:pPr>
        <w:rPr>
          <w:noProof/>
        </w:rPr>
      </w:pPr>
    </w:p>
    <w:p>
      <w:pPr>
        <w:pStyle w:val="Point0"/>
        <w:spacing w:after="240"/>
        <w:ind w:left="851" w:hanging="851"/>
        <w:rPr>
          <w:noProof/>
        </w:rPr>
      </w:pPr>
      <w:r>
        <w:rPr>
          <w:noProof/>
        </w:rPr>
        <w:t xml:space="preserve"> 1.</w:t>
      </w:r>
      <w:r>
        <w:rPr>
          <w:noProof/>
        </w:rPr>
        <w:tab/>
        <w:t xml:space="preserve">In de relevante artikelen van de in bijlage A vermelde verordeningen hebben de termen "lidstaat" of "lidstaten" niet alleen de in de verordening bedoelde betekenis, maar wordt hieronder ook de Republiek San Marino verstaan. </w:t>
      </w:r>
    </w:p>
    <w:p>
      <w:pPr>
        <w:pStyle w:val="Point0"/>
        <w:spacing w:after="240"/>
        <w:ind w:left="851" w:hanging="851"/>
        <w:rPr>
          <w:noProof/>
        </w:rPr>
      </w:pPr>
      <w:r>
        <w:rPr>
          <w:noProof/>
        </w:rPr>
        <w:t>2.</w:t>
      </w:r>
      <w:r>
        <w:rPr>
          <w:noProof/>
        </w:rPr>
        <w:tab/>
        <w:t xml:space="preserve">Als in de relevante artikelen van de in bijlage A vermelde verordeningen wordt bepaald dat een lidstaat een besluit moet nemen of een mededeling of kennisgeving moet doen, wordt een dergelijk besluit genomen of een dergelijke mededeling of kennisgeving gedaan door de autoriteiten van de Republiek San Marino. Deze autoriteiten houden rekening met de adviezen van de wetenschappelijke comités van de Unie en gebruiken de jurisprudentie van het Hof van Justitie van de Europese Unie en de door de Europese Commissie vastgestelde administratieve gedragsregels als basis voor hun besluiten.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84 van 28.3.2002, blz. 43.</w:t>
      </w:r>
    </w:p>
  </w:footnote>
  <w:footnote w:id="2">
    <w:p>
      <w:pPr>
        <w:pStyle w:val="FootnoteText"/>
      </w:pPr>
      <w:r>
        <w:rPr>
          <w:rStyle w:val="FootnoteReference"/>
        </w:rPr>
        <w:footnoteRef/>
      </w:r>
      <w:r>
        <w:tab/>
        <w:t>Beschikking 2003/24/EG van de Commissie van 30 december 2002 met betrekking tot de invoering van een geïntegreerd veterinair computersysteem (PB L 8 van 14.1.2003, blz. 44).</w:t>
      </w:r>
    </w:p>
  </w:footnote>
  <w:footnote w:id="3">
    <w:p>
      <w:pPr>
        <w:pStyle w:val="FootnoteText"/>
        <w:rPr>
          <w:lang w:val="cs-CZ"/>
        </w:rPr>
      </w:pPr>
      <w:r>
        <w:rPr>
          <w:rStyle w:val="FootnoteReference"/>
        </w:rPr>
        <w:footnoteRef/>
      </w:r>
      <w:r>
        <w:tab/>
        <w:t>Besluit nr. 1/2010 "Omnibus" van het Samenwerkingscomité EU-San Marino van 29 maart 2010 tot vaststelling van een aantal uitvoeringsmaatregelen van de Overeenkomst tot instelling van een douane-unie en samenwerking tussen de Europese Economische Gemeenschap en de Republiek San Marino (PB L 156 van 23.6.2010, blz.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14CA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0E83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AC0B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884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588A70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64B6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F875BC"/>
    <w:lvl w:ilvl="0">
      <w:start w:val="1"/>
      <w:numFmt w:val="decimal"/>
      <w:pStyle w:val="ListNumber"/>
      <w:lvlText w:val="%1."/>
      <w:lvlJc w:val="left"/>
      <w:pPr>
        <w:tabs>
          <w:tab w:val="num" w:pos="360"/>
        </w:tabs>
        <w:ind w:left="360" w:hanging="360"/>
      </w:pPr>
    </w:lvl>
  </w:abstractNum>
  <w:abstractNum w:abstractNumId="7">
    <w:nsid w:val="FFFFFF89"/>
    <w:multiLevelType w:val="singleLevel"/>
    <w:tmpl w:val="D72070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FORNESA ROCA Carla (AGRI)">
    <w15:presenceInfo w15:providerId="None" w15:userId="FORNESA ROCA Carla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9: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9"/>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RRIGENDUM" w:val="&lt;UNUSED&gt;"/>
    <w:docVar w:name="LW_COVERPAGE_EXISTS" w:val="True"/>
    <w:docVar w:name="LW_COVERPAGE_GUID" w:val="C3411F52-2662-46B3-80D3-320020855761"/>
    <w:docVar w:name="LW_COVERPAGE_TYPE" w:val="1"/>
    <w:docVar w:name="LW_CROSSREFERENCE" w:val="&lt;UNUSED&gt;"/>
    <w:docVar w:name="LW_DocType" w:val="ANNEX"/>
    <w:docVar w:name="LW_EMISSION" w:val="30.4.2019"/>
    <w:docVar w:name="LW_EMISSION_ISODATE" w:val="2019-04-30"/>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toepasselijke bepalingen inzake de biologische productie en de etikettering van biologische producten, en de regeling voor de invoer van biologische producten, goedgekeurd in het kader van de Overeenkomst tot instelling van een douane-unie en samenwerking tussen de Europese Economische Gemeenschap en de Republiek San Marino"/>
    <w:docVar w:name="LW_OBJETACTEPRINCIPAL.CP" w:val="betreffende de toepasselijke bepalingen inzake de biologische productie en de etikettering van biologische producten, en de regeling voor de invoer van biologische producten, goedgekeurd in het kader van de Overeenkomst tot instelling van een douane-unie en samenwerking tussen de Europese Economische Gemeenschap en de Republiek San Marino"/>
    <w:docVar w:name="LW_PART_NBR" w:val="1"/>
    <w:docVar w:name="LW_PART_NBR_TOTAL" w:val="1"/>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06742">
      <w:bodyDiv w:val="1"/>
      <w:marLeft w:val="0"/>
      <w:marRight w:val="0"/>
      <w:marTop w:val="0"/>
      <w:marBottom w:val="0"/>
      <w:divBdr>
        <w:top w:val="none" w:sz="0" w:space="0" w:color="auto"/>
        <w:left w:val="none" w:sz="0" w:space="0" w:color="auto"/>
        <w:bottom w:val="none" w:sz="0" w:space="0" w:color="auto"/>
        <w:right w:val="none" w:sz="0" w:space="0" w:color="auto"/>
      </w:divBdr>
    </w:div>
    <w:div w:id="1539078125">
      <w:bodyDiv w:val="1"/>
      <w:marLeft w:val="0"/>
      <w:marRight w:val="0"/>
      <w:marTop w:val="0"/>
      <w:marBottom w:val="0"/>
      <w:divBdr>
        <w:top w:val="none" w:sz="0" w:space="0" w:color="auto"/>
        <w:left w:val="none" w:sz="0" w:space="0" w:color="auto"/>
        <w:bottom w:val="none" w:sz="0" w:space="0" w:color="auto"/>
        <w:right w:val="none" w:sz="0" w:space="0" w:color="auto"/>
      </w:divBdr>
    </w:div>
    <w:div w:id="2071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912E-B5B8-404A-B2EE-51F99151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8</Pages>
  <Words>2016</Words>
  <Characters>10566</Characters>
  <Application>Microsoft Office Word</Application>
  <DocSecurity>0</DocSecurity>
  <Lines>229</Lines>
  <Paragraphs>116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ESCARTI CASTELL Immaculada (EEAS)</dc:creator>
  <cp:lastModifiedBy>DIGIT/C6</cp:lastModifiedBy>
  <cp:revision>8</cp:revision>
  <cp:lastPrinted>2019-01-09T08:13:00Z</cp:lastPrinted>
  <dcterms:created xsi:type="dcterms:W3CDTF">2019-04-04T10:18:00Z</dcterms:created>
  <dcterms:modified xsi:type="dcterms:W3CDTF">2019-04-23T09:29:00Z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