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CDB1F5F-C602-47BD-B3A9-C7BDFAD2BDC4" style="width:450.7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PRILOGA</w:t>
      </w:r>
    </w:p>
    <w:p>
      <w:pPr>
        <w:jc w:val="center"/>
        <w:rPr>
          <w:b/>
          <w:noProof/>
          <w:u w:val="single"/>
        </w:rPr>
      </w:pPr>
    </w:p>
    <w:p>
      <w:pPr>
        <w:jc w:val="center"/>
        <w:rPr>
          <w:b/>
          <w:noProof/>
        </w:rPr>
      </w:pPr>
      <w:r>
        <w:rPr>
          <w:b/>
          <w:noProof/>
        </w:rPr>
        <w:t>Osnutek</w:t>
      </w:r>
    </w:p>
    <w:p>
      <w:pPr>
        <w:jc w:val="center"/>
        <w:rPr>
          <w:b/>
          <w:noProof/>
        </w:rPr>
      </w:pPr>
      <w:r>
        <w:rPr>
          <w:b/>
          <w:noProof/>
        </w:rPr>
        <w:t>SKLEP št. …/2018 ODBORA ZA SODELOVANJE EU-SAN MARINO</w:t>
      </w:r>
    </w:p>
    <w:p>
      <w:pPr>
        <w:jc w:val="center"/>
        <w:rPr>
          <w:b/>
          <w:noProof/>
        </w:rPr>
      </w:pPr>
      <w:r>
        <w:rPr>
          <w:b/>
          <w:noProof/>
        </w:rPr>
        <w:t>z dne XX. YY. 2018</w:t>
      </w:r>
    </w:p>
    <w:p>
      <w:pPr>
        <w:jc w:val="center"/>
        <w:rPr>
          <w:b/>
          <w:noProof/>
        </w:rPr>
      </w:pPr>
      <w:r>
        <w:rPr>
          <w:b/>
          <w:noProof/>
        </w:rPr>
        <w:t xml:space="preserve">o veljavnih določbah o ekološki pridelavi in označevanju ekoloških proizvodov ter ureditvah za uvoz ekoloških proizvodov, sprejetih v okviru Sporazuma o sodelovanju in carinski uniji med Evropsko gospodarsko skupnostjo in Republiko San Marino </w:t>
      </w:r>
    </w:p>
    <w:p>
      <w:pPr>
        <w:keepNext/>
        <w:spacing w:before="600"/>
        <w:rPr>
          <w:noProof/>
        </w:rPr>
      </w:pPr>
      <w:r>
        <w:rPr>
          <w:noProof/>
        </w:rPr>
        <w:t>ODBOR ZA SODELOVANJE MED EU IN SAN MARINOM JE –</w:t>
      </w:r>
    </w:p>
    <w:p>
      <w:pPr>
        <w:rPr>
          <w:noProof/>
        </w:rPr>
      </w:pPr>
      <w:r>
        <w:rPr>
          <w:noProof/>
        </w:rPr>
        <w:t>ob upoštevanju Sporazuma o sodelovanju in carinski uniji med Evropsko gospodarsko skupnostjo in Republiko San Marino</w:t>
      </w:r>
      <w:r>
        <w:rPr>
          <w:rStyle w:val="FootnoteReference"/>
          <w:noProof/>
        </w:rPr>
        <w:footnoteReference w:id="1"/>
      </w:r>
      <w:r>
        <w:rPr>
          <w:noProof/>
        </w:rPr>
        <w:t xml:space="preserve"> ter zlasti členov 7(2), 8(3)(c) in 23(1) Sporazuma,</w:t>
      </w:r>
    </w:p>
    <w:p>
      <w:pPr>
        <w:rPr>
          <w:noProof/>
        </w:rPr>
      </w:pPr>
      <w:r>
        <w:rPr>
          <w:noProof/>
        </w:rPr>
        <w:t>ob upoštevanju naslednjega:</w:t>
      </w:r>
    </w:p>
    <w:p>
      <w:pPr>
        <w:ind w:left="709" w:hanging="709"/>
        <w:rPr>
          <w:noProof/>
        </w:rPr>
      </w:pPr>
      <w:r>
        <w:rPr>
          <w:noProof/>
        </w:rPr>
        <w:t>(1)</w:t>
      </w:r>
      <w:r>
        <w:rPr>
          <w:noProof/>
        </w:rPr>
        <w:tab/>
        <w:t xml:space="preserve">Člen 6(4) Sporazuma o sodelovanju in carinski uniji med Evropsko gospodarsko skupnostjo in Republiko San Marino (v nadaljnjem besedilu: Sporazum) določa, da se Republika San Marino v trgovini s kmetijskimi proizvodi med Unijo in Republiko San Marino zavezuje, da bo sprejela zakonodajo Unije o kakovosti, kadar je to potrebno za pravilno delovanje Sporazuma. </w:t>
      </w:r>
    </w:p>
    <w:p>
      <w:pPr>
        <w:ind w:left="709" w:hanging="709"/>
        <w:rPr>
          <w:noProof/>
        </w:rPr>
      </w:pPr>
      <w:r>
        <w:rPr>
          <w:noProof/>
        </w:rPr>
        <w:t>(2)</w:t>
      </w:r>
      <w:r>
        <w:rPr>
          <w:noProof/>
        </w:rPr>
        <w:tab/>
        <w:t>Po peti alinei člena 7(1) Sporazuma mora Republika San Marino za države, ki niso članice Unije (v nadaljnjem besedilu: tretje države), uporabljati zakonodajo Unije o kakovosti, kadar je to potrebno za pravilno delovanje Sporazuma.</w:t>
      </w:r>
    </w:p>
    <w:p>
      <w:pPr>
        <w:ind w:left="709" w:hanging="709"/>
        <w:rPr>
          <w:noProof/>
        </w:rPr>
      </w:pPr>
      <w:r>
        <w:rPr>
          <w:noProof/>
        </w:rPr>
        <w:t>(3)</w:t>
      </w:r>
      <w:r>
        <w:rPr>
          <w:noProof/>
        </w:rPr>
        <w:tab/>
        <w:t xml:space="preserve">Da bi se izognili oviram za prosti promet blaga in zagotovili pravilno delovanje carinske unije, ki je bila vzpostavljena s Sporazumom, je primerno podrobneje določiti določbe zakonodaje Unije o kakovosti, ki se uporabljajo za ekološko pridelavo in označevanje ekoloških proizvodov. </w:t>
      </w:r>
    </w:p>
    <w:p>
      <w:pPr>
        <w:ind w:left="709" w:hanging="709"/>
        <w:rPr>
          <w:noProof/>
        </w:rPr>
      </w:pPr>
      <w:r>
        <w:rPr>
          <w:noProof/>
        </w:rPr>
        <w:t>(4)</w:t>
      </w:r>
      <w:r>
        <w:rPr>
          <w:noProof/>
        </w:rPr>
        <w:tab/>
        <w:t xml:space="preserve">Za zagotovitev skladnosti z zakonodajo Unije v zvezi z uvozom ekoloških proizvodov iz tretjih držav v Republiko San Marino je treba določiti ustrezne ureditve, ki jih bodo uporabljali njeni nacionalni organi.   </w:t>
      </w:r>
    </w:p>
    <w:p>
      <w:pPr>
        <w:ind w:left="709" w:hanging="709"/>
        <w:rPr>
          <w:noProof/>
        </w:rPr>
      </w:pPr>
      <w:r>
        <w:rPr>
          <w:noProof/>
        </w:rPr>
        <w:t xml:space="preserve">(5) </w:t>
      </w:r>
      <w:r>
        <w:rPr>
          <w:noProof/>
        </w:rPr>
        <w:tab/>
        <w:t xml:space="preserve">Za zagotovitev skladnosti z zakonodajo Unije v zvezi z ekološkimi proizvodi, pripravljenimi ali proizvedenimi v Republiki San Marino, je prav tako treba določiti ustrezne ureditve. </w:t>
      </w:r>
    </w:p>
    <w:p>
      <w:pPr>
        <w:ind w:left="709" w:hanging="709"/>
        <w:rPr>
          <w:noProof/>
        </w:rPr>
      </w:pPr>
      <w:r>
        <w:rPr>
          <w:noProof/>
        </w:rPr>
        <w:t>(6)</w:t>
      </w:r>
      <w:r>
        <w:rPr>
          <w:noProof/>
        </w:rPr>
        <w:tab/>
        <w:t>Prav tako je primerno določiti postopek, ki ga je treba uporabiti v primeru sprejetja nove zakonodaje Unije o ekološki pridelavi in označevanju ekoloških proizvodov, ki vpliva na sklicevanja na določbe in ureditve iz tega sklepa –</w:t>
      </w:r>
    </w:p>
    <w:p>
      <w:pPr>
        <w:ind w:left="709" w:hanging="709"/>
        <w:rPr>
          <w:noProof/>
        </w:rPr>
      </w:pPr>
      <w:r>
        <w:rPr>
          <w:noProof/>
        </w:rPr>
        <w:tab/>
        <w:t>SPREJEL NASLEDNJI SKLEP:</w:t>
      </w:r>
    </w:p>
    <w:p>
      <w:pPr>
        <w:keepNext/>
        <w:spacing w:before="360"/>
        <w:jc w:val="center"/>
        <w:rPr>
          <w:i/>
          <w:noProof/>
        </w:rPr>
      </w:pPr>
      <w:r>
        <w:rPr>
          <w:i/>
          <w:noProof/>
        </w:rPr>
        <w:t>Člen 1</w:t>
      </w:r>
    </w:p>
    <w:p>
      <w:pPr>
        <w:keepNext/>
        <w:spacing w:before="360"/>
        <w:rPr>
          <w:noProof/>
        </w:rPr>
      </w:pPr>
      <w:r>
        <w:rPr>
          <w:noProof/>
        </w:rPr>
        <w:t>Veljavne določbe zakonodaje Unije o ekološki pridelavi in označevanju ekoloških proizvodov so navedene v Prilogi A.</w:t>
      </w:r>
    </w:p>
    <w:p>
      <w:pPr>
        <w:keepNext/>
        <w:spacing w:before="360"/>
        <w:ind w:left="720" w:hanging="720"/>
        <w:jc w:val="center"/>
        <w:rPr>
          <w:i/>
          <w:noProof/>
        </w:rPr>
      </w:pPr>
      <w:r>
        <w:rPr>
          <w:i/>
          <w:noProof/>
        </w:rPr>
        <w:t>Člen 2</w:t>
      </w:r>
    </w:p>
    <w:p>
      <w:pPr>
        <w:spacing w:before="150" w:after="150"/>
        <w:ind w:right="527"/>
        <w:rPr>
          <w:noProof/>
        </w:rPr>
      </w:pPr>
      <w:r>
        <w:rPr>
          <w:noProof/>
          <w:color w:val="000000"/>
        </w:rPr>
        <w:t>Ureditve, potrebne za zagotovitev skladnosti z zakonodajo Unije iz člena 1 v zvezi z uvozom ekoloških proizvodov iz tretjih držav v Republiko San Marino, so določene v Prilogi B.</w:t>
      </w:r>
    </w:p>
    <w:p>
      <w:pPr>
        <w:spacing w:before="150" w:after="150"/>
        <w:ind w:left="225" w:right="525"/>
        <w:jc w:val="center"/>
        <w:rPr>
          <w:rFonts w:eastAsia="Times New Roman"/>
          <w:i/>
          <w:noProof/>
          <w:color w:val="000000"/>
          <w:szCs w:val="24"/>
        </w:rPr>
      </w:pPr>
      <w:r>
        <w:rPr>
          <w:i/>
          <w:noProof/>
          <w:color w:val="000000"/>
        </w:rPr>
        <w:t>Člen 3</w:t>
      </w:r>
    </w:p>
    <w:p>
      <w:pPr>
        <w:spacing w:before="150" w:after="150"/>
        <w:ind w:right="525"/>
        <w:rPr>
          <w:rFonts w:eastAsia="Times New Roman"/>
          <w:noProof/>
          <w:color w:val="000000"/>
          <w:szCs w:val="24"/>
        </w:rPr>
      </w:pPr>
      <w:r>
        <w:rPr>
          <w:noProof/>
        </w:rPr>
        <w:t xml:space="preserve">Ureditve, potrebne za zagotovitev skladnosti z zakonodajo Unije iz člena 1 v zvezi z uvozom ekoloških proizvodov, pripravljenih ali proizvedenih v Republiki San Marino, so določene v Prilogi C. </w:t>
      </w:r>
    </w:p>
    <w:p>
      <w:pPr>
        <w:spacing w:before="150" w:after="150"/>
        <w:ind w:left="225" w:right="525"/>
        <w:jc w:val="center"/>
        <w:rPr>
          <w:rFonts w:eastAsia="Times New Roman"/>
          <w:i/>
          <w:noProof/>
          <w:color w:val="000000"/>
          <w:szCs w:val="24"/>
        </w:rPr>
      </w:pPr>
      <w:r>
        <w:rPr>
          <w:i/>
          <w:noProof/>
          <w:color w:val="000000"/>
        </w:rPr>
        <w:t>Člen 4</w:t>
      </w:r>
    </w:p>
    <w:p>
      <w:pPr>
        <w:spacing w:before="150" w:after="150"/>
        <w:ind w:right="525"/>
        <w:rPr>
          <w:noProof/>
        </w:rPr>
      </w:pPr>
      <w:r>
        <w:rPr>
          <w:noProof/>
        </w:rPr>
        <w:t xml:space="preserve">O spremembah prilog A, B in C ter drugih praktičnih ureditvah, potrebnih za uporabo zakonodaje iz navedenih prilog, se dogovorijo službe Evropske komisije in organi Republike San Marino.   </w:t>
      </w:r>
    </w:p>
    <w:p>
      <w:pPr>
        <w:keepNext/>
        <w:spacing w:before="360"/>
        <w:jc w:val="center"/>
        <w:rPr>
          <w:i/>
          <w:noProof/>
        </w:rPr>
      </w:pPr>
      <w:r>
        <w:rPr>
          <w:i/>
          <w:noProof/>
        </w:rPr>
        <w:t>Člen 5</w:t>
      </w:r>
    </w:p>
    <w:p>
      <w:pPr>
        <w:rPr>
          <w:noProof/>
          <w:vertAlign w:val="superscript"/>
        </w:rPr>
      </w:pPr>
      <w:r>
        <w:rPr>
          <w:noProof/>
        </w:rPr>
        <w:t xml:space="preserve">Ta sklep začne veljati na dan sprejetja. </w:t>
      </w:r>
    </w:p>
    <w:p>
      <w:pPr>
        <w:keepNext/>
        <w:spacing w:after="0"/>
        <w:rPr>
          <w:noProof/>
        </w:rPr>
      </w:pPr>
      <w:r>
        <w:rPr>
          <w:noProof/>
        </w:rPr>
        <w:t>V Bruslju, XX LLL 2018.</w:t>
      </w:r>
    </w:p>
    <w:p>
      <w:pPr>
        <w:keepNext/>
        <w:tabs>
          <w:tab w:val="left" w:pos="4252"/>
        </w:tabs>
        <w:spacing w:before="720" w:after="0"/>
        <w:rPr>
          <w:i/>
          <w:noProof/>
        </w:rPr>
      </w:pPr>
      <w:r>
        <w:rPr>
          <w:noProof/>
        </w:rPr>
        <w:tab/>
      </w:r>
      <w:r>
        <w:rPr>
          <w:i/>
          <w:noProof/>
        </w:rPr>
        <w:t>Za Odbor za sodelovanje</w:t>
      </w:r>
    </w:p>
    <w:p>
      <w:pPr>
        <w:tabs>
          <w:tab w:val="left" w:pos="4252"/>
        </w:tabs>
        <w:spacing w:before="0" w:after="0"/>
        <w:ind w:left="2880"/>
        <w:jc w:val="left"/>
        <w:rPr>
          <w:i/>
          <w:noProof/>
        </w:rPr>
      </w:pPr>
      <w:r>
        <w:rPr>
          <w:noProof/>
        </w:rPr>
        <w:tab/>
      </w:r>
      <w:r>
        <w:rPr>
          <w:i/>
          <w:noProof/>
        </w:rPr>
        <w:t xml:space="preserve">Predsednik </w:t>
      </w:r>
      <w:r>
        <w:rPr>
          <w:i/>
          <w:noProof/>
        </w:rPr>
        <w:br/>
      </w:r>
    </w:p>
    <w:p>
      <w:pPr>
        <w:tabs>
          <w:tab w:val="left" w:pos="4252"/>
        </w:tabs>
        <w:spacing w:before="0" w:after="0"/>
        <w:jc w:val="left"/>
        <w:rPr>
          <w:i/>
          <w:noProof/>
        </w:rPr>
      </w:pPr>
      <w:r>
        <w:rPr>
          <w:i/>
          <w:noProof/>
        </w:rPr>
        <w:br/>
      </w:r>
    </w:p>
    <w:p>
      <w:pPr>
        <w:spacing w:before="0" w:after="200" w:line="276" w:lineRule="auto"/>
        <w:jc w:val="left"/>
        <w:rPr>
          <w:i/>
          <w:noProof/>
        </w:rPr>
      </w:pPr>
      <w:r>
        <w:rPr>
          <w:noProof/>
        </w:rPr>
        <w:br w:type="page"/>
      </w:r>
    </w:p>
    <w:p>
      <w:pPr>
        <w:jc w:val="center"/>
        <w:rPr>
          <w:b/>
          <w:noProof/>
        </w:rPr>
      </w:pPr>
      <w:r>
        <w:rPr>
          <w:b/>
          <w:noProof/>
        </w:rPr>
        <w:t>PRILOGA A</w:t>
      </w:r>
    </w:p>
    <w:p>
      <w:pPr>
        <w:jc w:val="center"/>
        <w:rPr>
          <w:b/>
          <w:noProof/>
        </w:rPr>
      </w:pPr>
      <w:r>
        <w:rPr>
          <w:b/>
          <w:noProof/>
        </w:rPr>
        <w:t xml:space="preserve">SEZNAM VELJAVNIH DOLOČB O EKOLOŠKI PRIDELAVI IN OZNAČEVANJU EKOLOŠKIH PROIZVODOV  </w:t>
      </w:r>
    </w:p>
    <w:p>
      <w:pPr>
        <w:autoSpaceDE w:val="0"/>
        <w:autoSpaceDN w:val="0"/>
        <w:adjustRightInd w:val="0"/>
        <w:spacing w:before="0" w:after="0"/>
        <w:rPr>
          <w:b/>
          <w:noProof/>
        </w:rPr>
      </w:pPr>
    </w:p>
    <w:p>
      <w:pPr>
        <w:rPr>
          <w:rFonts w:eastAsia="Times New Roman"/>
          <w:noProof/>
          <w:szCs w:val="24"/>
        </w:rPr>
      </w:pPr>
      <w:r>
        <w:rPr>
          <w:noProof/>
        </w:rPr>
        <w:t>Uredba Sveta (ES) št. 834/2007 z dne 28. junija 2007 o ekološki pridelavi in označevanju ekoloških proizvodov in razveljavitvi Uredbe (EGS) št. 2092/91 (UL L 189, 20.7.2007, str. 1), kakor je bila spremenjena z:</w:t>
      </w:r>
    </w:p>
    <w:p>
      <w:pPr>
        <w:ind w:left="1417" w:hanging="567"/>
        <w:rPr>
          <w:noProof/>
        </w:rPr>
      </w:pPr>
      <w:r>
        <w:rPr>
          <w:noProof/>
        </w:rPr>
        <w:t>–</w:t>
      </w:r>
      <w:r>
        <w:rPr>
          <w:noProof/>
        </w:rPr>
        <w:tab/>
        <w:t xml:space="preserve">Uredbo Sveta (ES) št. 967/2008 z dne 29. septembra 2008 (UL L 264, 3.10.2008, str. 1), </w:t>
      </w:r>
    </w:p>
    <w:p>
      <w:pPr>
        <w:ind w:left="1417" w:hanging="567"/>
        <w:rPr>
          <w:rFonts w:eastAsia="Times New Roman"/>
          <w:noProof/>
          <w:szCs w:val="24"/>
        </w:rPr>
      </w:pPr>
      <w:r>
        <w:rPr>
          <w:noProof/>
        </w:rPr>
        <w:t>–</w:t>
      </w:r>
      <w:r>
        <w:rPr>
          <w:noProof/>
        </w:rPr>
        <w:tab/>
        <w:t>Uredbo Sveta (EU) št. 517/2013 z dne 13. maja 2013 (UL L 158, 10.6.2013, str. 1).</w:t>
      </w:r>
    </w:p>
    <w:p>
      <w:pPr>
        <w:rPr>
          <w:rFonts w:eastAsia="Times New Roman"/>
          <w:noProof/>
          <w:szCs w:val="24"/>
        </w:rPr>
      </w:pPr>
      <w:r>
        <w:rPr>
          <w:noProof/>
        </w:rPr>
        <w:t>Uredba Komisije (ES) št. 889/2008 z dne 5. septembra 2008 o določitvi podrobnih pravil za izvajanje Uredbe Sveta (ES) št. 834/2007 o ekološki pridelavi in označevanju ekoloških proizvodov glede ekološke pridelave, označevanja in nadzora (UL L 250, 18.9.2008, str. 1), kakor je bila spremenjena z:</w:t>
      </w:r>
    </w:p>
    <w:p>
      <w:pPr>
        <w:ind w:left="1984" w:hanging="567"/>
        <w:rPr>
          <w:rFonts w:eastAsia="Times New Roman"/>
          <w:noProof/>
          <w:szCs w:val="24"/>
        </w:rPr>
      </w:pPr>
      <w:r>
        <w:rPr>
          <w:noProof/>
        </w:rPr>
        <w:t>–</w:t>
      </w:r>
      <w:r>
        <w:rPr>
          <w:noProof/>
        </w:rPr>
        <w:tab/>
        <w:t>Uredbo Komisije (ES) št. 1254/2008 z dne 15. decembra 2008 (UL L 337, 16.12.2008, str. 80),</w:t>
      </w:r>
    </w:p>
    <w:p>
      <w:pPr>
        <w:ind w:left="1984" w:hanging="567"/>
        <w:rPr>
          <w:rFonts w:eastAsia="Times New Roman"/>
          <w:noProof/>
          <w:szCs w:val="24"/>
        </w:rPr>
      </w:pPr>
      <w:r>
        <w:rPr>
          <w:noProof/>
        </w:rPr>
        <w:t>–</w:t>
      </w:r>
      <w:r>
        <w:rPr>
          <w:noProof/>
        </w:rPr>
        <w:tab/>
        <w:t>Uredbo Komisije (ES) št. 710/2009 z dne 5. avgusta 2009 (UL L 204, 6.8.2009, str. 15),</w:t>
      </w:r>
    </w:p>
    <w:p>
      <w:pPr>
        <w:ind w:left="1984" w:hanging="567"/>
        <w:rPr>
          <w:rFonts w:eastAsia="Times New Roman"/>
          <w:noProof/>
          <w:szCs w:val="24"/>
        </w:rPr>
      </w:pPr>
      <w:r>
        <w:rPr>
          <w:noProof/>
        </w:rPr>
        <w:t>–</w:t>
      </w:r>
      <w:r>
        <w:rPr>
          <w:noProof/>
        </w:rPr>
        <w:tab/>
        <w:t>Uredbo Komisije (EU) št. 271/2010 z dne 24. marca 2010 (UL L 84, 31.3.2010, str. 19),</w:t>
      </w:r>
    </w:p>
    <w:p>
      <w:pPr>
        <w:ind w:left="1984" w:hanging="567"/>
        <w:rPr>
          <w:rFonts w:eastAsia="Times New Roman"/>
          <w:noProof/>
          <w:szCs w:val="24"/>
        </w:rPr>
      </w:pPr>
      <w:r>
        <w:rPr>
          <w:noProof/>
        </w:rPr>
        <w:t>–</w:t>
      </w:r>
      <w:r>
        <w:rPr>
          <w:noProof/>
        </w:rPr>
        <w:tab/>
        <w:t>Izvedbeno uredbo Komisije (EU) št. 344/2011 z dne 8. aprila 2011 (UL L 96, 9.4.2011, str. 15),</w:t>
      </w:r>
    </w:p>
    <w:p>
      <w:pPr>
        <w:ind w:left="1984" w:hanging="567"/>
        <w:rPr>
          <w:rFonts w:eastAsia="Times New Roman"/>
          <w:noProof/>
          <w:szCs w:val="24"/>
        </w:rPr>
      </w:pPr>
      <w:r>
        <w:rPr>
          <w:noProof/>
        </w:rPr>
        <w:t>–</w:t>
      </w:r>
      <w:r>
        <w:rPr>
          <w:noProof/>
        </w:rPr>
        <w:tab/>
        <w:t>Izvedbeno uredbo Komisije (EU) št. 426/2011 z dne 2. maja 2011 (UL L 113, 3.5.2011, str. 1),</w:t>
      </w:r>
    </w:p>
    <w:p>
      <w:pPr>
        <w:ind w:left="1984" w:hanging="567"/>
        <w:rPr>
          <w:rFonts w:eastAsia="Times New Roman"/>
          <w:noProof/>
          <w:szCs w:val="24"/>
        </w:rPr>
      </w:pPr>
      <w:r>
        <w:rPr>
          <w:noProof/>
        </w:rPr>
        <w:t>–</w:t>
      </w:r>
      <w:r>
        <w:rPr>
          <w:noProof/>
        </w:rPr>
        <w:tab/>
        <w:t>Izvedbeno uredbo Komisije (EU) št. 126/2012 z dne 14. februarja 2012 (UL L 41, 15.2.2012, str. 5),</w:t>
      </w:r>
    </w:p>
    <w:p>
      <w:pPr>
        <w:ind w:left="1984" w:hanging="566"/>
        <w:rPr>
          <w:rFonts w:eastAsia="Times New Roman"/>
          <w:noProof/>
          <w:szCs w:val="24"/>
        </w:rPr>
      </w:pPr>
      <w:r>
        <w:rPr>
          <w:noProof/>
        </w:rPr>
        <w:t xml:space="preserve">– </w:t>
      </w:r>
      <w:r>
        <w:rPr>
          <w:noProof/>
        </w:rPr>
        <w:tab/>
        <w:t>Izvedbeno uredbo Komisije (EU) št. 203/2012 z dne 8. marca 2012 (UL L 71, 9.3.2012, str. 42),</w:t>
      </w:r>
    </w:p>
    <w:p>
      <w:pPr>
        <w:ind w:left="1984" w:hanging="566"/>
        <w:rPr>
          <w:rFonts w:eastAsia="Times New Roman"/>
          <w:noProof/>
          <w:szCs w:val="24"/>
        </w:rPr>
      </w:pPr>
      <w:r>
        <w:rPr>
          <w:noProof/>
        </w:rPr>
        <w:t>–</w:t>
      </w:r>
      <w:r>
        <w:rPr>
          <w:noProof/>
        </w:rPr>
        <w:tab/>
        <w:t xml:space="preserve">Izvedbeno uredbo Komisije (EU) št. 505/2012 z dne 14. junija 2012 (UL L 154, 15.6.2012, str. 12), </w:t>
      </w:r>
    </w:p>
    <w:p>
      <w:pPr>
        <w:ind w:left="1984" w:hanging="567"/>
        <w:rPr>
          <w:rFonts w:eastAsia="Times New Roman"/>
          <w:noProof/>
          <w:szCs w:val="24"/>
        </w:rPr>
      </w:pPr>
      <w:r>
        <w:rPr>
          <w:noProof/>
        </w:rPr>
        <w:t>–</w:t>
      </w:r>
      <w:r>
        <w:rPr>
          <w:noProof/>
        </w:rPr>
        <w:tab/>
        <w:t xml:space="preserve">Izvedbeno uredbo Komisije (EU) št. 392/2013 z dne 29. aprila 2013 (UL L 118, 30.4.2013, str. 5), </w:t>
      </w:r>
    </w:p>
    <w:p>
      <w:pPr>
        <w:ind w:left="1984" w:hanging="567"/>
        <w:rPr>
          <w:rFonts w:eastAsia="Times New Roman"/>
          <w:noProof/>
          <w:szCs w:val="24"/>
        </w:rPr>
      </w:pPr>
      <w:r>
        <w:rPr>
          <w:noProof/>
        </w:rPr>
        <w:t>–</w:t>
      </w:r>
      <w:r>
        <w:rPr>
          <w:noProof/>
        </w:rPr>
        <w:tab/>
        <w:t>Uredbo Komisije (EU) št. 519/2013 z dne 21. februarja 2013 (UL L 158, 10.6.2013, str. 74),</w:t>
      </w:r>
    </w:p>
    <w:p>
      <w:pPr>
        <w:ind w:left="1984" w:hanging="567"/>
        <w:rPr>
          <w:rFonts w:eastAsia="Times New Roman"/>
          <w:noProof/>
          <w:szCs w:val="24"/>
        </w:rPr>
      </w:pPr>
      <w:r>
        <w:rPr>
          <w:noProof/>
        </w:rPr>
        <w:t>–</w:t>
      </w:r>
      <w:r>
        <w:rPr>
          <w:noProof/>
        </w:rPr>
        <w:tab/>
        <w:t>Izvedbeno uredbo Komisije (EU) št. 1030/2013 z dne 24. oktobra 2013 (UL L 283, 25.10.2013, str. 15),</w:t>
      </w:r>
    </w:p>
    <w:p>
      <w:pPr>
        <w:ind w:left="1984" w:hanging="567"/>
        <w:rPr>
          <w:rFonts w:eastAsia="Times New Roman"/>
          <w:iCs/>
          <w:noProof/>
          <w:szCs w:val="24"/>
        </w:rPr>
      </w:pPr>
      <w:r>
        <w:rPr>
          <w:noProof/>
        </w:rPr>
        <w:t>–</w:t>
      </w:r>
      <w:r>
        <w:rPr>
          <w:noProof/>
        </w:rPr>
        <w:tab/>
        <w:t>Izvedbeno uredbo Komisije (EU) št. 1364/2013 z dne 17. decembra 2013 (UL L 343, 19.12.2013, str. 29),</w:t>
      </w:r>
    </w:p>
    <w:p>
      <w:pPr>
        <w:ind w:left="1984" w:hanging="567"/>
        <w:rPr>
          <w:rFonts w:eastAsia="Times New Roman"/>
          <w:noProof/>
          <w:szCs w:val="24"/>
        </w:rPr>
      </w:pPr>
      <w:r>
        <w:rPr>
          <w:noProof/>
        </w:rPr>
        <w:t>–</w:t>
      </w:r>
      <w:r>
        <w:rPr>
          <w:noProof/>
        </w:rPr>
        <w:tab/>
        <w:t>Izvedbeno uredbo Komisije (EU) št. 354/2014 z dne 8. aprila 2014 (UL L 106, 9.4.2014, str. 7),</w:t>
      </w:r>
    </w:p>
    <w:p>
      <w:pPr>
        <w:ind w:left="1984" w:hanging="567"/>
        <w:rPr>
          <w:rFonts w:eastAsia="Times New Roman"/>
          <w:noProof/>
          <w:szCs w:val="24"/>
        </w:rPr>
      </w:pPr>
      <w:r>
        <w:rPr>
          <w:noProof/>
        </w:rPr>
        <w:t>–</w:t>
      </w:r>
      <w:r>
        <w:rPr>
          <w:noProof/>
        </w:rPr>
        <w:tab/>
        <w:t xml:space="preserve">Izvedbeno uredbo Komisije (EU) št. 836/2014 z dne 31. julija 2014 (UL L 230, 1.8.2014, str. 10), </w:t>
      </w:r>
    </w:p>
    <w:p>
      <w:pPr>
        <w:ind w:left="1984" w:hanging="567"/>
        <w:rPr>
          <w:rFonts w:eastAsia="Times New Roman"/>
          <w:noProof/>
          <w:szCs w:val="24"/>
        </w:rPr>
      </w:pPr>
      <w:r>
        <w:rPr>
          <w:noProof/>
        </w:rPr>
        <w:t>–</w:t>
      </w:r>
      <w:r>
        <w:rPr>
          <w:noProof/>
        </w:rPr>
        <w:tab/>
        <w:t>Izvedbeno uredbo Komisije (EU) št. 1358/2014 z dne 18. decembra 2014 (UL L 365, 19.12.2014, str. 97),</w:t>
      </w:r>
    </w:p>
    <w:p>
      <w:pPr>
        <w:ind w:left="1984" w:hanging="567"/>
        <w:rPr>
          <w:rFonts w:eastAsia="Times New Roman"/>
          <w:bCs/>
          <w:noProof/>
          <w:szCs w:val="24"/>
        </w:rPr>
      </w:pPr>
      <w:r>
        <w:rPr>
          <w:noProof/>
        </w:rPr>
        <w:t>–</w:t>
      </w:r>
      <w:r>
        <w:rPr>
          <w:noProof/>
        </w:rPr>
        <w:tab/>
        <w:t>Izvedbeno uredbo Komisije (EU) 2016/673 z dne 29. aprila 2016 (UL L 116, 30.4.2016, str. 8);</w:t>
      </w:r>
    </w:p>
    <w:p>
      <w:pPr>
        <w:ind w:left="1984" w:hanging="567"/>
        <w:rPr>
          <w:rFonts w:eastAsia="Times New Roman"/>
          <w:bCs/>
          <w:noProof/>
          <w:szCs w:val="24"/>
        </w:rPr>
      </w:pPr>
      <w:r>
        <w:rPr>
          <w:noProof/>
        </w:rPr>
        <w:t>–</w:t>
      </w:r>
      <w:r>
        <w:rPr>
          <w:noProof/>
        </w:rPr>
        <w:tab/>
        <w:t>Izvedbeno uredbo Komisije (EU) 2016/1842 z dne 14. oktobra 2016 (UL L 282, 19.10.2016, str. 19);</w:t>
      </w:r>
    </w:p>
    <w:p>
      <w:pPr>
        <w:ind w:left="1984" w:hanging="567"/>
        <w:rPr>
          <w:rFonts w:eastAsia="Times New Roman"/>
          <w:bCs/>
          <w:noProof/>
          <w:szCs w:val="24"/>
        </w:rPr>
      </w:pPr>
      <w:r>
        <w:rPr>
          <w:noProof/>
        </w:rPr>
        <w:t>–</w:t>
      </w:r>
      <w:r>
        <w:rPr>
          <w:noProof/>
        </w:rPr>
        <w:tab/>
        <w:t>Izvedbeno uredbo Komisije (EU) 2017/838 z dne 17. maja 2017 (UL L 125, 18.5.2017, str. 5),</w:t>
      </w:r>
    </w:p>
    <w:p>
      <w:pPr>
        <w:ind w:left="1984" w:hanging="567"/>
        <w:rPr>
          <w:rFonts w:eastAsia="Times New Roman"/>
          <w:bCs/>
          <w:noProof/>
          <w:szCs w:val="24"/>
        </w:rPr>
      </w:pPr>
      <w:r>
        <w:rPr>
          <w:noProof/>
        </w:rPr>
        <w:t>–</w:t>
      </w:r>
      <w:r>
        <w:rPr>
          <w:noProof/>
        </w:rPr>
        <w:tab/>
        <w:t>Izvedbeno uredbo Komisije (EU) 2017/2273 z dne 8. decembra 2017 (UL L 326, 9.12.2017, str. 42).</w:t>
      </w:r>
    </w:p>
    <w:p>
      <w:pPr>
        <w:rPr>
          <w:rFonts w:eastAsia="Times New Roman"/>
          <w:noProof/>
          <w:szCs w:val="24"/>
        </w:rPr>
      </w:pPr>
    </w:p>
    <w:p>
      <w:pPr>
        <w:rPr>
          <w:rFonts w:eastAsia="Times New Roman"/>
          <w:noProof/>
          <w:szCs w:val="24"/>
        </w:rPr>
      </w:pPr>
      <w:r>
        <w:rPr>
          <w:noProof/>
        </w:rPr>
        <w:t>Uredba Komisije (ES) št. 1235/2008 z dne 8. decembra 2008 o določitvi podrobnih pravil za izvajanje Uredbe Sveta (ES) št. 834/2007 v zvezi z ureditvami za uvoz ekoloških proizvodov iz tretjih držav (UL L 334, 12.12.2008, str. 25), kakor je bila spremenjena z:</w:t>
      </w:r>
    </w:p>
    <w:p>
      <w:pPr>
        <w:ind w:left="1984" w:hanging="567"/>
        <w:rPr>
          <w:rFonts w:eastAsia="Times New Roman"/>
          <w:noProof/>
          <w:szCs w:val="24"/>
        </w:rPr>
      </w:pPr>
      <w:r>
        <w:rPr>
          <w:noProof/>
        </w:rPr>
        <w:t>–</w:t>
      </w:r>
      <w:r>
        <w:rPr>
          <w:noProof/>
        </w:rPr>
        <w:tab/>
        <w:t>Uredbo Komisije (ES) št. 537/2009 z dne 19. junija 2009 (UL L 159, 20.6.2009, str. 6),</w:t>
      </w:r>
    </w:p>
    <w:p>
      <w:pPr>
        <w:ind w:left="1984" w:hanging="567"/>
        <w:rPr>
          <w:rFonts w:eastAsia="Times New Roman"/>
          <w:noProof/>
          <w:szCs w:val="24"/>
        </w:rPr>
      </w:pPr>
      <w:r>
        <w:rPr>
          <w:noProof/>
        </w:rPr>
        <w:t>–</w:t>
      </w:r>
      <w:r>
        <w:rPr>
          <w:noProof/>
        </w:rPr>
        <w:tab/>
        <w:t>Uredbo Komisije (EU) št. 471/2010 z dne 31. maja 2010 (UL L 134, 1.6.2010, str. 1),</w:t>
      </w:r>
    </w:p>
    <w:p>
      <w:pPr>
        <w:ind w:left="1984" w:hanging="567"/>
        <w:rPr>
          <w:rFonts w:eastAsia="Times New Roman"/>
          <w:noProof/>
          <w:szCs w:val="24"/>
        </w:rPr>
      </w:pPr>
      <w:r>
        <w:rPr>
          <w:noProof/>
        </w:rPr>
        <w:t>–</w:t>
      </w:r>
      <w:r>
        <w:rPr>
          <w:noProof/>
        </w:rPr>
        <w:tab/>
        <w:t>Izvedbeno uredbo Komisije (EU) št. 590/2011 z dne 20. junija 2011 (UL L 161, 21.6.2011, str. 9),</w:t>
      </w:r>
    </w:p>
    <w:p>
      <w:pPr>
        <w:ind w:left="1984" w:hanging="567"/>
        <w:rPr>
          <w:rFonts w:eastAsia="Times New Roman"/>
          <w:noProof/>
          <w:szCs w:val="24"/>
        </w:rPr>
      </w:pPr>
      <w:r>
        <w:rPr>
          <w:noProof/>
        </w:rPr>
        <w:t>–</w:t>
      </w:r>
      <w:r>
        <w:rPr>
          <w:noProof/>
        </w:rPr>
        <w:tab/>
        <w:t>Izvedbeno uredbo Komisije (EU) št. 1084/2011 z dne 27. oktobra 2011 (UL L 281, 28.10.2011, str. 3),</w:t>
      </w:r>
    </w:p>
    <w:p>
      <w:pPr>
        <w:ind w:left="1984" w:hanging="567"/>
        <w:rPr>
          <w:rFonts w:eastAsia="Times New Roman"/>
          <w:noProof/>
          <w:szCs w:val="24"/>
        </w:rPr>
      </w:pPr>
      <w:r>
        <w:rPr>
          <w:noProof/>
        </w:rPr>
        <w:t>–</w:t>
      </w:r>
      <w:r>
        <w:rPr>
          <w:noProof/>
        </w:rPr>
        <w:tab/>
        <w:t xml:space="preserve">Izvedbeno uredbo Komisije (EU) št. 1267/2011 z dne 6. decembra 2011 (UL L 324, 7.12.2011, str. 9), </w:t>
      </w:r>
    </w:p>
    <w:p>
      <w:pPr>
        <w:ind w:left="1984" w:hanging="567"/>
        <w:rPr>
          <w:rFonts w:eastAsia="Times New Roman"/>
          <w:noProof/>
          <w:szCs w:val="24"/>
        </w:rPr>
      </w:pPr>
      <w:r>
        <w:rPr>
          <w:noProof/>
        </w:rPr>
        <w:t>–</w:t>
      </w:r>
      <w:r>
        <w:rPr>
          <w:noProof/>
        </w:rPr>
        <w:tab/>
        <w:t xml:space="preserve">Izvedbeno uredbo Komisije (EU) št. 126/2012 z dne 14. februarja 2012 (UL L 41, 15.2.2012, str. 5), </w:t>
      </w:r>
    </w:p>
    <w:p>
      <w:pPr>
        <w:ind w:left="1984" w:hanging="567"/>
        <w:rPr>
          <w:rFonts w:eastAsia="Times New Roman"/>
          <w:noProof/>
          <w:szCs w:val="24"/>
        </w:rPr>
      </w:pPr>
      <w:r>
        <w:rPr>
          <w:noProof/>
        </w:rPr>
        <w:t>–</w:t>
      </w:r>
      <w:r>
        <w:rPr>
          <w:noProof/>
        </w:rPr>
        <w:tab/>
        <w:t>Izvedbeno uredbo Komisije (EU) št. 508/2012 z dne 20. junija 2012 (UL L 162, 21.6.2012, str. 1),</w:t>
      </w:r>
    </w:p>
    <w:p>
      <w:pPr>
        <w:ind w:left="1984" w:hanging="567"/>
        <w:rPr>
          <w:rFonts w:eastAsia="Times New Roman"/>
          <w:noProof/>
          <w:szCs w:val="24"/>
        </w:rPr>
      </w:pPr>
      <w:r>
        <w:rPr>
          <w:noProof/>
        </w:rPr>
        <w:t>–</w:t>
      </w:r>
      <w:r>
        <w:rPr>
          <w:noProof/>
        </w:rPr>
        <w:tab/>
        <w:t>Izvedbeno uredbo Komisije (EU) št. 751/2012 z dne 16. avgusta 2012 (UL L 222, 18.8.2012, str. 5),</w:t>
      </w:r>
    </w:p>
    <w:p>
      <w:pPr>
        <w:ind w:left="1984" w:hanging="566"/>
        <w:rPr>
          <w:rFonts w:eastAsia="Times New Roman"/>
          <w:noProof/>
          <w:szCs w:val="24"/>
        </w:rPr>
      </w:pPr>
      <w:r>
        <w:rPr>
          <w:noProof/>
        </w:rPr>
        <w:t>–</w:t>
      </w:r>
      <w:r>
        <w:rPr>
          <w:noProof/>
        </w:rPr>
        <w:tab/>
        <w:t>Izvedbeno uredbo Komisije (EU) št. 125/2013 z dne 13. februarja 2013 (UL L 43, 14.2.2013, str. 1).</w:t>
      </w:r>
    </w:p>
    <w:p>
      <w:pPr>
        <w:ind w:left="1984" w:hanging="566"/>
        <w:rPr>
          <w:rFonts w:eastAsia="Times New Roman"/>
          <w:noProof/>
          <w:szCs w:val="24"/>
        </w:rPr>
      </w:pPr>
      <w:r>
        <w:rPr>
          <w:noProof/>
        </w:rPr>
        <w:t>–</w:t>
      </w:r>
      <w:r>
        <w:rPr>
          <w:noProof/>
        </w:rPr>
        <w:tab/>
        <w:t>Uredbo Komisije (EU) št. 519/2013 z dne 21. februarja 2013 (UL L 158, 10.6.2013, str. 74),</w:t>
      </w:r>
    </w:p>
    <w:p>
      <w:pPr>
        <w:ind w:left="1984" w:hanging="567"/>
        <w:rPr>
          <w:rFonts w:eastAsia="Times New Roman"/>
          <w:noProof/>
          <w:szCs w:val="24"/>
        </w:rPr>
      </w:pPr>
      <w:r>
        <w:rPr>
          <w:noProof/>
        </w:rPr>
        <w:t>–</w:t>
      </w:r>
      <w:r>
        <w:rPr>
          <w:noProof/>
        </w:rPr>
        <w:tab/>
        <w:t>Izvedbeno uredbo Komisije (EU) št. 567/2013 z dne 18. junija 2013 (UL L 167, 19.6.2013, str. 30).</w:t>
      </w:r>
    </w:p>
    <w:p>
      <w:pPr>
        <w:ind w:left="1984" w:hanging="567"/>
        <w:rPr>
          <w:rFonts w:eastAsia="Times New Roman"/>
          <w:noProof/>
          <w:szCs w:val="24"/>
        </w:rPr>
      </w:pPr>
      <w:r>
        <w:rPr>
          <w:noProof/>
        </w:rPr>
        <w:t>–</w:t>
      </w:r>
      <w:r>
        <w:rPr>
          <w:noProof/>
        </w:rPr>
        <w:tab/>
        <w:t>Izvedbeno uredbo Komisije (EU) št. 586/2013 z dne 20. junija 2013 (UL L 169, 21.6.2013, str. 51),</w:t>
      </w:r>
    </w:p>
    <w:p>
      <w:pPr>
        <w:ind w:left="1984" w:hanging="567"/>
        <w:rPr>
          <w:rFonts w:eastAsia="Times New Roman"/>
          <w:noProof/>
          <w:szCs w:val="24"/>
        </w:rPr>
      </w:pPr>
      <w:r>
        <w:rPr>
          <w:noProof/>
        </w:rPr>
        <w:t>–</w:t>
      </w:r>
      <w:r>
        <w:rPr>
          <w:noProof/>
        </w:rPr>
        <w:tab/>
        <w:t>Izvedbeno uredbo Komisije (EU) št. 355/2014 z dne 8. aprila 2014 (UL L 106, 9.4.2014, str. 15),</w:t>
      </w:r>
    </w:p>
    <w:p>
      <w:pPr>
        <w:ind w:left="1984" w:hanging="567"/>
        <w:rPr>
          <w:rFonts w:eastAsia="Times New Roman"/>
          <w:noProof/>
          <w:szCs w:val="24"/>
        </w:rPr>
      </w:pPr>
      <w:r>
        <w:rPr>
          <w:noProof/>
        </w:rPr>
        <w:t>–</w:t>
      </w:r>
      <w:r>
        <w:rPr>
          <w:noProof/>
        </w:rPr>
        <w:tab/>
        <w:t>Izvedbeno uredbo Komisije (EU) št. 442/2014 z dne 30. aprila 2014 (UL L 130, 1.5.2014, str. 39),</w:t>
      </w:r>
    </w:p>
    <w:p>
      <w:pPr>
        <w:ind w:left="1984" w:hanging="567"/>
        <w:rPr>
          <w:rFonts w:eastAsia="Times New Roman"/>
          <w:noProof/>
          <w:szCs w:val="24"/>
        </w:rPr>
      </w:pPr>
      <w:r>
        <w:rPr>
          <w:noProof/>
        </w:rPr>
        <w:t>–</w:t>
      </w:r>
      <w:r>
        <w:rPr>
          <w:noProof/>
        </w:rPr>
        <w:tab/>
        <w:t>Izvedbeno uredbo Komisije (EU) št. 644/2014 z dne 16. junija 2014 (UL L 177, 17.6.2014, str. 42),</w:t>
      </w:r>
    </w:p>
    <w:p>
      <w:pPr>
        <w:ind w:left="1984" w:hanging="567"/>
        <w:rPr>
          <w:rFonts w:eastAsia="Times New Roman"/>
          <w:noProof/>
          <w:szCs w:val="24"/>
        </w:rPr>
      </w:pPr>
      <w:r>
        <w:rPr>
          <w:noProof/>
        </w:rPr>
        <w:t>–</w:t>
      </w:r>
      <w:r>
        <w:rPr>
          <w:noProof/>
        </w:rPr>
        <w:tab/>
        <w:t>Izvedbeno uredbo Komisije (EU) št. 829/2014 z dne 30. julija 2014 (UL L 228, 31.7.2014, str. 9),</w:t>
      </w:r>
    </w:p>
    <w:p>
      <w:pPr>
        <w:ind w:left="1984" w:hanging="567"/>
        <w:rPr>
          <w:rFonts w:eastAsia="Times New Roman"/>
          <w:noProof/>
          <w:szCs w:val="24"/>
        </w:rPr>
      </w:pPr>
      <w:r>
        <w:rPr>
          <w:noProof/>
        </w:rPr>
        <w:t>–</w:t>
      </w:r>
      <w:r>
        <w:rPr>
          <w:noProof/>
        </w:rPr>
        <w:tab/>
        <w:t xml:space="preserve">Izvedbeno uredbo Komisije (EU) št. 1287/2014 z dne 28. novembra 2014 (UL L 348, 4.12.2014, str. 1), </w:t>
      </w:r>
    </w:p>
    <w:p>
      <w:pPr>
        <w:ind w:left="1984" w:hanging="567"/>
        <w:rPr>
          <w:rFonts w:eastAsia="Times New Roman"/>
          <w:noProof/>
          <w:szCs w:val="24"/>
        </w:rPr>
      </w:pPr>
      <w:r>
        <w:rPr>
          <w:noProof/>
        </w:rPr>
        <w:t>–</w:t>
      </w:r>
      <w:r>
        <w:rPr>
          <w:noProof/>
        </w:rPr>
        <w:tab/>
        <w:t>Izvedbeno uredbo Komisije (EU) 2015/131 z dne 26. januarja 2015 (UL L 23, 29.1.2015, str. 1),</w:t>
      </w:r>
    </w:p>
    <w:p>
      <w:pPr>
        <w:ind w:left="1984" w:hanging="567"/>
        <w:rPr>
          <w:rFonts w:eastAsia="Times New Roman"/>
          <w:noProof/>
          <w:szCs w:val="24"/>
        </w:rPr>
      </w:pPr>
      <w:r>
        <w:rPr>
          <w:noProof/>
        </w:rPr>
        <w:t>–</w:t>
      </w:r>
      <w:r>
        <w:rPr>
          <w:noProof/>
        </w:rPr>
        <w:tab/>
        <w:t>Izvedbeno uredbo Komisije (EU) 2015/931 z dne 17. junija 2015 (UL L 151, 18.6.2015, str. 1),</w:t>
      </w:r>
    </w:p>
    <w:p>
      <w:pPr>
        <w:ind w:left="1984" w:hanging="567"/>
        <w:rPr>
          <w:rFonts w:eastAsia="Times New Roman"/>
          <w:noProof/>
          <w:szCs w:val="24"/>
        </w:rPr>
      </w:pPr>
      <w:r>
        <w:rPr>
          <w:noProof/>
        </w:rPr>
        <w:t>–</w:t>
      </w:r>
      <w:r>
        <w:rPr>
          <w:noProof/>
        </w:rPr>
        <w:tab/>
        <w:t>Izvedbeno uredbo Komisije (EU) 2015/1980 z dne 4. novembra 2015 (UL L 289, 5.11.2015, str. 6),</w:t>
      </w:r>
    </w:p>
    <w:p>
      <w:pPr>
        <w:ind w:left="1984" w:hanging="567"/>
        <w:rPr>
          <w:rFonts w:eastAsia="Times New Roman"/>
          <w:noProof/>
          <w:szCs w:val="24"/>
        </w:rPr>
      </w:pPr>
      <w:r>
        <w:rPr>
          <w:noProof/>
        </w:rPr>
        <w:t>–</w:t>
      </w:r>
      <w:r>
        <w:rPr>
          <w:noProof/>
        </w:rPr>
        <w:tab/>
        <w:t>Izvedbeno uredbo Komisije (EU) 2015/2345 z dne 15. decembra 2015 (UL L 330, 16.12.2015, str. 29),</w:t>
      </w:r>
    </w:p>
    <w:p>
      <w:pPr>
        <w:ind w:left="1984" w:hanging="567"/>
        <w:rPr>
          <w:rFonts w:eastAsia="Times New Roman"/>
          <w:bCs/>
          <w:noProof/>
          <w:szCs w:val="24"/>
        </w:rPr>
      </w:pPr>
      <w:r>
        <w:rPr>
          <w:noProof/>
        </w:rPr>
        <w:t>–</w:t>
      </w:r>
      <w:r>
        <w:rPr>
          <w:noProof/>
        </w:rPr>
        <w:tab/>
        <w:t>Izvedbeno uredbo Komisije (EU) 2016/459 z dne 18. marca 2016 (UL L 80, 31.3.2016, str. 14),</w:t>
      </w:r>
    </w:p>
    <w:p>
      <w:pPr>
        <w:ind w:left="1984" w:hanging="567"/>
        <w:rPr>
          <w:rFonts w:eastAsia="Times New Roman"/>
          <w:bCs/>
          <w:noProof/>
          <w:szCs w:val="24"/>
        </w:rPr>
      </w:pPr>
      <w:r>
        <w:rPr>
          <w:noProof/>
        </w:rPr>
        <w:t>–</w:t>
      </w:r>
      <w:r>
        <w:rPr>
          <w:noProof/>
        </w:rPr>
        <w:tab/>
        <w:t>Izvedbeno uredbo Komisije (EU) 2016/910 z dne 9. junija 2016 (UL L 153, 10.6.2016, str. 23),</w:t>
      </w:r>
    </w:p>
    <w:p>
      <w:pPr>
        <w:ind w:left="1984" w:hanging="567"/>
        <w:rPr>
          <w:noProof/>
        </w:rPr>
      </w:pPr>
      <w:r>
        <w:rPr>
          <w:noProof/>
        </w:rPr>
        <w:t>–</w:t>
      </w:r>
      <w:r>
        <w:rPr>
          <w:noProof/>
        </w:rPr>
        <w:tab/>
        <w:t xml:space="preserve">Izvedbeno uredbo Komisije (EU) 2016/1330 z dne 2. avgusta 2016 (UL L 210, 4.8.2016, str. 43), </w:t>
      </w:r>
    </w:p>
    <w:p>
      <w:pPr>
        <w:ind w:left="1984" w:hanging="567"/>
        <w:rPr>
          <w:rFonts w:eastAsia="Times New Roman"/>
          <w:bCs/>
          <w:noProof/>
          <w:szCs w:val="24"/>
        </w:rPr>
      </w:pPr>
      <w:r>
        <w:rPr>
          <w:noProof/>
        </w:rPr>
        <w:t>–</w:t>
      </w:r>
      <w:r>
        <w:rPr>
          <w:noProof/>
        </w:rPr>
        <w:tab/>
        <w:t>Izvedbeno uredbo Komisije (EU) 2016/1842 z dne 14. oktobra 2016 (UL L 282, 19.10.2016, str. 19);</w:t>
      </w:r>
    </w:p>
    <w:p>
      <w:pPr>
        <w:ind w:left="1984" w:hanging="567"/>
        <w:rPr>
          <w:rFonts w:eastAsia="Times New Roman"/>
          <w:bCs/>
          <w:noProof/>
          <w:szCs w:val="24"/>
        </w:rPr>
      </w:pPr>
      <w:r>
        <w:rPr>
          <w:noProof/>
        </w:rPr>
        <w:t>–</w:t>
      </w:r>
      <w:r>
        <w:rPr>
          <w:noProof/>
        </w:rPr>
        <w:tab/>
        <w:t xml:space="preserve">Izvedbeno uredbo Komisije (EU) 2016/2259 z dne 15. decembra 2016 (UL L 342, 16.12.2016, str. 4), </w:t>
      </w:r>
    </w:p>
    <w:p>
      <w:pPr>
        <w:ind w:left="1984" w:hanging="567"/>
        <w:rPr>
          <w:rFonts w:eastAsia="Times New Roman"/>
          <w:bCs/>
          <w:noProof/>
          <w:szCs w:val="24"/>
        </w:rPr>
      </w:pPr>
      <w:r>
        <w:rPr>
          <w:noProof/>
        </w:rPr>
        <w:t>–</w:t>
      </w:r>
      <w:r>
        <w:rPr>
          <w:noProof/>
        </w:rPr>
        <w:tab/>
        <w:t>Izvedbeno uredbo Komisije (EU) 2017/872 z dne 22. maja 2017 (UL L 134, 23.5.2017, str. 6),</w:t>
      </w:r>
    </w:p>
    <w:p>
      <w:pPr>
        <w:ind w:left="1984" w:hanging="567"/>
        <w:rPr>
          <w:rFonts w:eastAsia="Times New Roman"/>
          <w:bCs/>
          <w:noProof/>
          <w:szCs w:val="24"/>
        </w:rPr>
      </w:pPr>
      <w:r>
        <w:rPr>
          <w:noProof/>
        </w:rPr>
        <w:t>–</w:t>
      </w:r>
      <w:r>
        <w:rPr>
          <w:noProof/>
        </w:rPr>
        <w:tab/>
        <w:t>Izvedbeno uredbo Komisije (EU) 2017/1473 z dne 14. avgusta 2017 (UL L 210, 15.8.2017, str. 4),</w:t>
      </w:r>
    </w:p>
    <w:p>
      <w:pPr>
        <w:ind w:left="1984" w:hanging="567"/>
        <w:rPr>
          <w:rFonts w:eastAsia="Times New Roman"/>
          <w:bCs/>
          <w:noProof/>
          <w:szCs w:val="24"/>
        </w:rPr>
      </w:pPr>
      <w:r>
        <w:rPr>
          <w:noProof/>
        </w:rPr>
        <w:t>–</w:t>
      </w:r>
      <w:r>
        <w:rPr>
          <w:noProof/>
        </w:rPr>
        <w:tab/>
        <w:t>Izvedbeno uredbo Komisije (EU) 2017/1862 z dne 16. oktobra 2017 (UL L 266, 17.10.2017, str. 1),</w:t>
      </w:r>
    </w:p>
    <w:p>
      <w:pPr>
        <w:ind w:left="1984" w:hanging="567"/>
        <w:rPr>
          <w:rFonts w:eastAsia="Times New Roman"/>
          <w:bCs/>
          <w:noProof/>
          <w:szCs w:val="24"/>
        </w:rPr>
      </w:pPr>
      <w:r>
        <w:rPr>
          <w:noProof/>
        </w:rPr>
        <w:t>–</w:t>
      </w:r>
      <w:r>
        <w:rPr>
          <w:noProof/>
        </w:rPr>
        <w:tab/>
        <w:t>Izvedbeno uredbo Komisije (EU) 2017/2329 z dne 14. decembra 2017 (UL L 333, 15.12.2017, str. 29),</w:t>
      </w:r>
    </w:p>
    <w:p>
      <w:pPr>
        <w:ind w:left="1984" w:hanging="567"/>
        <w:rPr>
          <w:rFonts w:eastAsia="Times New Roman"/>
          <w:bCs/>
          <w:noProof/>
          <w:szCs w:val="24"/>
        </w:rPr>
      </w:pPr>
      <w:r>
        <w:rPr>
          <w:noProof/>
        </w:rPr>
        <w:t>–</w:t>
      </w:r>
      <w:r>
        <w:rPr>
          <w:noProof/>
        </w:rPr>
        <w:tab/>
        <w:t>Izvedbeno uredbo Komisije (EU) 2018/949 z dne 3. julija 2018 (UL L 167, 4.7.2018, str. 3),</w:t>
      </w:r>
    </w:p>
    <w:p>
      <w:pPr>
        <w:ind w:left="1984" w:hanging="567"/>
        <w:rPr>
          <w:rFonts w:eastAsia="Times New Roman"/>
          <w:bCs/>
          <w:noProof/>
          <w:szCs w:val="24"/>
        </w:rPr>
      </w:pPr>
      <w:r>
        <w:rPr>
          <w:noProof/>
        </w:rPr>
        <w:t>kakor je bila popravljena z:</w:t>
      </w:r>
    </w:p>
    <w:p>
      <w:pPr>
        <w:ind w:left="1984" w:hanging="567"/>
        <w:rPr>
          <w:rFonts w:eastAsia="Times New Roman"/>
          <w:bCs/>
          <w:noProof/>
          <w:szCs w:val="24"/>
        </w:rPr>
      </w:pPr>
      <w:r>
        <w:rPr>
          <w:noProof/>
        </w:rPr>
        <w:t>UL L 28, 4.2.2015, str. 48 (1287/2014),</w:t>
      </w:r>
    </w:p>
    <w:p>
      <w:pPr>
        <w:ind w:left="1984" w:hanging="567"/>
        <w:rPr>
          <w:rFonts w:eastAsia="Times New Roman"/>
          <w:bCs/>
          <w:noProof/>
          <w:szCs w:val="24"/>
        </w:rPr>
      </w:pPr>
      <w:r>
        <w:rPr>
          <w:noProof/>
        </w:rPr>
        <w:t>UL L 241, 17.9.2015, str. 51 (2015/131).</w:t>
      </w:r>
    </w:p>
    <w:p>
      <w:pPr>
        <w:jc w:val="center"/>
        <w:rPr>
          <w:b/>
          <w:noProof/>
        </w:rPr>
      </w:pPr>
      <w:r>
        <w:rPr>
          <w:b/>
          <w:noProof/>
        </w:rPr>
        <w:t>PRILOGA B</w:t>
      </w:r>
    </w:p>
    <w:p>
      <w:pPr>
        <w:jc w:val="center"/>
        <w:rPr>
          <w:b/>
          <w:noProof/>
        </w:rPr>
      </w:pPr>
      <w:r>
        <w:rPr>
          <w:b/>
          <w:noProof/>
        </w:rPr>
        <w:t>UREDITVE IZ ČLENA 2</w:t>
      </w:r>
    </w:p>
    <w:p>
      <w:pPr>
        <w:jc w:val="center"/>
        <w:rPr>
          <w:noProof/>
        </w:rPr>
      </w:pPr>
    </w:p>
    <w:p>
      <w:pPr>
        <w:pStyle w:val="Point0"/>
        <w:spacing w:after="240"/>
        <w:ind w:left="851" w:hanging="851"/>
        <w:rPr>
          <w:noProof/>
        </w:rPr>
      </w:pPr>
      <w:r>
        <w:rPr>
          <w:noProof/>
        </w:rPr>
        <w:t xml:space="preserve"> 1. </w:t>
      </w:r>
      <w:r>
        <w:rPr>
          <w:noProof/>
        </w:rPr>
        <w:tab/>
        <w:t>Ekološkim proizvodom, uvoženim v Republiko San Marino iz tretjih držav, se priloži potrdilo o kontrolnem pregledu iz točke (d) prvega pododstavka člena 33(1) Uredbe (ES) št. 834/2007.</w:t>
      </w:r>
    </w:p>
    <w:p>
      <w:pPr>
        <w:pStyle w:val="Point0"/>
        <w:spacing w:after="240"/>
        <w:ind w:left="851" w:hanging="851"/>
        <w:rPr>
          <w:noProof/>
        </w:rPr>
      </w:pPr>
      <w:r>
        <w:rPr>
          <w:noProof/>
        </w:rPr>
        <w:t xml:space="preserve">2. </w:t>
      </w:r>
      <w:r>
        <w:rPr>
          <w:noProof/>
        </w:rPr>
        <w:tab/>
        <w:t>Republika San Marino uporablja elektronski sistem Traces (Trade Control and Expert System), vzpostavljen z Odločbo Komisije 2003/24/ES</w:t>
      </w:r>
      <w:r>
        <w:rPr>
          <w:rStyle w:val="FootnoteReference"/>
          <w:noProof/>
        </w:rPr>
        <w:footnoteReference w:id="2"/>
      </w:r>
      <w:r>
        <w:rPr>
          <w:noProof/>
        </w:rPr>
        <w:t xml:space="preserve"> za obdelavo elektronskih potrdil o kontrolnem pregledu za uvoz ekoloških proizvodov iz tretjih držav. </w:t>
      </w:r>
    </w:p>
    <w:p>
      <w:pPr>
        <w:pStyle w:val="Point0"/>
        <w:spacing w:after="240"/>
        <w:ind w:left="851" w:hanging="851"/>
        <w:rPr>
          <w:rFonts w:eastAsia="Times New Roman"/>
          <w:noProof/>
          <w:szCs w:val="24"/>
        </w:rPr>
      </w:pPr>
      <w:r>
        <w:rPr>
          <w:noProof/>
        </w:rPr>
        <w:t xml:space="preserve">3. </w:t>
      </w:r>
      <w:r>
        <w:rPr>
          <w:noProof/>
        </w:rPr>
        <w:tab/>
        <w:t>Za namene člena 13 Uredbe (ES) št. 1235/2008 v zvezi z uvozom ekoloških proizvodov iz tretjih držav v Republiko San Marino preverjanje in potrjevanje potrdil o inšpekcijskih pregledih, ki uporabljajo Traces, v imenu Republike San Marino opravijo carinski uradi iz Priloge II k Sklepu „Omnibus“ št. 1/2010</w:t>
      </w:r>
      <w:r>
        <w:rPr>
          <w:rStyle w:val="FootnoteReference"/>
          <w:noProof/>
        </w:rPr>
        <w:footnoteReference w:id="3"/>
      </w:r>
      <w:r>
        <w:rPr>
          <w:noProof/>
        </w:rPr>
        <w:t>.</w:t>
      </w:r>
    </w:p>
    <w:p>
      <w:pPr>
        <w:pStyle w:val="Point0"/>
        <w:spacing w:after="240"/>
        <w:ind w:left="851" w:hanging="851"/>
        <w:rPr>
          <w:noProof/>
        </w:rPr>
      </w:pPr>
      <w:r>
        <w:rPr>
          <w:noProof/>
        </w:rPr>
        <w:t xml:space="preserve">4. </w:t>
      </w:r>
      <w:r>
        <w:rPr>
          <w:noProof/>
        </w:rPr>
        <w:tab/>
        <w:t>Za namene člena 16(2) Uredbe (ES) št. 1235/2008 se od Republike San Marino lahko zahteva, da deluje kot soporočevalec. Republika San Marino lahko to nalogo sprejme po lastni presoji.</w:t>
      </w:r>
    </w:p>
    <w:p>
      <w:pPr>
        <w:spacing w:before="0" w:after="200" w:line="276" w:lineRule="auto"/>
        <w:jc w:val="left"/>
        <w:rPr>
          <w:b/>
          <w:noProof/>
        </w:rPr>
      </w:pPr>
      <w:r>
        <w:rPr>
          <w:noProof/>
        </w:rPr>
        <w:br w:type="page"/>
      </w:r>
    </w:p>
    <w:p>
      <w:pPr>
        <w:jc w:val="center"/>
        <w:rPr>
          <w:b/>
          <w:noProof/>
        </w:rPr>
      </w:pPr>
      <w:r>
        <w:rPr>
          <w:b/>
          <w:noProof/>
        </w:rPr>
        <w:t>PRILOGA C</w:t>
      </w:r>
    </w:p>
    <w:p>
      <w:pPr>
        <w:pStyle w:val="ListParagraph"/>
        <w:jc w:val="center"/>
        <w:rPr>
          <w:b/>
          <w:noProof/>
        </w:rPr>
      </w:pPr>
      <w:r>
        <w:rPr>
          <w:b/>
          <w:noProof/>
        </w:rPr>
        <w:t>UREDITVE IZ ČLENA 3</w:t>
      </w:r>
    </w:p>
    <w:p>
      <w:pPr>
        <w:rPr>
          <w:noProof/>
        </w:rPr>
      </w:pPr>
    </w:p>
    <w:p>
      <w:pPr>
        <w:pStyle w:val="Point0"/>
        <w:spacing w:after="240"/>
        <w:ind w:left="851" w:hanging="851"/>
        <w:rPr>
          <w:noProof/>
        </w:rPr>
      </w:pPr>
      <w:r>
        <w:rPr>
          <w:noProof/>
        </w:rPr>
        <w:t xml:space="preserve"> 1.</w:t>
      </w:r>
      <w:r>
        <w:rPr>
          <w:noProof/>
        </w:rPr>
        <w:tab/>
        <w:t xml:space="preserve">V ustreznih členih uredb, navedenih v Prilogi A, se razume, da izraz „država članica“ ali „države članice“ vključuje Republiko San Marino. </w:t>
      </w:r>
    </w:p>
    <w:p>
      <w:pPr>
        <w:pStyle w:val="Point0"/>
        <w:spacing w:after="240"/>
        <w:ind w:left="851" w:hanging="851"/>
        <w:rPr>
          <w:noProof/>
        </w:rPr>
      </w:pPr>
      <w:r>
        <w:rPr>
          <w:noProof/>
        </w:rPr>
        <w:t>2.</w:t>
      </w:r>
      <w:r>
        <w:rPr>
          <w:noProof/>
        </w:rPr>
        <w:tab/>
        <w:t xml:space="preserve">Kadar ustrezni členi uredb, navedeni v Prilogi A, določajo, da mora država članica sprejeti odločitev ali poslati sporočilo ali uradno obvestilo, tako odločitev sprejmejo ali tako sporočilo ali uradno obvestilo pošljejo organi Republike San Marino. Ti organi upoštevajo mnenja znanstvenih odborov Unije in kot podlago za svoje odločitve uporabijo sodno prakso Sodišča Evropske unije in pravila upravnega ravnanja, ki jih je sprejela Evropska komisija.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84, 28.3.2002, str. 43.</w:t>
      </w:r>
    </w:p>
  </w:footnote>
  <w:footnote w:id="2">
    <w:p>
      <w:pPr>
        <w:pStyle w:val="FootnoteText"/>
        <w:rPr>
          <w:lang w:val="en-IE"/>
        </w:rPr>
      </w:pPr>
      <w:r>
        <w:rPr>
          <w:rStyle w:val="FootnoteReference"/>
        </w:rPr>
        <w:footnoteRef/>
      </w:r>
      <w:r>
        <w:tab/>
        <w:t>Odločba Komisije 2003/24/ES z dne 30. decembra 2002 o razvoju celovitega računalniškega veterinarskega sistema (UL L 8, 14.1.2003, str. 44).</w:t>
      </w:r>
    </w:p>
  </w:footnote>
  <w:footnote w:id="3">
    <w:p>
      <w:pPr>
        <w:pStyle w:val="FootnoteText"/>
        <w:rPr>
          <w:lang w:val="cs-CZ"/>
        </w:rPr>
      </w:pPr>
      <w:r>
        <w:rPr>
          <w:rStyle w:val="FootnoteReference"/>
        </w:rPr>
        <w:footnoteRef/>
      </w:r>
      <w:r>
        <w:tab/>
        <w:t>Sklep „Omnibus“ št. 1/2010 Odbora za sodelovanje med EU in San Marinom z dne 29. marca 2010 o različnih ukrepih za izvajanje Sporazuma o sodelovanju in carinski uniji med Evropsko gospodarsko skupnostjo in Republiko San Marino (UL L 156, 23.6.2010, str.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14CA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0E83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AC0B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884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88A7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64B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F875BC"/>
    <w:lvl w:ilvl="0">
      <w:start w:val="1"/>
      <w:numFmt w:val="decimal"/>
      <w:pStyle w:val="ListNumber"/>
      <w:lvlText w:val="%1."/>
      <w:lvlJc w:val="left"/>
      <w:pPr>
        <w:tabs>
          <w:tab w:val="num" w:pos="360"/>
        </w:tabs>
        <w:ind w:left="360" w:hanging="360"/>
      </w:pPr>
    </w:lvl>
  </w:abstractNum>
  <w:abstractNum w:abstractNumId="7">
    <w:nsid w:val="FFFFFF89"/>
    <w:multiLevelType w:val="singleLevel"/>
    <w:tmpl w:val="D72070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FORNESA ROCA Carla (AGRI)">
    <w15:presenceInfo w15:providerId="None" w15:userId="FORNESA ROCA Carl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8: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8CDB1F5F-C602-47BD-B3A9-C7BDFAD2BDC4"/>
    <w:docVar w:name="LW_COVERPAGE_TYPE" w:val="1"/>
    <w:docVar w:name="LW_CROSSREFERENCE" w:val="&lt;UNUSED&gt;"/>
    <w:docVar w:name="LW_DocType" w:val="ANNEX"/>
    <w:docVar w:name="LW_EMISSION" w:val="30.4.2019"/>
    <w:docVar w:name="LW_EMISSION_ISODATE" w:val="2019-04-30"/>
    <w:docVar w:name="LW_EMISSION_LOCATION" w:val="BRX"/>
    <w:docVar w:name="LW_EMISSION_PREFIX" w:val="Bruselj, "/>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Odboru za sodelovanje, ustanovljenem s Sporazumom o sodelovanju in carinski uniji med Evropsko gospodarsko skupnostjo in Republiko San Marino, v zvezi z dolo\u269?bami, ki se uporabljajo za ekolo\u353?ko pridelavo in ozna\u269?evanje ekolo\u353?kih proizvodov ter za ureditev za uvoz ekolo\u353?kih proizvodov_x000b_"/>
    <w:docVar w:name="LW_OBJETACTEPRINCIPAL.CP" w:val="o stali\u353?\u269?u, ki se v imenu Evropske unije zastopa v Odboru za sodelovanje, ustanovljenem s Sporazumom o sodelovanju in carinski uniji med Evropsko gospodarsko skupnostjo in Republiko San Marino, v zvezi z dolo\u269?bami, ki se uporabljajo za ekolo\u353?ko pridelavo in ozna\u269?evanje ekolo\u353?kih proizvodov ter za ureditev za uvoz ekolo\u353?kih proizvodov_x000b_"/>
    <w:docVar w:name="LW_PART_NBR" w:val="1"/>
    <w:docVar w:name="LW_PART_NBR_TOTAL" w:val="1"/>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742">
      <w:bodyDiv w:val="1"/>
      <w:marLeft w:val="0"/>
      <w:marRight w:val="0"/>
      <w:marTop w:val="0"/>
      <w:marBottom w:val="0"/>
      <w:divBdr>
        <w:top w:val="none" w:sz="0" w:space="0" w:color="auto"/>
        <w:left w:val="none" w:sz="0" w:space="0" w:color="auto"/>
        <w:bottom w:val="none" w:sz="0" w:space="0" w:color="auto"/>
        <w:right w:val="none" w:sz="0" w:space="0" w:color="auto"/>
      </w:divBdr>
    </w:div>
    <w:div w:id="1539078125">
      <w:bodyDiv w:val="1"/>
      <w:marLeft w:val="0"/>
      <w:marRight w:val="0"/>
      <w:marTop w:val="0"/>
      <w:marBottom w:val="0"/>
      <w:divBdr>
        <w:top w:val="none" w:sz="0" w:space="0" w:color="auto"/>
        <w:left w:val="none" w:sz="0" w:space="0" w:color="auto"/>
        <w:bottom w:val="none" w:sz="0" w:space="0" w:color="auto"/>
        <w:right w:val="none" w:sz="0" w:space="0" w:color="auto"/>
      </w:divBdr>
    </w:div>
    <w:div w:id="2071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7759-49D6-4FAE-89FB-90EBA18E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8</Pages>
  <Words>1705</Words>
  <Characters>8868</Characters>
  <Application>Microsoft Office Word</Application>
  <DocSecurity>0</DocSecurity>
  <Lines>216</Lines>
  <Paragraphs>117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WES PDFC Administrator</cp:lastModifiedBy>
  <cp:revision>8</cp:revision>
  <cp:lastPrinted>2019-01-09T08:13:00Z</cp:lastPrinted>
  <dcterms:created xsi:type="dcterms:W3CDTF">2019-04-04T06:04:00Z</dcterms:created>
  <dcterms:modified xsi:type="dcterms:W3CDTF">2019-04-23T09:28:00Z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