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AE254A9-365C-46F1-8CA4-6B748820DB59"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BEGRUNDELSE</w:t>
      </w:r>
    </w:p>
    <w:p>
      <w:pPr>
        <w:pStyle w:val="ManualHeading1"/>
        <w:rPr>
          <w:rFonts w:eastAsia="Calibri"/>
          <w:noProof/>
        </w:rPr>
      </w:pPr>
      <w:r>
        <w:t>1.</w:t>
      </w:r>
      <w:r>
        <w:tab/>
      </w:r>
      <w:r>
        <w:rPr>
          <w:noProof/>
        </w:rPr>
        <w:t>BAGGRUND FOR FORSLAGET</w:t>
      </w:r>
    </w:p>
    <w:p>
      <w:pPr>
        <w:pStyle w:val="ManualHeading2"/>
        <w:rPr>
          <w:rFonts w:eastAsia="Arial Unicode MS"/>
          <w:noProof/>
        </w:rPr>
      </w:pPr>
      <w:r>
        <w:rPr>
          <w:noProof/>
        </w:rPr>
        <w:t>•</w:t>
      </w:r>
      <w:r>
        <w:rPr>
          <w:noProof/>
        </w:rPr>
        <w:tab/>
        <w:t>Forslagets begrundelse og formål</w:t>
      </w:r>
    </w:p>
    <w:p>
      <w:pPr>
        <w:pBdr>
          <w:top w:val="nil"/>
          <w:left w:val="nil"/>
          <w:bottom w:val="nil"/>
          <w:right w:val="nil"/>
          <w:between w:val="nil"/>
          <w:bar w:val="nil"/>
        </w:pBdr>
        <w:spacing w:before="0" w:after="240"/>
        <w:rPr>
          <w:noProof/>
        </w:rPr>
      </w:pPr>
      <w:r>
        <w:rPr>
          <w:noProof/>
        </w:rPr>
        <w:t>Autonome toldkontingenter er nødvendige for visse produkter, når produktionen i Unionen ikke i tilstrækkelig grad opfylder industriens behov. Der bør åbnes EU-toldkontingenter til nulsats eller nedsat sats for passende mængder, uden at ligevægten på markedet for disse produkter forstyrres.</w:t>
      </w:r>
    </w:p>
    <w:p>
      <w:pPr>
        <w:pBdr>
          <w:top w:val="nil"/>
          <w:left w:val="nil"/>
          <w:bottom w:val="nil"/>
          <w:right w:val="nil"/>
          <w:between w:val="nil"/>
          <w:bar w:val="nil"/>
        </w:pBdr>
        <w:spacing w:before="0" w:after="240"/>
        <w:rPr>
          <w:noProof/>
        </w:rPr>
      </w:pPr>
      <w:r>
        <w:rPr>
          <w:noProof/>
        </w:rPr>
        <w:t>Den 17. december 2013 vedtog Rådet for den Europæiske Union forordning (EU) nr. 1388/2013 om åbning og forvaltning af autonome EU-toldkontingenter for visse landbrugs- og industriprodukter for at sikre, at efterspørgslen i Unionen efter de pågældende produkter kan efterkommes på de bedst mulige betingelser.</w:t>
      </w:r>
    </w:p>
    <w:p>
      <w:pPr>
        <w:pBdr>
          <w:top w:val="nil"/>
          <w:left w:val="nil"/>
          <w:bottom w:val="nil"/>
          <w:right w:val="nil"/>
          <w:between w:val="nil"/>
          <w:bar w:val="nil"/>
        </w:pBdr>
        <w:spacing w:before="0" w:after="240"/>
        <w:rPr>
          <w:noProof/>
        </w:rPr>
      </w:pPr>
      <w:r>
        <w:rPr>
          <w:noProof/>
        </w:rPr>
        <w:t>Forordningen ajourføres hvert halve år med det formål at imødekomme EU-industriens behov. Kommissionen har med bistand fra Gruppen for Økonomiske Tarifspørgsmål gennemgået alle ansøgninger fra medlemsstaterne om autonome toldkontingenter.</w:t>
      </w:r>
    </w:p>
    <w:p>
      <w:pPr>
        <w:pBdr>
          <w:top w:val="nil"/>
          <w:left w:val="nil"/>
          <w:bottom w:val="nil"/>
          <w:right w:val="nil"/>
          <w:between w:val="nil"/>
          <w:bar w:val="nil"/>
        </w:pBdr>
        <w:spacing w:before="0" w:after="240"/>
        <w:rPr>
          <w:noProof/>
        </w:rPr>
      </w:pPr>
      <w:r>
        <w:rPr>
          <w:noProof/>
        </w:rPr>
        <w:t>Kommissionen skønner på grundlag af denne gennemgang, at det vil være berettiget at åbne autonome toldsatser for visse nye produkter, der p.t. ikke er opført i bilaget til Rådets forordning (EU) nr. 1388/2013. Hvad angår visse andre produkter skal ordlyden af varebeskrivelsen ændres, der skal tildeles nye Taric-koder, eller det er blevet nødvendigt at øge den oprindelige kontingentmængde. Produkter, for hvilke toldkontingenter ikke længere er i EU's økonomiske interesse, bør trækkes tilbage.</w:t>
      </w:r>
    </w:p>
    <w:p>
      <w:pPr>
        <w:pBdr>
          <w:top w:val="nil"/>
          <w:left w:val="nil"/>
          <w:bottom w:val="nil"/>
          <w:right w:val="nil"/>
          <w:between w:val="nil"/>
          <w:bar w:val="nil"/>
        </w:pBdr>
        <w:spacing w:before="0" w:after="240"/>
        <w:rPr>
          <w:rFonts w:eastAsia="Arial Unicode MS"/>
          <w:noProof/>
        </w:rPr>
      </w:pPr>
      <w:r>
        <w:rPr>
          <w:noProof/>
        </w:rPr>
        <w:t>Af hensyn til klarheden anbefales det at offentliggøre en konsolideret version af bilaget til Rådets forordning (EU) nr. 1388/2013, som vil erstatte det tidligere bilag.</w:t>
      </w:r>
    </w:p>
    <w:p>
      <w:pPr>
        <w:pStyle w:val="ManualHeading2"/>
        <w:rPr>
          <w:rFonts w:eastAsia="Arial Unicode MS"/>
          <w:noProof/>
          <w:u w:color="000000"/>
          <w:bdr w:val="nil"/>
        </w:rPr>
      </w:pPr>
      <w:r>
        <w:rPr>
          <w:noProof/>
        </w:rPr>
        <w:t>•</w:t>
      </w:r>
      <w:r>
        <w:rPr>
          <w:noProof/>
        </w:rPr>
        <w:tab/>
        <w:t>Sammenhæng med de gældende regler på samme område</w:t>
      </w:r>
    </w:p>
    <w:p>
      <w:pPr>
        <w:rPr>
          <w:noProof/>
        </w:rPr>
      </w:pPr>
      <w:r>
        <w:rPr>
          <w:noProof/>
        </w:rPr>
        <w:t>Dette forslag berører ikke lande, der har indgået en præferencehandelsaftale med Unionen, kandidatlande eller potentielle kandidater til præferenceaftaler med Unionen (f.eks. den generelle præferenceordning, handelsordningen for lande i Afrika, Vestindien og Stillehavet eller frihandelsaftaler).</w:t>
      </w:r>
    </w:p>
    <w:p>
      <w:pPr>
        <w:pStyle w:val="ManualHeading2"/>
        <w:rPr>
          <w:rFonts w:eastAsia="Arial Unicode MS"/>
          <w:noProof/>
          <w:u w:color="000000"/>
          <w:bdr w:val="nil"/>
        </w:rPr>
      </w:pPr>
      <w:r>
        <w:rPr>
          <w:noProof/>
        </w:rPr>
        <w:t>•</w:t>
      </w:r>
      <w:r>
        <w:rPr>
          <w:noProof/>
        </w:rPr>
        <w:tab/>
        <w:t>Sammenhæng med Unionens politik på andre områder</w:t>
      </w:r>
    </w:p>
    <w:p>
      <w:pPr>
        <w:pBdr>
          <w:top w:val="nil"/>
          <w:left w:val="nil"/>
          <w:bottom w:val="nil"/>
          <w:right w:val="nil"/>
          <w:between w:val="nil"/>
          <w:bar w:val="nil"/>
        </w:pBdr>
        <w:spacing w:before="0" w:after="240"/>
        <w:rPr>
          <w:rFonts w:eastAsia="Arial Unicode MS"/>
          <w:noProof/>
        </w:rPr>
      </w:pPr>
      <w:r>
        <w:rPr>
          <w:noProof/>
        </w:rPr>
        <w:t>Forslaget er i overensstemmelse med EU's politikker inden for landbrug, handel, erhverv, udvikling, miljø og eksterne forbindelser.</w:t>
      </w:r>
    </w:p>
    <w:p>
      <w:pPr>
        <w:pStyle w:val="ManualHeading1"/>
        <w:rPr>
          <w:rFonts w:eastAsia="Calibri"/>
          <w:noProof/>
        </w:rPr>
      </w:pPr>
      <w:r>
        <w:t>2.</w:t>
      </w:r>
      <w:r>
        <w:tab/>
      </w:r>
      <w:r>
        <w:rPr>
          <w:noProof/>
        </w:rPr>
        <w:t>RETSGRUNDLAG, NÆRHEDSPRINCIPPET OG PROPORTIONALITETSPRINCIPPET</w:t>
      </w:r>
    </w:p>
    <w:p>
      <w:pPr>
        <w:pStyle w:val="ManualHeading2"/>
        <w:rPr>
          <w:rFonts w:eastAsia="Arial Unicode MS"/>
          <w:noProof/>
          <w:u w:color="000000"/>
          <w:bdr w:val="nil"/>
        </w:rPr>
      </w:pPr>
      <w:r>
        <w:rPr>
          <w:noProof/>
        </w:rPr>
        <w:t>•</w:t>
      </w:r>
      <w:r>
        <w:rPr>
          <w:noProof/>
        </w:rPr>
        <w:tab/>
        <w:t>Retsgrundlag</w:t>
      </w:r>
    </w:p>
    <w:p>
      <w:pPr>
        <w:pBdr>
          <w:top w:val="nil"/>
          <w:left w:val="nil"/>
          <w:bottom w:val="nil"/>
          <w:right w:val="nil"/>
          <w:between w:val="nil"/>
          <w:bar w:val="nil"/>
        </w:pBdr>
        <w:spacing w:before="0" w:after="240"/>
        <w:rPr>
          <w:rFonts w:eastAsia="Arial Unicode MS"/>
          <w:noProof/>
        </w:rPr>
      </w:pPr>
      <w:r>
        <w:rPr>
          <w:noProof/>
        </w:rPr>
        <w:t>Retsgrundlaget for dette forslag er artikel 31 i traktaten om Den Europæiske Unions funktionsmåde.</w:t>
      </w:r>
    </w:p>
    <w:p>
      <w:pPr>
        <w:pStyle w:val="ManualHeading2"/>
        <w:rPr>
          <w:rFonts w:eastAsia="Arial Unicode MS"/>
          <w:noProof/>
          <w:u w:color="000000"/>
          <w:bdr w:val="nil"/>
        </w:rPr>
      </w:pPr>
      <w:r>
        <w:rPr>
          <w:noProof/>
        </w:rPr>
        <w:t>•</w:t>
      </w:r>
      <w:r>
        <w:rPr>
          <w:noProof/>
        </w:rPr>
        <w:tab/>
        <w:t>Nærhedsprincippet (for områder, der ikke er omfattet af enekompetence)</w:t>
      </w:r>
    </w:p>
    <w:p>
      <w:pPr>
        <w:rPr>
          <w:noProof/>
        </w:rPr>
      </w:pPr>
      <w:r>
        <w:rPr>
          <w:noProof/>
        </w:rPr>
        <w:t>EU har enekompetence på det område, som forslaget vedrører. Nærhedsprincippet finder derfor ikke anvendelse.</w:t>
      </w:r>
    </w:p>
    <w:p>
      <w:pPr>
        <w:pStyle w:val="ManualHeading2"/>
        <w:rPr>
          <w:rFonts w:eastAsia="Arial Unicode MS"/>
          <w:noProof/>
          <w:u w:color="000000"/>
          <w:bdr w:val="nil"/>
        </w:rPr>
      </w:pPr>
      <w:r>
        <w:rPr>
          <w:noProof/>
        </w:rPr>
        <w:t>•</w:t>
      </w:r>
      <w:r>
        <w:rPr>
          <w:noProof/>
        </w:rPr>
        <w:tab/>
        <w:t>Proportionalitetsprincippet</w:t>
      </w:r>
    </w:p>
    <w:p>
      <w:pPr>
        <w:pBdr>
          <w:top w:val="nil"/>
          <w:left w:val="nil"/>
          <w:bottom w:val="nil"/>
          <w:right w:val="nil"/>
          <w:between w:val="nil"/>
          <w:bar w:val="nil"/>
        </w:pBdr>
        <w:spacing w:before="0" w:after="240"/>
        <w:rPr>
          <w:rFonts w:eastAsia="Arial Unicode MS"/>
          <w:noProof/>
        </w:rPr>
      </w:pPr>
      <w:r>
        <w:rPr>
          <w:noProof/>
        </w:rPr>
        <w:t>Forslaget er i overensstemmelse med proportionalitetsprincippet. De påtænkte foranstaltninger er i overensstemmelse med principperne om forenkling af procedurerne for erhvervsdrivende, der beskæftiger sig med udenrigshandel, som anført i Kommissionens meddelelse vedrørende autonome toldsuspensioner og toldkontingenter</w:t>
      </w:r>
      <w:r>
        <w:rPr>
          <w:rStyle w:val="FootnoteReference"/>
          <w:noProof/>
        </w:rPr>
        <w:footnoteReference w:id="1"/>
      </w:r>
      <w:r>
        <w:rPr>
          <w:noProof/>
        </w:rPr>
        <w:t>. Denne forordning går ikke ud over, hvad der er nødvendigt for at nå de tilstræbte mål i overensstemmelse med artikel 5, stk. 4, i traktaten om Den Europæiske Union.</w:t>
      </w:r>
    </w:p>
    <w:p>
      <w:pPr>
        <w:pStyle w:val="ManualHeading2"/>
        <w:rPr>
          <w:rFonts w:eastAsia="Arial Unicode MS"/>
          <w:noProof/>
          <w:u w:color="000000"/>
          <w:bdr w:val="nil"/>
        </w:rPr>
      </w:pPr>
      <w:r>
        <w:rPr>
          <w:noProof/>
        </w:rPr>
        <w:t>•</w:t>
      </w:r>
      <w:r>
        <w:rPr>
          <w:noProof/>
        </w:rPr>
        <w:tab/>
        <w:t>Valg af retsakt</w:t>
      </w:r>
    </w:p>
    <w:p>
      <w:pPr>
        <w:rPr>
          <w:noProof/>
        </w:rPr>
      </w:pPr>
      <w:r>
        <w:rPr>
          <w:noProof/>
        </w:rPr>
        <w:t xml:space="preserve">"Rådet fastsætter på forslag af Kommissionen toldsatserne i den fælles toldtarif", jf. artikel 31 i traktaten om Den Europæiske Unions funktionsmåde (TEUF). Derfor er en forordning det rette instrument. </w:t>
      </w:r>
    </w:p>
    <w:p>
      <w:pPr>
        <w:pStyle w:val="ManualHeading1"/>
        <w:rPr>
          <w:rFonts w:eastAsia="Calibri"/>
          <w:noProof/>
        </w:rPr>
      </w:pPr>
      <w:r>
        <w:t>3.</w:t>
      </w:r>
      <w:r>
        <w:tab/>
      </w:r>
      <w:r>
        <w:rPr>
          <w:noProof/>
        </w:rPr>
        <w:t>RESULTATER AF EFTERFØLGENDE EVALUERINGER, HØRINGER AF INTERESSEREDE PARTER OG KONSEKVENSANALYSER</w:t>
      </w:r>
    </w:p>
    <w:p>
      <w:pPr>
        <w:pStyle w:val="ManualHeading2"/>
        <w:rPr>
          <w:rFonts w:eastAsia="Arial Unicode MS"/>
          <w:noProof/>
          <w:u w:color="000000"/>
          <w:bdr w:val="nil"/>
        </w:rPr>
      </w:pPr>
      <w:r>
        <w:rPr>
          <w:noProof/>
        </w:rPr>
        <w:t>•</w:t>
      </w:r>
      <w:r>
        <w:rPr>
          <w:noProof/>
        </w:rPr>
        <w:tab/>
        <w:t>Efterfølgende evalueringer/kvalitetskontrol af gældende lovgivning</w:t>
      </w:r>
    </w:p>
    <w:p>
      <w:pPr>
        <w:pBdr>
          <w:top w:val="nil"/>
          <w:left w:val="nil"/>
          <w:bottom w:val="nil"/>
          <w:right w:val="nil"/>
          <w:between w:val="nil"/>
          <w:bar w:val="nil"/>
        </w:pBdr>
        <w:spacing w:before="0" w:after="240"/>
        <w:rPr>
          <w:noProof/>
        </w:rPr>
      </w:pPr>
      <w:r>
        <w:rPr>
          <w:noProof/>
        </w:rPr>
        <w:t>Ordningen for autonome toldkontingenter var en del af en evalueringsundersøgelse om autonome toldsuspensioner, der blev gennemført i 2013</w:t>
      </w:r>
      <w:r>
        <w:rPr>
          <w:rStyle w:val="FootnoteReference"/>
          <w:noProof/>
        </w:rPr>
        <w:footnoteReference w:id="2"/>
      </w:r>
      <w:r>
        <w:rPr>
          <w:noProof/>
        </w:rPr>
        <w:t>.</w:t>
      </w:r>
    </w:p>
    <w:p>
      <w:pPr>
        <w:pBdr>
          <w:top w:val="nil"/>
          <w:left w:val="nil"/>
          <w:bottom w:val="nil"/>
          <w:right w:val="nil"/>
          <w:between w:val="nil"/>
          <w:bar w:val="nil"/>
        </w:pBdr>
        <w:spacing w:before="0" w:after="240"/>
        <w:rPr>
          <w:rFonts w:eastAsia="Arial Unicode MS"/>
          <w:noProof/>
        </w:rPr>
      </w:pPr>
      <w:r>
        <w:rPr>
          <w:noProof/>
        </w:rPr>
        <w:t>Det skyldes, at de to foranstaltninger ligner hinanden, bortset fra at toldkontingenter begrænser importmængden. I evalueringen blev det konkluderet, at den vigtigste begrundelse for ordningen stadig er gyldig. Omkostningsbesparelserne kan være betydelige for EU-virksomheder, der importerer varer under ordningen. Disse besparelser kan, afhængigt af hvilket produkt, hvilken virksomhed og hvilken sektor, der er tale om, medføre flere fordele, såsom en bedre konkurrenceevne, mere effektive produktionsmetoder samt skabelse eller opretholdelse af arbejdspladser i EU. Nærmere oplysninger om de besparelser, som denne forordning giver anledning til, kan findes i vedlagte finansieringsoversigt.</w:t>
      </w:r>
    </w:p>
    <w:p>
      <w:pPr>
        <w:pStyle w:val="ManualHeading2"/>
        <w:rPr>
          <w:rFonts w:eastAsia="Arial Unicode MS"/>
          <w:noProof/>
          <w:u w:color="000000"/>
          <w:bdr w:val="nil"/>
        </w:rPr>
      </w:pPr>
      <w:r>
        <w:rPr>
          <w:noProof/>
        </w:rPr>
        <w:t>•</w:t>
      </w:r>
      <w:r>
        <w:rPr>
          <w:noProof/>
        </w:rPr>
        <w:tab/>
        <w:t>Høringer af interesserede parter</w:t>
      </w:r>
    </w:p>
    <w:p>
      <w:pPr>
        <w:rPr>
          <w:noProof/>
        </w:rPr>
      </w:pPr>
      <w:r>
        <w:rPr>
          <w:noProof/>
        </w:rPr>
        <w:t>Gruppen for Økonomiske Tarifspørgsmål, som består af delegationer fra alle medlemsstaterne samt Tyrkiet, bistod Kommissionen med at vurdere forslaget. Gruppen mødtes tre gange, før den nåede til enighed om ændringerne i forslaget.</w:t>
      </w:r>
    </w:p>
    <w:p>
      <w:pPr>
        <w:rPr>
          <w:noProof/>
        </w:rPr>
      </w:pPr>
      <w:r>
        <w:rPr>
          <w:noProof/>
        </w:rPr>
        <w:t>Hver enkelt anmodning (ny eller om ændring) blev nøje vurderet af gruppen. Den undersøgte navnlig hvert enkelt tilfælde for at forhindre eventuel skade for producenterne i Unionen og samtidig styrke og konsolidere konkurrenceevnen for produktionen i EU. Evalueringen er foretaget gennem drøftelser internt i Gruppen for Økonomiske Tarifspørgsmål, og medlemsstaterne har konsulteret de berørte brancher, sammenslutninger, handelskamre og andre interesserede parter.</w:t>
      </w:r>
    </w:p>
    <w:p>
      <w:pPr>
        <w:rPr>
          <w:noProof/>
        </w:rPr>
      </w:pPr>
      <w:r>
        <w:rPr>
          <w:noProof/>
        </w:rPr>
        <w:t>Alle anførte toldkontingenter afspejler, hvad der blev aftalt under drøftelserne i Gruppen for Økonomiske Tarifspørgsmål. Der blev ikke peget på potentielt alvorlige risici, som kan gøre uoprettelig skade.</w:t>
      </w:r>
    </w:p>
    <w:p>
      <w:pPr>
        <w:pStyle w:val="ManualHeading2"/>
        <w:rPr>
          <w:rFonts w:eastAsia="Arial Unicode MS"/>
          <w:noProof/>
          <w:u w:color="000000"/>
          <w:bdr w:val="nil"/>
        </w:rPr>
      </w:pPr>
      <w:r>
        <w:rPr>
          <w:noProof/>
        </w:rPr>
        <w:t>•</w:t>
      </w:r>
      <w:r>
        <w:rPr>
          <w:noProof/>
        </w:rPr>
        <w:tab/>
        <w:t>Konsekvensanalyse</w:t>
      </w:r>
    </w:p>
    <w:p>
      <w:pPr>
        <w:rPr>
          <w:noProof/>
        </w:rPr>
      </w:pPr>
      <w:r>
        <w:rPr>
          <w:noProof/>
        </w:rPr>
        <w:t>Den foreslåede ændring er af rent teknisk karakter og vedrører kun anvendelsesområdet for de toldkontingenter, der er anført i bilaget til Rådets forordning (EU) nr. 1388/2013. Der blev derfor ikke foretaget nogen konsekvensanalyse for dette forslag.</w:t>
      </w:r>
    </w:p>
    <w:p>
      <w:pPr>
        <w:pStyle w:val="ManualHeading2"/>
        <w:rPr>
          <w:rFonts w:eastAsia="Arial Unicode MS"/>
          <w:noProof/>
          <w:u w:color="000000"/>
          <w:bdr w:val="nil"/>
        </w:rPr>
      </w:pPr>
      <w:r>
        <w:rPr>
          <w:noProof/>
        </w:rPr>
        <w:t>•</w:t>
      </w:r>
      <w:r>
        <w:rPr>
          <w:noProof/>
        </w:rPr>
        <w:tab/>
        <w:t>Grundlæggende rettigheder</w:t>
      </w:r>
    </w:p>
    <w:p>
      <w:pPr>
        <w:pBdr>
          <w:top w:val="nil"/>
          <w:left w:val="nil"/>
          <w:bottom w:val="nil"/>
          <w:right w:val="nil"/>
          <w:between w:val="nil"/>
          <w:bar w:val="nil"/>
        </w:pBdr>
        <w:spacing w:before="0" w:after="240"/>
        <w:rPr>
          <w:rFonts w:eastAsia="Arial Unicode MS"/>
          <w:noProof/>
        </w:rPr>
      </w:pPr>
      <w:r>
        <w:rPr>
          <w:noProof/>
        </w:rPr>
        <w:t>Forslaget har ingen konsekvenser for de grundlæggende rettigheder.</w:t>
      </w:r>
    </w:p>
    <w:p>
      <w:pPr>
        <w:pStyle w:val="ManualHeading1"/>
        <w:rPr>
          <w:rFonts w:eastAsia="Calibri"/>
          <w:noProof/>
        </w:rPr>
      </w:pPr>
      <w:r>
        <w:t>4.</w:t>
      </w:r>
      <w:r>
        <w:tab/>
      </w:r>
      <w:r>
        <w:rPr>
          <w:noProof/>
        </w:rPr>
        <w:t>VIRKNINGER FOR BUDGETTET</w:t>
      </w:r>
    </w:p>
    <w:p>
      <w:pPr>
        <w:rPr>
          <w:noProof/>
        </w:rPr>
      </w:pPr>
      <w:r>
        <w:rPr>
          <w:noProof/>
        </w:rPr>
        <w:t>Forslaget har ingen finansielle virkninger for udgifterne, men har finansielle virkninger for indtægterne. Ikkeopkrævet told beløber sig til i alt ca. 1 mio. EUR pr. år. Virkningerne for de traditionelle egne indtægter på budgettet er 0,8 mio. EUR pr. år (dvs. 80 % af det samlede beløb). I finansieringsoversigten gøres der nærmere rede for de budgetmæssige virkninger af forslaget.</w:t>
      </w:r>
    </w:p>
    <w:p>
      <w:pPr>
        <w:rPr>
          <w:noProof/>
          <w:szCs w:val="24"/>
        </w:rPr>
      </w:pPr>
      <w:r>
        <w:rPr>
          <w:noProof/>
        </w:rPr>
        <w:t>Tabet af traditionelle egne indtægter vil blive opvejet af medlemsstaternes BNI-bidragssats for egne indtægter.</w:t>
      </w:r>
    </w:p>
    <w:p>
      <w:pPr>
        <w:pStyle w:val="ManualHeading1"/>
        <w:rPr>
          <w:rFonts w:eastAsia="Calibri"/>
          <w:noProof/>
        </w:rPr>
      </w:pPr>
      <w:r>
        <w:t>5.</w:t>
      </w:r>
      <w:r>
        <w:tab/>
      </w:r>
      <w:r>
        <w:rPr>
          <w:noProof/>
        </w:rPr>
        <w:t>ANDRE FORHOLD</w:t>
      </w:r>
    </w:p>
    <w:p>
      <w:pPr>
        <w:pStyle w:val="ManualHeading2"/>
        <w:rPr>
          <w:rFonts w:eastAsia="Arial Unicode MS"/>
          <w:noProof/>
          <w:u w:color="000000"/>
          <w:bdr w:val="nil"/>
        </w:rPr>
      </w:pPr>
      <w:r>
        <w:rPr>
          <w:noProof/>
        </w:rPr>
        <w:t>•</w:t>
      </w:r>
      <w:r>
        <w:rPr>
          <w:noProof/>
        </w:rPr>
        <w:tab/>
        <w:t>Planer for gennemførelsen og foranstaltninger til overvågning, evaluering og rapportering</w:t>
      </w:r>
    </w:p>
    <w:p>
      <w:pPr>
        <w:pBdr>
          <w:top w:val="nil"/>
          <w:left w:val="nil"/>
          <w:bottom w:val="nil"/>
          <w:right w:val="nil"/>
          <w:between w:val="nil"/>
          <w:bar w:val="nil"/>
        </w:pBdr>
        <w:spacing w:before="0" w:after="240"/>
        <w:rPr>
          <w:noProof/>
        </w:rPr>
      </w:pPr>
      <w:r>
        <w:rPr>
          <w:noProof/>
        </w:rPr>
        <w:t>De foreslåede foranstaltninger forvaltes inden for rammerne af Den Europæiske Unions integrerede toldtarif (TARIC) og anvendes af medlemsstaternes toldmyndigheder.</w:t>
      </w:r>
    </w:p>
    <w:p>
      <w:pPr>
        <w:rPr>
          <w:noProof/>
        </w:rPr>
        <w:sectPr>
          <w:footerReference w:type="default" r:id="rId16"/>
          <w:footerReference w:type="first" r:id="rId17"/>
          <w:footnotePr>
            <w:numRestart w:val="eachSect"/>
          </w:footnotePr>
          <w:pgSz w:w="11907" w:h="16839"/>
          <w:pgMar w:top="1134" w:right="1417" w:bottom="1134" w:left="1417" w:header="709" w:footer="709" w:gutter="0"/>
          <w:pgNumType w:start="1"/>
          <w:cols w:space="720"/>
          <w:docGrid w:linePitch="360"/>
        </w:sectPr>
      </w:pPr>
    </w:p>
    <w:p>
      <w:pPr>
        <w:pStyle w:val="Rfrenceinterinstitutionnelle"/>
        <w:rPr>
          <w:noProof/>
        </w:rPr>
      </w:pPr>
      <w:r>
        <w:rPr>
          <w:noProof/>
        </w:rPr>
        <w:t>2019/0103 (NLE)</w:t>
      </w:r>
    </w:p>
    <w:p>
      <w:pPr>
        <w:pStyle w:val="Statut"/>
        <w:rPr>
          <w:noProof/>
        </w:rPr>
      </w:pPr>
      <w:r>
        <w:rPr>
          <w:noProof/>
        </w:rPr>
        <w:t>Forslag til</w:t>
      </w:r>
    </w:p>
    <w:p>
      <w:pPr>
        <w:pStyle w:val="Typedudocument"/>
        <w:rPr>
          <w:noProof/>
        </w:rPr>
      </w:pPr>
      <w:r>
        <w:rPr>
          <w:noProof/>
        </w:rPr>
        <w:t>RÅDETS FORORDNING</w:t>
      </w:r>
    </w:p>
    <w:p>
      <w:pPr>
        <w:pStyle w:val="Titreobjet"/>
        <w:rPr>
          <w:noProof/>
        </w:rPr>
      </w:pPr>
      <w:r>
        <w:rPr>
          <w:noProof/>
        </w:rPr>
        <w:t>om ændring af forordning (EU) nr. 1388/2013 om åbning og forvaltning af autonome EU-toldkontingenter for visse landbrugs- og industriprodukter</w:t>
      </w:r>
    </w:p>
    <w:p>
      <w:pPr>
        <w:pStyle w:val="Institutionquiagit"/>
        <w:rPr>
          <w:noProof/>
        </w:rPr>
      </w:pPr>
      <w:r>
        <w:rPr>
          <w:noProof/>
        </w:rPr>
        <w:t>RÅDET FOR DEN EUROPÆISKE UNION HAR —</w:t>
      </w:r>
    </w:p>
    <w:p>
      <w:pPr>
        <w:rPr>
          <w:noProof/>
        </w:rPr>
      </w:pPr>
      <w:r>
        <w:rPr>
          <w:noProof/>
        </w:rPr>
        <w:t>under henvisning til traktaten om Den Europæiske Unions funktionsmåde, særlig artikel 31,</w:t>
      </w:r>
    </w:p>
    <w:p>
      <w:pPr>
        <w:rPr>
          <w:noProof/>
        </w:rPr>
      </w:pPr>
      <w:r>
        <w:rPr>
          <w:noProof/>
        </w:rPr>
        <w:t>under henvisning til forslag fra Europa-Kommissionen, og</w:t>
      </w:r>
    </w:p>
    <w:p>
      <w:pPr>
        <w:rPr>
          <w:i/>
          <w:noProof/>
        </w:rPr>
      </w:pPr>
      <w:r>
        <w:rPr>
          <w:noProof/>
        </w:rPr>
        <w:t>ud fra følgende betragtninger:</w:t>
      </w:r>
    </w:p>
    <w:p>
      <w:pPr>
        <w:pStyle w:val="ManualConsidrant"/>
        <w:rPr>
          <w:noProof/>
        </w:rPr>
      </w:pPr>
      <w:r>
        <w:t>(1)</w:t>
      </w:r>
      <w:r>
        <w:tab/>
      </w:r>
      <w:r>
        <w:rPr>
          <w:noProof/>
        </w:rPr>
        <w:t>For at sikre tilstrækkelige og uafbrudte forsyninger af visse landbrugs- og industriprodukter, der ikke produceres i tilstrækkelige mængder i Unionen, og herved undgå at forstyrre markederne for disse produkter blev der med Rådets forordning (EU) nr. 1388/2013</w:t>
      </w:r>
      <w:r>
        <w:rPr>
          <w:rStyle w:val="FootnoteReference"/>
          <w:noProof/>
        </w:rPr>
        <w:footnoteReference w:id="3"/>
      </w:r>
      <w:r>
        <w:rPr>
          <w:noProof/>
        </w:rPr>
        <w:t xml:space="preserve"> åbnet for autonome toldkontingenter. Inden for disse toldkontingenter kan produkter importeres til Unionen til nulsats eller nedsat sats.</w:t>
      </w:r>
    </w:p>
    <w:p>
      <w:pPr>
        <w:pStyle w:val="ManualConsidrant"/>
        <w:rPr>
          <w:noProof/>
        </w:rPr>
      </w:pPr>
      <w:r>
        <w:t>(2)</w:t>
      </w:r>
      <w:r>
        <w:tab/>
      </w:r>
      <w:r>
        <w:rPr>
          <w:noProof/>
        </w:rPr>
        <w:t>Da det er i Unionens interesse at sikre tilstrækkelige forsyninger af visse industriprodukter, og i betragtning af at identiske eller ækvivalente varer eller erstatningsvarer ikke fremstilles i tilstrækkelige mængder i Unionen, er det nødvendigt at åbne seks nye toldkontingenter med løbenumrene 09.2594, 09.2595, 09.2596, 09.2597, 09.2598 og 09.2599 til nulsats for passende mængder af disse produkter.</w:t>
      </w:r>
    </w:p>
    <w:p>
      <w:pPr>
        <w:pStyle w:val="ManualConsidrant"/>
        <w:rPr>
          <w:noProof/>
        </w:rPr>
      </w:pPr>
      <w:r>
        <w:t>(3)</w:t>
      </w:r>
      <w:r>
        <w:tab/>
      </w:r>
      <w:r>
        <w:rPr>
          <w:noProof/>
        </w:rPr>
        <w:t>For så vidt angår toldkontingenter med løbenumrene 09.2679, 09.2683, 09.2723 og 09.2888, bør kontingentmængderne forhøjes, da en sådan forhøjelse er i Unionens interesse For så vidt angår toldkontingentet med løbenummer 09.2723 bør kontingentmængderne forhøjes med tilbagevirkende kraft for perioden fra den 1. januar til den 31. december 2018.</w:t>
      </w:r>
    </w:p>
    <w:p>
      <w:pPr>
        <w:pStyle w:val="ManualConsidrant"/>
        <w:rPr>
          <w:noProof/>
        </w:rPr>
      </w:pPr>
      <w:r>
        <w:t>(4)</w:t>
      </w:r>
      <w:r>
        <w:tab/>
      </w:r>
      <w:r>
        <w:rPr>
          <w:noProof/>
        </w:rPr>
        <w:t>For så vidt angår toldkontingentet med løbenummer 09.2740 er de produkter, der er omfattet af toldkontingentet, ikke kun omfattet af KN-kode 2309 90 96 men også af KN-kode 2309 90 31. Angivelsen af KN-koden for dette toldkontingent bør derfor tilpasses.</w:t>
      </w:r>
    </w:p>
    <w:p>
      <w:pPr>
        <w:pStyle w:val="ManualConsidrant"/>
        <w:rPr>
          <w:noProof/>
        </w:rPr>
      </w:pPr>
      <w:r>
        <w:t>(5)</w:t>
      </w:r>
      <w:r>
        <w:tab/>
      </w:r>
      <w:r>
        <w:rPr>
          <w:noProof/>
        </w:rPr>
        <w:t>Da det ikke længere er i Unionens interesse at opretholde toldkontingentet med løbenummer 09.2870, bør det lukkes.</w:t>
      </w:r>
    </w:p>
    <w:p>
      <w:pPr>
        <w:pStyle w:val="ManualConsidrant"/>
        <w:rPr>
          <w:noProof/>
        </w:rPr>
      </w:pPr>
      <w:r>
        <w:t>(6)</w:t>
      </w:r>
      <w:r>
        <w:tab/>
      </w:r>
      <w:r>
        <w:rPr>
          <w:noProof/>
        </w:rPr>
        <w:t>Dertil kommer, at toldkontingenterne med løbenumrene 09.2633, 09.2643, 09.2620 og 09.2932 bør lukkes som følge af gennemførelsen af aftalen i form af erklæringen om udvidelse af handelen med informationsteknologiprodukter</w:t>
      </w:r>
      <w:r>
        <w:rPr>
          <w:rStyle w:val="FootnoteReference"/>
          <w:noProof/>
        </w:rPr>
        <w:footnoteReference w:id="4"/>
      </w:r>
      <w:r>
        <w:rPr>
          <w:noProof/>
        </w:rPr>
        <w:t>, som reducerer toldsatsen for de pågældende produkter til nul.</w:t>
      </w:r>
    </w:p>
    <w:p>
      <w:pPr>
        <w:pStyle w:val="ManualConsidrant"/>
        <w:rPr>
          <w:noProof/>
        </w:rPr>
      </w:pPr>
      <w:r>
        <w:t>(7)</w:t>
      </w:r>
      <w:r>
        <w:tab/>
      </w:r>
      <w:r>
        <w:rPr>
          <w:noProof/>
        </w:rPr>
        <w:t>I betragtning af de ændringer, som skal foretages, og af hensyn til klarheden bør bilaget til forordning (EU) nr. 1388/2013 erstattes.</w:t>
      </w:r>
    </w:p>
    <w:p>
      <w:pPr>
        <w:pStyle w:val="ManualConsidrant"/>
        <w:rPr>
          <w:noProof/>
        </w:rPr>
      </w:pPr>
      <w:r>
        <w:t>(8)</w:t>
      </w:r>
      <w:r>
        <w:tab/>
      </w:r>
      <w:r>
        <w:rPr>
          <w:noProof/>
        </w:rPr>
        <w:t>For at undgå enhver afbrydelse af anvendelsen af ordningen for toldkontingenter og for at overholde de retningslinjer, der er fastsat i Kommissionens meddelelse vedrørende autonome toldsuspensioner og toldkontingenter</w:t>
      </w:r>
      <w:r>
        <w:rPr>
          <w:rStyle w:val="FootnoteReference"/>
          <w:noProof/>
        </w:rPr>
        <w:footnoteReference w:id="5"/>
      </w:r>
      <w:r>
        <w:rPr>
          <w:noProof/>
        </w:rPr>
        <w:t>, er det nødvendigt, at de ændringer, der er fastsat i denne forordning vedrørende toldkontingenterne for de omhandlede produkter, finder anvendelse fra den 1. juli 2019 og for så vidt angår toldkontingentet med løbenummer 09.2870 fra den 1. januar 2018. Forordningen bør derfor træde i kraft hurtigst muligt —</w:t>
      </w:r>
    </w:p>
    <w:p>
      <w:pPr>
        <w:pStyle w:val="Formuledadoption"/>
        <w:rPr>
          <w:noProof/>
        </w:rPr>
      </w:pPr>
      <w:r>
        <w:rPr>
          <w:noProof/>
        </w:rPr>
        <w:t>VEDTAGET DENNE FORORDNING:</w:t>
      </w:r>
    </w:p>
    <w:p>
      <w:pPr>
        <w:pStyle w:val="Titrearticle"/>
        <w:rPr>
          <w:i w:val="0"/>
          <w:noProof/>
        </w:rPr>
      </w:pPr>
      <w:r>
        <w:rPr>
          <w:i w:val="0"/>
          <w:noProof/>
        </w:rPr>
        <w:t>Artikel 1</w:t>
      </w:r>
    </w:p>
    <w:p>
      <w:pPr>
        <w:rPr>
          <w:rFonts w:cs="EUAlbertina"/>
          <w:noProof/>
        </w:rPr>
      </w:pPr>
      <w:r>
        <w:rPr>
          <w:noProof/>
        </w:rPr>
        <w:t>I bilaget til forordning (EU) nr. 1388/2013 foretages følgende ændringer:</w:t>
      </w:r>
    </w:p>
    <w:p>
      <w:pPr>
        <w:rPr>
          <w:rFonts w:cs="EUAlbertina"/>
          <w:noProof/>
        </w:rPr>
      </w:pPr>
      <w:r>
        <w:rPr>
          <w:noProof/>
        </w:rPr>
        <w:t>1)</w:t>
      </w:r>
      <w:r>
        <w:rPr>
          <w:noProof/>
        </w:rPr>
        <w:tab/>
        <w:t>Rækken med toldkontingenterne med løbenummer 09.2723 erstattes af:</w:t>
      </w:r>
    </w:p>
    <w:tbl>
      <w:tblPr>
        <w:tblStyle w:val="Listtable"/>
        <w:tblW w:w="0" w:type="auto"/>
        <w:tblLook w:val="0000" w:firstRow="0" w:lastRow="0" w:firstColumn="0" w:lastColumn="0" w:noHBand="0" w:noVBand="0"/>
      </w:tblPr>
      <w:tblGrid>
        <w:gridCol w:w="706"/>
        <w:gridCol w:w="1037"/>
        <w:gridCol w:w="285"/>
        <w:gridCol w:w="4369"/>
        <w:gridCol w:w="562"/>
        <w:gridCol w:w="975"/>
        <w:gridCol w:w="444"/>
      </w:tblGrid>
      <w:tr>
        <w:tc>
          <w:tcPr>
            <w:tcW w:w="0" w:type="auto"/>
          </w:tcPr>
          <w:p>
            <w:pPr>
              <w:pStyle w:val="Paragraph"/>
              <w:rPr>
                <w:noProof/>
              </w:rPr>
            </w:pPr>
            <w:r>
              <w:rPr>
                <w:noProof/>
              </w:rPr>
              <w:t>"09.2723</w:t>
            </w:r>
          </w:p>
        </w:tc>
        <w:tc>
          <w:tcPr>
            <w:tcW w:w="0" w:type="auto"/>
            <w:tcBorders>
              <w:left w:val="single" w:sz="2" w:space="0" w:color="auto"/>
            </w:tcBorders>
          </w:tcPr>
          <w:p>
            <w:pPr>
              <w:pStyle w:val="Paragraph"/>
              <w:jc w:val="right"/>
              <w:rPr>
                <w:noProof/>
              </w:rPr>
            </w:pPr>
            <w:r>
              <w:rPr>
                <w:noProof/>
              </w:rPr>
              <w:t>ex 3911 90 19</w:t>
            </w:r>
          </w:p>
        </w:tc>
        <w:tc>
          <w:tcPr>
            <w:tcW w:w="0" w:type="auto"/>
            <w:tcBorders>
              <w:left w:val="single" w:sz="2" w:space="0" w:color="auto"/>
            </w:tcBorders>
          </w:tcPr>
          <w:p>
            <w:pPr>
              <w:pStyle w:val="Paragraph"/>
              <w:jc w:val="center"/>
              <w:rPr>
                <w:noProof/>
              </w:rPr>
            </w:pPr>
            <w:r>
              <w:rPr>
                <w:noProof/>
              </w:rPr>
              <w:t>10</w:t>
            </w:r>
          </w:p>
        </w:tc>
        <w:tc>
          <w:tcPr>
            <w:tcW w:w="0" w:type="auto"/>
            <w:tcBorders>
              <w:left w:val="single" w:sz="2" w:space="0" w:color="auto"/>
            </w:tcBorders>
          </w:tcPr>
          <w:p>
            <w:pPr>
              <w:pStyle w:val="Paragraph"/>
              <w:rPr>
                <w:noProof/>
              </w:rPr>
            </w:pPr>
            <w:r>
              <w:rPr>
                <w:noProof/>
              </w:rPr>
              <w:t>Poly(oxy-1,4-phenylensulfonyl-1,4-phenylenoxy-4,4′-biphenylen)</w:t>
            </w:r>
          </w:p>
        </w:tc>
        <w:tc>
          <w:tcPr>
            <w:tcW w:w="562" w:type="dxa"/>
            <w:tcBorders>
              <w:left w:val="single" w:sz="2" w:space="0" w:color="auto"/>
            </w:tcBorders>
          </w:tcPr>
          <w:p>
            <w:pPr>
              <w:pStyle w:val="Paragraph"/>
              <w:rPr>
                <w:noProof/>
              </w:rPr>
            </w:pPr>
            <w:r>
              <w:rPr>
                <w:noProof/>
              </w:rPr>
              <w:t xml:space="preserve">1.1.-31.12. </w:t>
            </w:r>
          </w:p>
        </w:tc>
        <w:tc>
          <w:tcPr>
            <w:tcW w:w="975" w:type="dxa"/>
            <w:tcBorders>
              <w:left w:val="single" w:sz="2" w:space="0" w:color="auto"/>
            </w:tcBorders>
          </w:tcPr>
          <w:p>
            <w:pPr>
              <w:pStyle w:val="Paragraph"/>
              <w:rPr>
                <w:noProof/>
              </w:rPr>
            </w:pPr>
            <w:r>
              <w:rPr>
                <w:noProof/>
              </w:rPr>
              <w:t>5 000 ton</w:t>
            </w:r>
          </w:p>
        </w:tc>
        <w:tc>
          <w:tcPr>
            <w:tcW w:w="0" w:type="auto"/>
            <w:tcBorders>
              <w:left w:val="single" w:sz="2" w:space="0" w:color="auto"/>
            </w:tcBorders>
          </w:tcPr>
          <w:p>
            <w:pPr>
              <w:pStyle w:val="Paragraph"/>
              <w:rPr>
                <w:noProof/>
              </w:rPr>
            </w:pPr>
            <w:r>
              <w:rPr>
                <w:noProof/>
              </w:rPr>
              <w:t>0 %"</w:t>
            </w:r>
          </w:p>
        </w:tc>
      </w:tr>
    </w:tbl>
    <w:p>
      <w:pPr>
        <w:rPr>
          <w:noProof/>
        </w:rPr>
      </w:pPr>
      <w:r>
        <w:rPr>
          <w:noProof/>
        </w:rPr>
        <w:t>2)</w:t>
      </w:r>
      <w:r>
        <w:rPr>
          <w:noProof/>
        </w:rPr>
        <w:tab/>
        <w:t>Bilaget erstattes af teksten i bilaget til nærværende forordning.</w:t>
      </w:r>
    </w:p>
    <w:p>
      <w:pPr>
        <w:pStyle w:val="Titrearticle"/>
        <w:rPr>
          <w:i w:val="0"/>
          <w:noProof/>
        </w:rPr>
      </w:pPr>
      <w:r>
        <w:rPr>
          <w:i w:val="0"/>
          <w:noProof/>
        </w:rPr>
        <w:t>Artikel 2</w:t>
      </w:r>
    </w:p>
    <w:p>
      <w:pPr>
        <w:rPr>
          <w:iCs/>
          <w:noProof/>
        </w:rPr>
      </w:pPr>
      <w:r>
        <w:rPr>
          <w:noProof/>
        </w:rPr>
        <w:t>Denne forordning træder i kraft dagen efter offentliggørelsen i Den Europæiske Unions Tidende.</w:t>
      </w:r>
    </w:p>
    <w:p>
      <w:pPr>
        <w:rPr>
          <w:noProof/>
        </w:rPr>
      </w:pPr>
      <w:r>
        <w:rPr>
          <w:noProof/>
        </w:rPr>
        <w:t xml:space="preserve">Den anvendes fra den 1. juli 2019. </w:t>
      </w:r>
    </w:p>
    <w:p>
      <w:pPr>
        <w:rPr>
          <w:noProof/>
        </w:rPr>
      </w:pPr>
      <w:r>
        <w:rPr>
          <w:noProof/>
        </w:rPr>
        <w:t>Artikel 1, stk. 1., anvendes dog fra den 1. januar 2018.</w:t>
      </w:r>
    </w:p>
    <w:p>
      <w:pPr>
        <w:pStyle w:val="Applicationdirecte"/>
        <w:rPr>
          <w:noProof/>
        </w:rPr>
      </w:pPr>
      <w:r>
        <w:rPr>
          <w:noProof/>
        </w:rPr>
        <w:t>Denne forordning er bindende i alle enkeltheder og gælder umiddelbart i hver medlemsstat.</w:t>
      </w:r>
    </w:p>
    <w:p>
      <w:pPr>
        <w:pStyle w:val="Fait"/>
        <w:rPr>
          <w:noProof/>
        </w:rPr>
      </w:pPr>
      <w:r>
        <w:t xml:space="preserve">Udfærdiget i Bruxelles, den </w:t>
      </w:r>
      <w:r>
        <w:rPr>
          <w:rStyle w:val="Marker"/>
        </w:rPr>
        <w:t>[…]</w:t>
      </w:r>
      <w:r>
        <w:t>.</w:t>
      </w:r>
    </w:p>
    <w:p>
      <w:pPr>
        <w:pStyle w:val="Institutionquisigne"/>
        <w:rPr>
          <w:noProof/>
        </w:rPr>
      </w:pPr>
      <w:r>
        <w:rPr>
          <w:noProof/>
        </w:rPr>
        <w:tab/>
        <w:t>På Rådets vegne</w:t>
      </w:r>
    </w:p>
    <w:p>
      <w:pPr>
        <w:pStyle w:val="Personnequisigne"/>
        <w:rPr>
          <w:noProof/>
        </w:rPr>
      </w:pPr>
      <w:r>
        <w:rPr>
          <w:noProof/>
        </w:rPr>
        <w:tab/>
        <w:t>Formand</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t>FINANSIERINGSOVERSIGT</w:t>
      </w:r>
    </w:p>
    <w:p>
      <w:pPr>
        <w:keepNext/>
        <w:spacing w:before="360"/>
        <w:outlineLvl w:val="0"/>
        <w:rPr>
          <w:b/>
          <w:smallCaps/>
          <w:noProof/>
        </w:rPr>
      </w:pPr>
      <w:r>
        <w:rPr>
          <w:b/>
          <w:smallCaps/>
          <w:noProof/>
        </w:rPr>
        <w:t>1.</w:t>
      </w:r>
      <w:r>
        <w:rPr>
          <w:noProof/>
        </w:rPr>
        <w:tab/>
      </w:r>
      <w:r>
        <w:rPr>
          <w:b/>
          <w:smallCaps/>
          <w:noProof/>
        </w:rPr>
        <w:t>FORSLAGETS BETEGNELSE</w:t>
      </w:r>
    </w:p>
    <w:p>
      <w:pPr>
        <w:rPr>
          <w:noProof/>
        </w:rPr>
      </w:pPr>
      <w:r>
        <w:rPr>
          <w:noProof/>
        </w:rPr>
        <w:t>Rådets forordning om ændring af forordning (EU) nr. 1388/2013 om åbning og forvaltning af autonome EU-toldkontingenter for visse landbrugs- og industriprodukter</w:t>
      </w:r>
    </w:p>
    <w:p>
      <w:pPr>
        <w:keepNext/>
        <w:spacing w:before="360"/>
        <w:outlineLvl w:val="0"/>
        <w:rPr>
          <w:b/>
          <w:smallCaps/>
          <w:noProof/>
        </w:rPr>
      </w:pPr>
      <w:r>
        <w:rPr>
          <w:b/>
          <w:smallCaps/>
          <w:noProof/>
        </w:rPr>
        <w:t>2.</w:t>
      </w:r>
      <w:r>
        <w:rPr>
          <w:noProof/>
        </w:rPr>
        <w:tab/>
      </w:r>
      <w:r>
        <w:rPr>
          <w:b/>
          <w:smallCaps/>
          <w:noProof/>
        </w:rPr>
        <w:t>BUDGETPOSTER</w:t>
      </w:r>
    </w:p>
    <w:p>
      <w:pPr>
        <w:spacing w:before="100" w:beforeAutospacing="1" w:after="100" w:afterAutospacing="1"/>
        <w:jc w:val="left"/>
        <w:rPr>
          <w:rFonts w:eastAsia="Times New Roman"/>
          <w:noProof/>
          <w:szCs w:val="24"/>
        </w:rPr>
      </w:pPr>
      <w:r>
        <w:rPr>
          <w:noProof/>
        </w:rPr>
        <w:t>Kapitel og artikel:</w:t>
      </w:r>
      <w:r>
        <w:rPr>
          <w:noProof/>
        </w:rPr>
        <w:br/>
        <w:t>Kapitel 1 2 og artikel 1 2 0 — Told og andre afgifter, der er omhandlet i artikel 2, stk. 1, litra a), i afgørelse 2014/335/EU, Euratom</w:t>
      </w:r>
    </w:p>
    <w:p>
      <w:pPr>
        <w:spacing w:before="100" w:beforeAutospacing="1" w:after="100" w:afterAutospacing="1"/>
        <w:jc w:val="left"/>
        <w:rPr>
          <w:rFonts w:eastAsia="Times New Roman"/>
          <w:noProof/>
          <w:szCs w:val="24"/>
        </w:rPr>
      </w:pPr>
      <w:r>
        <w:rPr>
          <w:noProof/>
        </w:rPr>
        <w:t>Budgetteret beløb for 2019 (21 471 164 786 EUR)</w:t>
      </w:r>
    </w:p>
    <w:p>
      <w:pPr>
        <w:keepNext/>
        <w:spacing w:before="360"/>
        <w:outlineLvl w:val="0"/>
        <w:rPr>
          <w:b/>
          <w:smallCaps/>
          <w:noProof/>
        </w:rPr>
      </w:pPr>
      <w:r>
        <w:rPr>
          <w:b/>
          <w:smallCaps/>
          <w:noProof/>
        </w:rPr>
        <w:t>3.</w:t>
      </w:r>
      <w:r>
        <w:rPr>
          <w:noProof/>
        </w:rPr>
        <w:tab/>
      </w:r>
      <w:r>
        <w:rPr>
          <w:b/>
          <w:smallCaps/>
          <w:noProof/>
        </w:rPr>
        <w:t>FINANSIELLE VIRKNINGER</w:t>
      </w:r>
    </w:p>
    <w:p>
      <w:pPr>
        <w:rPr>
          <w:noProof/>
        </w:rPr>
      </w:pPr>
      <w:r>
        <w:rPr>
          <w:noProof/>
        </w:rPr>
        <w:sym w:font="Wingdings" w:char="F0A8"/>
      </w:r>
      <w:r>
        <w:rPr>
          <w:noProof/>
        </w:rPr>
        <w:tab/>
        <w:t>Forslaget har ingen finansielle virkninger</w:t>
      </w:r>
    </w:p>
    <w:p>
      <w:pPr>
        <w:rPr>
          <w:noProof/>
        </w:rPr>
      </w:pPr>
      <w:r>
        <w:rPr>
          <w:noProof/>
        </w:rPr>
        <w:t>X</w:t>
      </w:r>
      <w:r>
        <w:rPr>
          <w:noProof/>
        </w:rPr>
        <w:tab/>
        <w:t>Forslaget har ingen finansielle virkninger for udgifterne, men har følgende finansielle virkninger for indtægterne:</w:t>
      </w:r>
    </w:p>
    <w:p>
      <w:pPr>
        <w:jc w:val="right"/>
        <w:rPr>
          <w:noProof/>
          <w:sz w:val="18"/>
        </w:rPr>
      </w:pPr>
      <w:r>
        <w:rPr>
          <w:noProof/>
        </w:rPr>
        <w:t>(i mio. EUR, 1 decimal)</w:t>
      </w:r>
    </w:p>
    <w:tbl>
      <w:tblPr>
        <w:tblW w:w="840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1"/>
        <w:gridCol w:w="2879"/>
        <w:gridCol w:w="2040"/>
        <w:gridCol w:w="2160"/>
      </w:tblGrid>
      <w:tr>
        <w:tc>
          <w:tcPr>
            <w:tcW w:w="1321" w:type="dxa"/>
          </w:tcPr>
          <w:p>
            <w:pPr>
              <w:rPr>
                <w:noProof/>
              </w:rPr>
            </w:pPr>
            <w:r>
              <w:rPr>
                <w:noProof/>
              </w:rPr>
              <w:t>Budgetpost</w:t>
            </w:r>
          </w:p>
        </w:tc>
        <w:tc>
          <w:tcPr>
            <w:tcW w:w="2879" w:type="dxa"/>
          </w:tcPr>
          <w:p>
            <w:pPr>
              <w:jc w:val="center"/>
              <w:rPr>
                <w:noProof/>
              </w:rPr>
            </w:pPr>
            <w:r>
              <w:rPr>
                <w:noProof/>
              </w:rPr>
              <w:t>Indtægt</w:t>
            </w:r>
            <w:r>
              <w:rPr>
                <w:rStyle w:val="FootnoteReference"/>
                <w:noProof/>
              </w:rPr>
              <w:footnoteReference w:id="6"/>
            </w:r>
          </w:p>
        </w:tc>
        <w:tc>
          <w:tcPr>
            <w:tcW w:w="2040" w:type="dxa"/>
          </w:tcPr>
          <w:p>
            <w:pPr>
              <w:jc w:val="center"/>
              <w:rPr>
                <w:noProof/>
              </w:rPr>
            </w:pPr>
            <w:r>
              <w:rPr>
                <w:noProof/>
              </w:rPr>
              <w:t>6-måneders-periode fra dd.mm.åååå</w:t>
            </w:r>
          </w:p>
        </w:tc>
        <w:tc>
          <w:tcPr>
            <w:tcW w:w="2160" w:type="dxa"/>
          </w:tcPr>
          <w:p>
            <w:pPr>
              <w:jc w:val="center"/>
              <w:rPr>
                <w:noProof/>
              </w:rPr>
            </w:pPr>
            <w:r>
              <w:rPr>
                <w:noProof/>
              </w:rPr>
              <w:t>[År: andet halvår af 2019]</w:t>
            </w:r>
          </w:p>
        </w:tc>
      </w:tr>
      <w:tr>
        <w:tc>
          <w:tcPr>
            <w:tcW w:w="1321" w:type="dxa"/>
          </w:tcPr>
          <w:p>
            <w:pPr>
              <w:rPr>
                <w:noProof/>
              </w:rPr>
            </w:pPr>
            <w:r>
              <w:rPr>
                <w:noProof/>
              </w:rPr>
              <w:t>Artikel 120</w:t>
            </w:r>
          </w:p>
        </w:tc>
        <w:tc>
          <w:tcPr>
            <w:tcW w:w="2879" w:type="dxa"/>
          </w:tcPr>
          <w:p>
            <w:pPr>
              <w:jc w:val="center"/>
              <w:rPr>
                <w:i/>
                <w:noProof/>
              </w:rPr>
            </w:pPr>
            <w:r>
              <w:rPr>
                <w:i/>
                <w:noProof/>
              </w:rPr>
              <w:t>Virkninger for EU's egne indtægter</w:t>
            </w:r>
          </w:p>
        </w:tc>
        <w:tc>
          <w:tcPr>
            <w:tcW w:w="2040" w:type="dxa"/>
          </w:tcPr>
          <w:p>
            <w:pPr>
              <w:jc w:val="center"/>
              <w:rPr>
                <w:noProof/>
              </w:rPr>
            </w:pPr>
            <w:r>
              <w:rPr>
                <w:noProof/>
              </w:rPr>
              <w:t>1.7.2018</w:t>
            </w:r>
          </w:p>
        </w:tc>
        <w:tc>
          <w:tcPr>
            <w:tcW w:w="2160" w:type="dxa"/>
          </w:tcPr>
          <w:p>
            <w:pPr>
              <w:pStyle w:val="ListParagraph"/>
              <w:rPr>
                <w:noProof/>
              </w:rPr>
            </w:pPr>
            <w:r>
              <w:rPr>
                <w:noProof/>
              </w:rPr>
              <w:t>-0,4</w:t>
            </w:r>
          </w:p>
        </w:tc>
      </w:tr>
    </w:tbl>
    <w:p>
      <w:pPr>
        <w:spacing w:before="100" w:beforeAutospacing="1" w:after="100" w:afterAutospacing="1"/>
        <w:jc w:val="left"/>
        <w:rPr>
          <w:noProof/>
          <w:szCs w:val="24"/>
        </w:rPr>
      </w:pPr>
    </w:p>
    <w:p>
      <w:pPr>
        <w:spacing w:before="100" w:beforeAutospacing="1" w:after="100" w:afterAutospacing="1"/>
        <w:rPr>
          <w:noProof/>
          <w:szCs w:val="24"/>
        </w:rPr>
      </w:pPr>
      <w:r>
        <w:rPr>
          <w:noProof/>
        </w:rPr>
        <w:t xml:space="preserve">Bilaget indeholder seks nye produkter. Ikkeopkrævet told svarende til disse kontingenter og beregnet på basis af den forventede import i den anmodende medlemsstat udgør for 2019 i alt 4 006 350 EUR om året. </w:t>
      </w:r>
    </w:p>
    <w:p>
      <w:pPr>
        <w:spacing w:before="0" w:after="0"/>
        <w:rPr>
          <w:rFonts w:ascii="Arial" w:eastAsia="Times New Roman" w:hAnsi="Arial" w:cs="Arial"/>
          <w:noProof/>
          <w:sz w:val="20"/>
          <w:szCs w:val="20"/>
        </w:rPr>
      </w:pPr>
      <w:r>
        <w:rPr>
          <w:noProof/>
        </w:rPr>
        <w:t>To produkter er trukket tilbage fra bilaget til denne forordning, fordi der er genindført told. Dette udgør en stigning på 3 014 000 EUR om året i opkrævningen af told.</w:t>
      </w:r>
    </w:p>
    <w:p>
      <w:pPr>
        <w:spacing w:before="100" w:beforeAutospacing="1" w:after="100" w:afterAutospacing="1"/>
        <w:rPr>
          <w:noProof/>
          <w:szCs w:val="24"/>
        </w:rPr>
      </w:pPr>
      <w:r>
        <w:rPr>
          <w:noProof/>
        </w:rPr>
        <w:t>På grundlag af ovenstående kan indtægtstabet for EU's budget som følge af denne forordning anslås til 4 006 350 – 3 014 000 EUR = 1 mio. EUR (bruttobeløb inkl. opkrævningsomkostninger) x 0,8 = 35,8 mio. EUR (nettobeløb).</w:t>
      </w:r>
    </w:p>
    <w:p>
      <w:pPr>
        <w:rPr>
          <w:noProof/>
        </w:rPr>
      </w:pPr>
      <w:r>
        <w:rPr>
          <w:noProof/>
        </w:rPr>
        <w:t>4.</w:t>
      </w:r>
      <w:r>
        <w:rPr>
          <w:noProof/>
        </w:rPr>
        <w:tab/>
      </w:r>
      <w:r>
        <w:rPr>
          <w:b/>
          <w:noProof/>
        </w:rPr>
        <w:t>FORHOLDSREGLER MOD SVIG</w:t>
      </w:r>
    </w:p>
    <w:p>
      <w:pPr>
        <w:rPr>
          <w:noProof/>
        </w:rPr>
      </w:pPr>
      <w:r>
        <w:rPr>
          <w:noProof/>
        </w:rPr>
        <w:t>Kontrol af den endelige anvendelse af nogle af de produkter, der er omfattet af denne rådsforordning, vil blive foretaget i henhold til artikel 254 i Europa-Parlamentets og Rådets forordning (EU) nr. 952/2013 af 9. oktober 2013 om EU-toldkodeksen.</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ab/>
        <w:t>EUT C 363 af 13.12.2011, s. 6.</w:t>
      </w:r>
    </w:p>
  </w:footnote>
  <w:footnote w:id="2">
    <w:p>
      <w:pPr>
        <w:pStyle w:val="FootnoteText"/>
      </w:pPr>
      <w:r>
        <w:rPr>
          <w:rStyle w:val="FootnoteReference"/>
        </w:rPr>
        <w:footnoteRef/>
      </w:r>
      <w:r>
        <w:tab/>
      </w:r>
      <w:hyperlink r:id="rId1">
        <w:r>
          <w:rPr>
            <w:rStyle w:val="Hyperlink"/>
          </w:rPr>
          <w:t>http://ec.europa.eu/taxation_customs/common/publications/studies/index_en.htm</w:t>
        </w:r>
      </w:hyperlink>
    </w:p>
  </w:footnote>
  <w:footnote w:id="3">
    <w:p>
      <w:pPr>
        <w:pStyle w:val="FootnoteText"/>
      </w:pPr>
      <w:r>
        <w:rPr>
          <w:rStyle w:val="FootnoteReference"/>
        </w:rPr>
        <w:footnoteRef/>
      </w:r>
      <w:r>
        <w:tab/>
        <w:t xml:space="preserve">Rådets forordning (EU) nr. 1388/2013 af 17. december 2013 om åbning og forvaltning af autonome EU-toldkontingenter for visse landbrugs- og industriprodukter og om ophævelse af forordning (EU) nr. 7/2010 (EUT L 354 af 28.12.2013, s. 319). </w:t>
      </w:r>
    </w:p>
  </w:footnote>
  <w:footnote w:id="4">
    <w:p>
      <w:pPr>
        <w:pStyle w:val="FootnoteText"/>
      </w:pPr>
      <w:r>
        <w:rPr>
          <w:rStyle w:val="FootnoteReference"/>
        </w:rPr>
        <w:footnoteRef/>
      </w:r>
      <w:r>
        <w:tab/>
      </w:r>
      <w:hyperlink r:id="rId2">
        <w:r>
          <w:rPr>
            <w:rStyle w:val="Hyperlink"/>
            <w:color w:val="auto"/>
            <w:sz w:val="19"/>
            <w:shd w:val="clear" w:color="auto" w:fill="FFFFFF"/>
          </w:rPr>
          <w:t>EUT L 161 af 18.6.2016, s. 4</w:t>
        </w:r>
      </w:hyperlink>
      <w:r>
        <w:rPr>
          <w:sz w:val="19"/>
          <w:shd w:val="clear" w:color="auto" w:fill="FFFFFF"/>
        </w:rPr>
        <w:t>.</w:t>
      </w:r>
    </w:p>
  </w:footnote>
  <w:footnote w:id="5">
    <w:p>
      <w:pPr>
        <w:pStyle w:val="FootnoteText"/>
      </w:pPr>
      <w:r>
        <w:rPr>
          <w:rStyle w:val="FootnoteReference"/>
        </w:rPr>
        <w:footnoteRef/>
      </w:r>
      <w:r>
        <w:tab/>
      </w:r>
      <w:hyperlink r:id="rId3">
        <w:r>
          <w:rPr>
            <w:rStyle w:val="Hyperlink"/>
            <w:color w:val="auto"/>
            <w:sz w:val="19"/>
            <w:shd w:val="clear" w:color="auto" w:fill="FFFFFF"/>
          </w:rPr>
          <w:t>EUT C 363 af 13.12.2011, s. 6</w:t>
        </w:r>
      </w:hyperlink>
      <w:r>
        <w:rPr>
          <w:sz w:val="19"/>
          <w:shd w:val="clear" w:color="auto" w:fill="FFFFFF"/>
        </w:rPr>
        <w:t>.</w:t>
      </w:r>
    </w:p>
  </w:footnote>
  <w:footnote w:id="6">
    <w:p>
      <w:pPr>
        <w:pStyle w:val="FootnoteText"/>
        <w:ind w:left="0" w:firstLine="0"/>
      </w:pPr>
      <w:r>
        <w:rPr>
          <w:rStyle w:val="FootnoteReference"/>
        </w:rPr>
        <w:footnoteRef/>
      </w:r>
      <w:r>
        <w:tab/>
        <w:t>Med hensyn til EU's traditionelle egne indtægter (told og sukkerafgifter) opgives beløbene netto, dvs. bruttobeløb, hvorfra der er trukket opkrævningsomkostninger på 20 %.</w:t>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88836DE"/>
    <w:lvl w:ilvl="0">
      <w:start w:val="1"/>
      <w:numFmt w:val="decimal"/>
      <w:pStyle w:val="ListNumber3"/>
      <w:lvlText w:val="%1."/>
      <w:lvlJc w:val="left"/>
      <w:pPr>
        <w:tabs>
          <w:tab w:val="num" w:pos="926"/>
        </w:tabs>
        <w:ind w:left="926" w:hanging="360"/>
      </w:pPr>
    </w:lvl>
  </w:abstractNum>
  <w:abstractNum w:abstractNumId="1">
    <w:nsid w:val="FFFFFF7F"/>
    <w:multiLevelType w:val="singleLevel"/>
    <w:tmpl w:val="7EAC0BFA"/>
    <w:lvl w:ilvl="0">
      <w:start w:val="1"/>
      <w:numFmt w:val="decimal"/>
      <w:pStyle w:val="ListNumber2"/>
      <w:lvlText w:val="%1."/>
      <w:lvlJc w:val="left"/>
      <w:pPr>
        <w:tabs>
          <w:tab w:val="num" w:pos="643"/>
        </w:tabs>
        <w:ind w:left="643" w:hanging="360"/>
      </w:pPr>
    </w:lvl>
  </w:abstractNum>
  <w:abstractNum w:abstractNumId="2">
    <w:nsid w:val="FFFFFF81"/>
    <w:multiLevelType w:val="singleLevel"/>
    <w:tmpl w:val="75F0DCB4"/>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FB54480E"/>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37C4AB56"/>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9"/>
    <w:multiLevelType w:val="singleLevel"/>
    <w:tmpl w:val="3F6C8F26"/>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62C6A95"/>
    <w:multiLevelType w:val="singleLevel"/>
    <w:tmpl w:val="02BAFA82"/>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Bullet 4"/>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2"/>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5"/>
  </w:num>
  <w:num w:numId="3">
    <w:abstractNumId w:val="14"/>
  </w:num>
  <w:num w:numId="4">
    <w:abstractNumId w:val="22"/>
  </w:num>
  <w:num w:numId="5">
    <w:abstractNumId w:val="4"/>
  </w:num>
  <w:num w:numId="6">
    <w:abstractNumId w:val="0"/>
  </w:num>
  <w:num w:numId="7">
    <w:abstractNumId w:val="1"/>
  </w:num>
  <w:num w:numId="8">
    <w:abstractNumId w:val="5"/>
  </w:num>
  <w:num w:numId="9">
    <w:abstractNumId w:val="3"/>
  </w:num>
  <w:num w:numId="10">
    <w:abstractNumId w:val="2"/>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3"/>
    <w:lvlOverride w:ilvl="0">
      <w:startOverride w:val="1"/>
    </w:lvlOverride>
  </w:num>
  <w:num w:numId="14">
    <w:abstractNumId w:val="19"/>
  </w:num>
  <w:num w:numId="15">
    <w:abstractNumId w:val="11"/>
  </w:num>
  <w:num w:numId="16">
    <w:abstractNumId w:val="21"/>
  </w:num>
  <w:num w:numId="17">
    <w:abstractNumId w:val="10"/>
  </w:num>
  <w:num w:numId="18">
    <w:abstractNumId w:val="12"/>
  </w:num>
  <w:num w:numId="19">
    <w:abstractNumId w:val="8"/>
  </w:num>
  <w:num w:numId="20">
    <w:abstractNumId w:val="20"/>
  </w:num>
  <w:num w:numId="21">
    <w:abstractNumId w:val="7"/>
  </w:num>
  <w:num w:numId="22">
    <w:abstractNumId w:val="13"/>
  </w:num>
  <w:num w:numId="23">
    <w:abstractNumId w:val="17"/>
  </w:num>
  <w:num w:numId="24">
    <w:abstractNumId w:val="18"/>
  </w:num>
  <w:num w:numId="25">
    <w:abstractNumId w:val="9"/>
  </w:num>
  <w:num w:numId="26">
    <w:abstractNumId w:val="16"/>
  </w:num>
  <w:num w:numId="27">
    <w:abstractNumId w:val="23"/>
  </w:num>
  <w:num w:numId="28">
    <w:abstractNumId w:val="19"/>
  </w:num>
  <w:num w:numId="29">
    <w:abstractNumId w:val="11"/>
  </w:num>
  <w:num w:numId="30">
    <w:abstractNumId w:val="21"/>
  </w:num>
  <w:num w:numId="31">
    <w:abstractNumId w:val="10"/>
  </w:num>
  <w:num w:numId="32">
    <w:abstractNumId w:val="12"/>
  </w:num>
  <w:num w:numId="33">
    <w:abstractNumId w:val="8"/>
  </w:num>
  <w:num w:numId="34">
    <w:abstractNumId w:val="20"/>
  </w:num>
  <w:num w:numId="35">
    <w:abstractNumId w:val="7"/>
  </w:num>
  <w:num w:numId="36">
    <w:abstractNumId w:val="13"/>
  </w:num>
  <w:num w:numId="37">
    <w:abstractNumId w:val="17"/>
  </w:num>
  <w:num w:numId="38">
    <w:abstractNumId w:val="18"/>
  </w:num>
  <w:num w:numId="39">
    <w:abstractNumId w:val="9"/>
  </w:num>
  <w:num w:numId="40">
    <w:abstractNumId w:val="16"/>
  </w:num>
  <w:num w:numId="41">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noPunctuationKerning/>
  <w:characterSpacingControl w:val="doNotCompress"/>
  <w:hdrShapeDefaults>
    <o:shapedefaults v:ext="edit" spidmax="6553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30 09:56:0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1"/>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ST_RESTREINT_UE" w:val="RESTREINT UE/EU RESTRICTED"/>
    <w:docVar w:name="LW_CORRIGENDUM" w:val="&lt;UNUSED&gt;"/>
    <w:docVar w:name="LW_COVERPAGE_EXISTS" w:val="True"/>
    <w:docVar w:name="LW_COVERPAGE_GUID" w:val="BAE254A9-365C-46F1-8CA4-6B748820DB59"/>
    <w:docVar w:name="LW_COVERPAGE_TYPE" w:val="1"/>
    <w:docVar w:name="LW_CROSSREFERENCE" w:val="&lt;UNUSED&gt;"/>
    <w:docVar w:name="LW_DocType" w:val="COM"/>
    <w:docVar w:name="LW_EMISSION" w:val="2.5.2019"/>
    <w:docVar w:name="LW_EMISSION_ISODATE" w:val="2019-05-02"/>
    <w:docVar w:name="LW_EMISSION_LOCATION" w:val="BRX"/>
    <w:docVar w:name="LW_EMISSION_PREFIX" w:val="Bruxelles, den "/>
    <w:docVar w:name="LW_EMISSION_SUFFIX" w:val=" "/>
    <w:docVar w:name="LW_ID_DOCMODEL" w:val="b01"/>
    <w:docVar w:name="LW_ID_DOCSIGNATURE" w:val="SJ-016"/>
    <w:docVar w:name="LW_ID_DOCSTRUCTURE" w:val="COM/PL/ORG"/>
    <w:docVar w:name="LW_ID_DOCTYPE" w:val="SJ-016"/>
    <w:docVar w:name="LW_ID_STATUT" w:val="PROPOSAL"/>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NLE"/>
    <w:docVar w:name="LW_REF.II.NEW.CP_NUMBER" w:val="0103"/>
    <w:docVar w:name="LW_REF.II.NEW.CP_YEAR" w:val="2019"/>
    <w:docVar w:name="LW_REF.INST.NEW" w:val="COM"/>
    <w:docVar w:name="LW_REF.INST.NEW_ADOPTED" w:val="final"/>
    <w:docVar w:name="LW_REF.INST.NEW_TEXT" w:val="(2019) 21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Forslag til"/>
    <w:docVar w:name="LW_SUPERTITRE" w:val="&lt;UNUSED&gt;"/>
    <w:docVar w:name="LW_TITRE.OBJ.CP" w:val="om ændring af forordning (EU) nr. 1388/2013 om åbning og forvaltning af autonome EU-toldkontingenter for visse landbrugs- og industriprodukter"/>
    <w:docVar w:name="LW_TITRE.OBJ.CP_PREVIOUS" w:val="&lt;UNUSED&gt;"/>
    <w:docVar w:name="LW_TYPE.DOC.CP" w:val="RÅDETS FORORDNING"/>
    <w:docVar w:name="Stamp" w:val="\\dossiers.dgt.cec.eu.int\dossiers\TAXUD\TAXUD-2017-00167\TAXUD-2017-00167-00-00-EN-REV-00.201703081637032294106.DOC"/>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List Bullet 4"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style>
  <w:style w:type="paragraph" w:customStyle="1" w:styleId="ListBullet1">
    <w:name w:val="List Bullet 1"/>
    <w:basedOn w:val="Normal"/>
    <w:pPr>
      <w:numPr>
        <w:numId w:val="1"/>
      </w:numPr>
    </w:pPr>
  </w:style>
  <w:style w:type="paragraph" w:customStyle="1" w:styleId="ListDash1">
    <w:name w:val="List Dash 1"/>
    <w:basedOn w:val="Normal"/>
    <w:pPr>
      <w:numPr>
        <w:numId w:val="2"/>
      </w:numPr>
    </w:pPr>
  </w:style>
  <w:style w:type="paragraph" w:customStyle="1" w:styleId="ListDash2">
    <w:name w:val="List Dash 2"/>
    <w:basedOn w:val="Normal"/>
    <w:pPr>
      <w:numPr>
        <w:numId w:val="3"/>
      </w:numPr>
    </w:pPr>
  </w:style>
  <w:style w:type="paragraph" w:customStyle="1" w:styleId="ListNumberLevel2">
    <w:name w:val="List Number (Level 2)"/>
    <w:basedOn w:val="Normal"/>
    <w:pPr>
      <w:numPr>
        <w:ilvl w:val="1"/>
        <w:numId w:val="4"/>
      </w:numPr>
    </w:pPr>
  </w:style>
  <w:style w:type="paragraph" w:customStyle="1" w:styleId="ListNumberLevel3">
    <w:name w:val="List Number (Level 3)"/>
    <w:basedOn w:val="Normal"/>
    <w:pPr>
      <w:numPr>
        <w:ilvl w:val="2"/>
        <w:numId w:val="4"/>
      </w:numPr>
    </w:pPr>
  </w:style>
  <w:style w:type="paragraph" w:customStyle="1" w:styleId="ListNumberLevel4">
    <w:name w:val="List Number (Level 4)"/>
    <w:basedOn w:val="Normal"/>
    <w:pPr>
      <w:numPr>
        <w:ilvl w:val="3"/>
        <w:numId w:val="4"/>
      </w:numPr>
    </w:pPr>
  </w:style>
  <w:style w:type="table" w:styleId="TableGrid">
    <w:name w:val="Table Grid"/>
    <w:basedOn w:val="TableNormal"/>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shd w:val="clear" w:color="auto" w:fill="auto"/>
    </w:rPr>
  </w:style>
  <w:style w:type="paragraph" w:customStyle="1" w:styleId="Paragraph">
    <w:name w:val="Paragraph"/>
    <w:basedOn w:val="Normal"/>
    <w:pPr>
      <w:spacing w:before="0" w:after="0"/>
    </w:pPr>
    <w:rPr>
      <w:sz w:val="16"/>
    </w:rPr>
  </w:style>
  <w:style w:type="table" w:customStyle="1" w:styleId="Listdash">
    <w:name w:val="List dash"/>
    <w:basedOn w:val="Listtable"/>
    <w:rPr>
      <w:sz w:val="20"/>
      <w:szCs w:val="20"/>
    </w:rPr>
    <w:tblPr>
      <w:tblCellMar>
        <w:top w:w="0" w:type="dxa"/>
        <w:left w:w="0" w:type="dxa"/>
        <w:bottom w:w="0" w:type="dxa"/>
      </w:tblCellMar>
    </w:tblPr>
  </w:style>
  <w:style w:type="character" w:customStyle="1" w:styleId="FootnoteReference1">
    <w:name w:val="Footnote Reference1"/>
    <w:hidden/>
    <w:rPr>
      <w:sz w:val="16"/>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rPr>
  </w:style>
  <w:style w:type="character" w:styleId="Strong">
    <w:name w:val="Strong"/>
    <w:uiPriority w:val="22"/>
    <w:qFormat/>
    <w:rPr>
      <w:rFonts w:cs="Times New Roman"/>
      <w:b/>
      <w:bCs/>
      <w:shd w:val="clear" w:color="auto" w:fill="auto"/>
    </w:rPr>
  </w:style>
  <w:style w:type="table" w:customStyle="1" w:styleId="Listtable">
    <w:name w:val="List table"/>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paragraph" w:styleId="ListNumber2">
    <w:name w:val="List Number 2"/>
    <w:basedOn w:val="Normal"/>
    <w:pPr>
      <w:numPr>
        <w:numId w:val="7"/>
      </w:numPr>
    </w:pPr>
  </w:style>
  <w:style w:type="paragraph" w:styleId="ListNumber3">
    <w:name w:val="List Number 3"/>
    <w:basedOn w:val="Normal"/>
    <w:pPr>
      <w:numPr>
        <w:numId w:val="6"/>
      </w:numPr>
    </w:pPr>
  </w:style>
  <w:style w:type="paragraph" w:styleId="ListNumber4">
    <w:name w:val="List Number 4"/>
    <w:basedOn w:val="Normal"/>
    <w:pPr>
      <w:tabs>
        <w:tab w:val="num" w:pos="1209"/>
      </w:tabs>
      <w:ind w:left="1209" w:hanging="360"/>
    </w:pPr>
  </w:style>
  <w:style w:type="paragraph" w:styleId="ListBullet">
    <w:name w:val="List Bullet"/>
    <w:basedOn w:val="Normal"/>
    <w:pPr>
      <w:numPr>
        <w:numId w:val="8"/>
      </w:numPr>
    </w:pPr>
  </w:style>
  <w:style w:type="paragraph" w:styleId="ListBullet2">
    <w:name w:val="List Bullet 2"/>
    <w:basedOn w:val="Normal"/>
    <w:pPr>
      <w:numPr>
        <w:numId w:val="5"/>
      </w:numPr>
    </w:pPr>
  </w:style>
  <w:style w:type="paragraph" w:styleId="ListBullet3">
    <w:name w:val="List Bullet 3"/>
    <w:basedOn w:val="Normal"/>
    <w:pPr>
      <w:numPr>
        <w:numId w:val="9"/>
      </w:numPr>
    </w:pPr>
  </w:style>
  <w:style w:type="paragraph" w:styleId="ListBullet4">
    <w:name w:val="List Bullet 4"/>
    <w:basedOn w:val="Normal"/>
    <w:uiPriority w:val="99"/>
    <w:pPr>
      <w:numPr>
        <w:numId w:val="10"/>
      </w:numPr>
    </w:pPr>
  </w:style>
  <w:style w:type="paragraph" w:styleId="Caption">
    <w:name w:val="caption"/>
    <w:basedOn w:val="Normal"/>
    <w:next w:val="Normal"/>
    <w:qFormat/>
    <w:rPr>
      <w:b/>
      <w:bCs/>
      <w:sz w:val="20"/>
    </w:rPr>
  </w:style>
  <w:style w:type="paragraph" w:styleId="TableofFigures">
    <w:name w:val="table of figures"/>
    <w:basedOn w:val="Normal"/>
    <w:next w:val="Normal"/>
    <w:semiHidden/>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customStyle="1" w:styleId="Notestable">
    <w:name w:val="Notes table"/>
    <w:rPr>
      <w:sz w:val="16"/>
      <w:szCs w:val="16"/>
    </w:rPr>
    <w:tblPr>
      <w:tblCellSpacing w:w="0" w:type="dxa"/>
      <w:tblInd w:w="0" w:type="dxa"/>
      <w:tblBorders>
        <w:top w:val="single" w:sz="2" w:space="0" w:color="auto"/>
        <w:bottom w:val="single" w:sz="2" w:space="0" w:color="auto"/>
      </w:tblBorders>
      <w:tblCellMar>
        <w:top w:w="60" w:type="dxa"/>
        <w:left w:w="60" w:type="dxa"/>
        <w:bottom w:w="60" w:type="dxa"/>
        <w:right w:w="60" w:type="dxa"/>
      </w:tblCellMar>
    </w:tblPr>
    <w:trPr>
      <w:tblCellSpacing w:w="0" w:type="dxa"/>
    </w:trPr>
  </w:style>
  <w:style w:type="paragraph" w:customStyle="1" w:styleId="Subtitle1">
    <w:name w:val="Subtitle1"/>
    <w:aliases w:val="CONTENT.TITLE.TI"/>
    <w:basedOn w:val="Normal"/>
    <w:pPr>
      <w:keepNext/>
      <w:jc w:val="center"/>
    </w:pPr>
  </w:style>
  <w:style w:type="character" w:customStyle="1" w:styleId="footnoteparenthesis">
    <w:name w:val="footnote_parenthesis"/>
    <w:rPr>
      <w:shd w:val="clear" w:color="auto" w:fill="auto"/>
    </w:rPr>
  </w:style>
  <w:style w:type="paragraph" w:styleId="EndnoteText">
    <w:name w:val="endnote text"/>
    <w:basedOn w:val="Normal"/>
    <w:link w:val="EndnoteTextChar"/>
    <w:rPr>
      <w:sz w:val="20"/>
    </w:rPr>
  </w:style>
  <w:style w:type="character" w:customStyle="1" w:styleId="EndnoteTextChar">
    <w:name w:val="Endnote Text Char"/>
    <w:link w:val="EndnoteText"/>
    <w:rPr>
      <w:shd w:val="clear" w:color="auto" w:fill="auto"/>
      <w:lang w:eastAsia="da-DK"/>
    </w:rPr>
  </w:style>
  <w:style w:type="character" w:styleId="EndnoteReference">
    <w:name w:val="endnote reference"/>
    <w:rPr>
      <w:shd w:val="clear" w:color="auto" w:fill="auto"/>
      <w:vertAlign w:val="superscript"/>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styleId="DocumentMap">
    <w:name w:val="Document Map"/>
    <w:basedOn w:val="Normal"/>
    <w:semiHidden/>
    <w:pPr>
      <w:shd w:val="clear" w:color="auto" w:fill="000080"/>
    </w:pPr>
    <w:rPr>
      <w:rFonts w:ascii="Tahoma" w:hAnsi="Tahoma" w:cs="Tahoma"/>
      <w:sz w:val="20"/>
    </w:rPr>
  </w:style>
  <w:style w:type="paragraph" w:styleId="NormalWeb">
    <w:name w:val="Normal (Web)"/>
    <w:basedOn w:val="Normal"/>
    <w:uiPriority w:val="99"/>
    <w:unhideWhenUsed/>
    <w:pPr>
      <w:spacing w:before="0" w:after="0"/>
      <w:jc w:val="left"/>
    </w:pPr>
  </w:style>
  <w:style w:type="paragraph" w:customStyle="1" w:styleId="Titrefichefinancier">
    <w:name w:val="Titre fiche financier"/>
    <w:basedOn w:val="Normal"/>
    <w:pPr>
      <w:jc w:val="center"/>
    </w:pPr>
    <w:rPr>
      <w:b/>
      <w:noProof/>
      <w:u w:val="single"/>
    </w:rPr>
  </w:style>
  <w:style w:type="table" w:customStyle="1" w:styleId="Listtable1">
    <w:name w:val="List table1"/>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table" w:customStyle="1" w:styleId="Listtable2">
    <w:name w:val="List table2"/>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paragraph" w:styleId="Revision">
    <w:name w:val="Revision"/>
    <w:hidden/>
    <w:uiPriority w:val="99"/>
    <w:semiHidden/>
    <w:rPr>
      <w:sz w:val="24"/>
    </w:rPr>
  </w:style>
  <w:style w:type="character" w:customStyle="1" w:styleId="tgc">
    <w:name w:val="_tgc"/>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title-article-norm2">
    <w:name w:val="title-article-norm2"/>
    <w:basedOn w:val="Normal"/>
    <w:pPr>
      <w:spacing w:before="240" w:line="312" w:lineRule="atLeast"/>
      <w:jc w:val="center"/>
    </w:pPr>
    <w:rPr>
      <w:rFonts w:eastAsia="Times New Roman"/>
      <w:i/>
      <w:iCs/>
      <w:szCs w:val="24"/>
    </w:rPr>
  </w:style>
  <w:style w:type="paragraph" w:customStyle="1" w:styleId="norm3">
    <w:name w:val="norm3"/>
    <w:basedOn w:val="Normal"/>
    <w:pPr>
      <w:spacing w:after="0" w:line="312" w:lineRule="atLeast"/>
    </w:pPr>
    <w:rPr>
      <w:rFonts w:eastAsia="Times New Roman"/>
      <w:szCs w:val="24"/>
    </w:rPr>
  </w:style>
  <w:style w:type="paragraph" w:styleId="ListParagraph">
    <w:name w:val="List Paragraph"/>
    <w:basedOn w:val="Normal"/>
    <w:uiPriority w:val="34"/>
    <w:qFormat/>
    <w:pPr>
      <w:ind w:left="720"/>
      <w:contextualSpacing/>
    </w:pPr>
  </w:style>
  <w:style w:type="character" w:customStyle="1" w:styleId="Bodytext2">
    <w:name w:val="Body text (2)_"/>
    <w:basedOn w:val="DefaultParagraphFont"/>
    <w:link w:val="Bodytext20"/>
    <w:rPr>
      <w:sz w:val="18"/>
      <w:szCs w:val="18"/>
      <w:shd w:val="clear" w:color="auto" w:fill="FFFFFF"/>
    </w:rPr>
  </w:style>
  <w:style w:type="paragraph" w:customStyle="1" w:styleId="Bodytext20">
    <w:name w:val="Body text (2)"/>
    <w:basedOn w:val="Normal"/>
    <w:link w:val="Bodytext2"/>
    <w:pPr>
      <w:widowControl w:val="0"/>
      <w:shd w:val="clear" w:color="auto" w:fill="FFFFFF"/>
      <w:spacing w:before="300" w:after="0" w:line="504" w:lineRule="exact"/>
      <w:ind w:hanging="560"/>
    </w:pPr>
    <w:rPr>
      <w:rFonts w:asciiTheme="minorHAnsi" w:hAnsiTheme="minorHAnsi" w:cstheme="minorBidi"/>
      <w:sz w:val="18"/>
      <w:szCs w:val="18"/>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List Bullet 4"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style>
  <w:style w:type="paragraph" w:customStyle="1" w:styleId="ListBullet1">
    <w:name w:val="List Bullet 1"/>
    <w:basedOn w:val="Normal"/>
    <w:pPr>
      <w:numPr>
        <w:numId w:val="1"/>
      </w:numPr>
    </w:pPr>
  </w:style>
  <w:style w:type="paragraph" w:customStyle="1" w:styleId="ListDash1">
    <w:name w:val="List Dash 1"/>
    <w:basedOn w:val="Normal"/>
    <w:pPr>
      <w:numPr>
        <w:numId w:val="2"/>
      </w:numPr>
    </w:pPr>
  </w:style>
  <w:style w:type="paragraph" w:customStyle="1" w:styleId="ListDash2">
    <w:name w:val="List Dash 2"/>
    <w:basedOn w:val="Normal"/>
    <w:pPr>
      <w:numPr>
        <w:numId w:val="3"/>
      </w:numPr>
    </w:pPr>
  </w:style>
  <w:style w:type="paragraph" w:customStyle="1" w:styleId="ListNumberLevel2">
    <w:name w:val="List Number (Level 2)"/>
    <w:basedOn w:val="Normal"/>
    <w:pPr>
      <w:numPr>
        <w:ilvl w:val="1"/>
        <w:numId w:val="4"/>
      </w:numPr>
    </w:pPr>
  </w:style>
  <w:style w:type="paragraph" w:customStyle="1" w:styleId="ListNumberLevel3">
    <w:name w:val="List Number (Level 3)"/>
    <w:basedOn w:val="Normal"/>
    <w:pPr>
      <w:numPr>
        <w:ilvl w:val="2"/>
        <w:numId w:val="4"/>
      </w:numPr>
    </w:pPr>
  </w:style>
  <w:style w:type="paragraph" w:customStyle="1" w:styleId="ListNumberLevel4">
    <w:name w:val="List Number (Level 4)"/>
    <w:basedOn w:val="Normal"/>
    <w:pPr>
      <w:numPr>
        <w:ilvl w:val="3"/>
        <w:numId w:val="4"/>
      </w:numPr>
    </w:pPr>
  </w:style>
  <w:style w:type="table" w:styleId="TableGrid">
    <w:name w:val="Table Grid"/>
    <w:basedOn w:val="TableNormal"/>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shd w:val="clear" w:color="auto" w:fill="auto"/>
    </w:rPr>
  </w:style>
  <w:style w:type="paragraph" w:customStyle="1" w:styleId="Paragraph">
    <w:name w:val="Paragraph"/>
    <w:basedOn w:val="Normal"/>
    <w:pPr>
      <w:spacing w:before="0" w:after="0"/>
    </w:pPr>
    <w:rPr>
      <w:sz w:val="16"/>
    </w:rPr>
  </w:style>
  <w:style w:type="table" w:customStyle="1" w:styleId="Listdash">
    <w:name w:val="List dash"/>
    <w:basedOn w:val="Listtable"/>
    <w:rPr>
      <w:sz w:val="20"/>
      <w:szCs w:val="20"/>
    </w:rPr>
    <w:tblPr>
      <w:tblCellMar>
        <w:top w:w="0" w:type="dxa"/>
        <w:left w:w="0" w:type="dxa"/>
        <w:bottom w:w="0" w:type="dxa"/>
      </w:tblCellMar>
    </w:tblPr>
  </w:style>
  <w:style w:type="character" w:customStyle="1" w:styleId="FootnoteReference1">
    <w:name w:val="Footnote Reference1"/>
    <w:hidden/>
    <w:rPr>
      <w:sz w:val="16"/>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rPr>
  </w:style>
  <w:style w:type="character" w:styleId="Strong">
    <w:name w:val="Strong"/>
    <w:uiPriority w:val="22"/>
    <w:qFormat/>
    <w:rPr>
      <w:rFonts w:cs="Times New Roman"/>
      <w:b/>
      <w:bCs/>
      <w:shd w:val="clear" w:color="auto" w:fill="auto"/>
    </w:rPr>
  </w:style>
  <w:style w:type="table" w:customStyle="1" w:styleId="Listtable">
    <w:name w:val="List table"/>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paragraph" w:styleId="ListNumber2">
    <w:name w:val="List Number 2"/>
    <w:basedOn w:val="Normal"/>
    <w:pPr>
      <w:numPr>
        <w:numId w:val="7"/>
      </w:numPr>
    </w:pPr>
  </w:style>
  <w:style w:type="paragraph" w:styleId="ListNumber3">
    <w:name w:val="List Number 3"/>
    <w:basedOn w:val="Normal"/>
    <w:pPr>
      <w:numPr>
        <w:numId w:val="6"/>
      </w:numPr>
    </w:pPr>
  </w:style>
  <w:style w:type="paragraph" w:styleId="ListNumber4">
    <w:name w:val="List Number 4"/>
    <w:basedOn w:val="Normal"/>
    <w:pPr>
      <w:tabs>
        <w:tab w:val="num" w:pos="1209"/>
      </w:tabs>
      <w:ind w:left="1209" w:hanging="360"/>
    </w:pPr>
  </w:style>
  <w:style w:type="paragraph" w:styleId="ListBullet">
    <w:name w:val="List Bullet"/>
    <w:basedOn w:val="Normal"/>
    <w:pPr>
      <w:numPr>
        <w:numId w:val="8"/>
      </w:numPr>
    </w:pPr>
  </w:style>
  <w:style w:type="paragraph" w:styleId="ListBullet2">
    <w:name w:val="List Bullet 2"/>
    <w:basedOn w:val="Normal"/>
    <w:pPr>
      <w:numPr>
        <w:numId w:val="5"/>
      </w:numPr>
    </w:pPr>
  </w:style>
  <w:style w:type="paragraph" w:styleId="ListBullet3">
    <w:name w:val="List Bullet 3"/>
    <w:basedOn w:val="Normal"/>
    <w:pPr>
      <w:numPr>
        <w:numId w:val="9"/>
      </w:numPr>
    </w:pPr>
  </w:style>
  <w:style w:type="paragraph" w:styleId="ListBullet4">
    <w:name w:val="List Bullet 4"/>
    <w:basedOn w:val="Normal"/>
    <w:uiPriority w:val="99"/>
    <w:pPr>
      <w:numPr>
        <w:numId w:val="10"/>
      </w:numPr>
    </w:pPr>
  </w:style>
  <w:style w:type="paragraph" w:styleId="Caption">
    <w:name w:val="caption"/>
    <w:basedOn w:val="Normal"/>
    <w:next w:val="Normal"/>
    <w:qFormat/>
    <w:rPr>
      <w:b/>
      <w:bCs/>
      <w:sz w:val="20"/>
    </w:rPr>
  </w:style>
  <w:style w:type="paragraph" w:styleId="TableofFigures">
    <w:name w:val="table of figures"/>
    <w:basedOn w:val="Normal"/>
    <w:next w:val="Normal"/>
    <w:semiHidden/>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customStyle="1" w:styleId="Notestable">
    <w:name w:val="Notes table"/>
    <w:rPr>
      <w:sz w:val="16"/>
      <w:szCs w:val="16"/>
    </w:rPr>
    <w:tblPr>
      <w:tblCellSpacing w:w="0" w:type="dxa"/>
      <w:tblInd w:w="0" w:type="dxa"/>
      <w:tblBorders>
        <w:top w:val="single" w:sz="2" w:space="0" w:color="auto"/>
        <w:bottom w:val="single" w:sz="2" w:space="0" w:color="auto"/>
      </w:tblBorders>
      <w:tblCellMar>
        <w:top w:w="60" w:type="dxa"/>
        <w:left w:w="60" w:type="dxa"/>
        <w:bottom w:w="60" w:type="dxa"/>
        <w:right w:w="60" w:type="dxa"/>
      </w:tblCellMar>
    </w:tblPr>
    <w:trPr>
      <w:tblCellSpacing w:w="0" w:type="dxa"/>
    </w:trPr>
  </w:style>
  <w:style w:type="paragraph" w:customStyle="1" w:styleId="Subtitle1">
    <w:name w:val="Subtitle1"/>
    <w:aliases w:val="CONTENT.TITLE.TI"/>
    <w:basedOn w:val="Normal"/>
    <w:pPr>
      <w:keepNext/>
      <w:jc w:val="center"/>
    </w:pPr>
  </w:style>
  <w:style w:type="character" w:customStyle="1" w:styleId="footnoteparenthesis">
    <w:name w:val="footnote_parenthesis"/>
    <w:rPr>
      <w:shd w:val="clear" w:color="auto" w:fill="auto"/>
    </w:rPr>
  </w:style>
  <w:style w:type="paragraph" w:styleId="EndnoteText">
    <w:name w:val="endnote text"/>
    <w:basedOn w:val="Normal"/>
    <w:link w:val="EndnoteTextChar"/>
    <w:rPr>
      <w:sz w:val="20"/>
    </w:rPr>
  </w:style>
  <w:style w:type="character" w:customStyle="1" w:styleId="EndnoteTextChar">
    <w:name w:val="Endnote Text Char"/>
    <w:link w:val="EndnoteText"/>
    <w:rPr>
      <w:shd w:val="clear" w:color="auto" w:fill="auto"/>
      <w:lang w:eastAsia="da-DK"/>
    </w:rPr>
  </w:style>
  <w:style w:type="character" w:styleId="EndnoteReference">
    <w:name w:val="endnote reference"/>
    <w:rPr>
      <w:shd w:val="clear" w:color="auto" w:fill="auto"/>
      <w:vertAlign w:val="superscript"/>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styleId="DocumentMap">
    <w:name w:val="Document Map"/>
    <w:basedOn w:val="Normal"/>
    <w:semiHidden/>
    <w:pPr>
      <w:shd w:val="clear" w:color="auto" w:fill="000080"/>
    </w:pPr>
    <w:rPr>
      <w:rFonts w:ascii="Tahoma" w:hAnsi="Tahoma" w:cs="Tahoma"/>
      <w:sz w:val="20"/>
    </w:rPr>
  </w:style>
  <w:style w:type="paragraph" w:styleId="NormalWeb">
    <w:name w:val="Normal (Web)"/>
    <w:basedOn w:val="Normal"/>
    <w:uiPriority w:val="99"/>
    <w:unhideWhenUsed/>
    <w:pPr>
      <w:spacing w:before="0" w:after="0"/>
      <w:jc w:val="left"/>
    </w:pPr>
  </w:style>
  <w:style w:type="paragraph" w:customStyle="1" w:styleId="Titrefichefinancier">
    <w:name w:val="Titre fiche financier"/>
    <w:basedOn w:val="Normal"/>
    <w:pPr>
      <w:jc w:val="center"/>
    </w:pPr>
    <w:rPr>
      <w:b/>
      <w:noProof/>
      <w:u w:val="single"/>
    </w:rPr>
  </w:style>
  <w:style w:type="table" w:customStyle="1" w:styleId="Listtable1">
    <w:name w:val="List table1"/>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table" w:customStyle="1" w:styleId="Listtable2">
    <w:name w:val="List table2"/>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paragraph" w:styleId="Revision">
    <w:name w:val="Revision"/>
    <w:hidden/>
    <w:uiPriority w:val="99"/>
    <w:semiHidden/>
    <w:rPr>
      <w:sz w:val="24"/>
    </w:rPr>
  </w:style>
  <w:style w:type="character" w:customStyle="1" w:styleId="tgc">
    <w:name w:val="_tgc"/>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title-article-norm2">
    <w:name w:val="title-article-norm2"/>
    <w:basedOn w:val="Normal"/>
    <w:pPr>
      <w:spacing w:before="240" w:line="312" w:lineRule="atLeast"/>
      <w:jc w:val="center"/>
    </w:pPr>
    <w:rPr>
      <w:rFonts w:eastAsia="Times New Roman"/>
      <w:i/>
      <w:iCs/>
      <w:szCs w:val="24"/>
    </w:rPr>
  </w:style>
  <w:style w:type="paragraph" w:customStyle="1" w:styleId="norm3">
    <w:name w:val="norm3"/>
    <w:basedOn w:val="Normal"/>
    <w:pPr>
      <w:spacing w:after="0" w:line="312" w:lineRule="atLeast"/>
    </w:pPr>
    <w:rPr>
      <w:rFonts w:eastAsia="Times New Roman"/>
      <w:szCs w:val="24"/>
    </w:rPr>
  </w:style>
  <w:style w:type="paragraph" w:styleId="ListParagraph">
    <w:name w:val="List Paragraph"/>
    <w:basedOn w:val="Normal"/>
    <w:uiPriority w:val="34"/>
    <w:qFormat/>
    <w:pPr>
      <w:ind w:left="720"/>
      <w:contextualSpacing/>
    </w:pPr>
  </w:style>
  <w:style w:type="character" w:customStyle="1" w:styleId="Bodytext2">
    <w:name w:val="Body text (2)_"/>
    <w:basedOn w:val="DefaultParagraphFont"/>
    <w:link w:val="Bodytext20"/>
    <w:rPr>
      <w:sz w:val="18"/>
      <w:szCs w:val="18"/>
      <w:shd w:val="clear" w:color="auto" w:fill="FFFFFF"/>
    </w:rPr>
  </w:style>
  <w:style w:type="paragraph" w:customStyle="1" w:styleId="Bodytext20">
    <w:name w:val="Body text (2)"/>
    <w:basedOn w:val="Normal"/>
    <w:link w:val="Bodytext2"/>
    <w:pPr>
      <w:widowControl w:val="0"/>
      <w:shd w:val="clear" w:color="auto" w:fill="FFFFFF"/>
      <w:spacing w:before="300" w:after="0" w:line="504" w:lineRule="exact"/>
      <w:ind w:hanging="560"/>
    </w:pPr>
    <w:rPr>
      <w:rFonts w:asciiTheme="minorHAnsi" w:hAnsiTheme="minorHAnsi" w:cstheme="minorBidi"/>
      <w:sz w:val="18"/>
      <w:szCs w:val="18"/>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83856">
      <w:bodyDiv w:val="1"/>
      <w:marLeft w:val="0"/>
      <w:marRight w:val="0"/>
      <w:marTop w:val="0"/>
      <w:marBottom w:val="0"/>
      <w:divBdr>
        <w:top w:val="none" w:sz="0" w:space="0" w:color="auto"/>
        <w:left w:val="none" w:sz="0" w:space="0" w:color="auto"/>
        <w:bottom w:val="none" w:sz="0" w:space="0" w:color="auto"/>
        <w:right w:val="none" w:sz="0" w:space="0" w:color="auto"/>
      </w:divBdr>
    </w:div>
    <w:div w:id="447701243">
      <w:bodyDiv w:val="1"/>
      <w:marLeft w:val="0"/>
      <w:marRight w:val="0"/>
      <w:marTop w:val="0"/>
      <w:marBottom w:val="0"/>
      <w:divBdr>
        <w:top w:val="none" w:sz="0" w:space="0" w:color="auto"/>
        <w:left w:val="none" w:sz="0" w:space="0" w:color="auto"/>
        <w:bottom w:val="none" w:sz="0" w:space="0" w:color="auto"/>
        <w:right w:val="none" w:sz="0" w:space="0" w:color="auto"/>
      </w:divBdr>
    </w:div>
    <w:div w:id="696855808">
      <w:bodyDiv w:val="1"/>
      <w:marLeft w:val="0"/>
      <w:marRight w:val="0"/>
      <w:marTop w:val="0"/>
      <w:marBottom w:val="0"/>
      <w:divBdr>
        <w:top w:val="none" w:sz="0" w:space="0" w:color="auto"/>
        <w:left w:val="none" w:sz="0" w:space="0" w:color="auto"/>
        <w:bottom w:val="none" w:sz="0" w:space="0" w:color="auto"/>
        <w:right w:val="none" w:sz="0" w:space="0" w:color="auto"/>
      </w:divBdr>
      <w:divsChild>
        <w:div w:id="953247395">
          <w:marLeft w:val="0"/>
          <w:marRight w:val="0"/>
          <w:marTop w:val="0"/>
          <w:marBottom w:val="0"/>
          <w:divBdr>
            <w:top w:val="none" w:sz="0" w:space="0" w:color="auto"/>
            <w:left w:val="none" w:sz="0" w:space="0" w:color="auto"/>
            <w:bottom w:val="none" w:sz="0" w:space="0" w:color="auto"/>
            <w:right w:val="none" w:sz="0" w:space="0" w:color="auto"/>
          </w:divBdr>
          <w:divsChild>
            <w:div w:id="1317614473">
              <w:marLeft w:val="0"/>
              <w:marRight w:val="0"/>
              <w:marTop w:val="0"/>
              <w:marBottom w:val="0"/>
              <w:divBdr>
                <w:top w:val="none" w:sz="0" w:space="0" w:color="auto"/>
                <w:left w:val="none" w:sz="0" w:space="0" w:color="auto"/>
                <w:bottom w:val="none" w:sz="0" w:space="0" w:color="auto"/>
                <w:right w:val="none" w:sz="0" w:space="0" w:color="auto"/>
              </w:divBdr>
              <w:divsChild>
                <w:div w:id="207573036">
                  <w:marLeft w:val="0"/>
                  <w:marRight w:val="0"/>
                  <w:marTop w:val="0"/>
                  <w:marBottom w:val="0"/>
                  <w:divBdr>
                    <w:top w:val="none" w:sz="0" w:space="0" w:color="auto"/>
                    <w:left w:val="none" w:sz="0" w:space="0" w:color="auto"/>
                    <w:bottom w:val="none" w:sz="0" w:space="0" w:color="auto"/>
                    <w:right w:val="none" w:sz="0" w:space="0" w:color="auto"/>
                  </w:divBdr>
                  <w:divsChild>
                    <w:div w:id="2066875819">
                      <w:marLeft w:val="1"/>
                      <w:marRight w:val="1"/>
                      <w:marTop w:val="0"/>
                      <w:marBottom w:val="0"/>
                      <w:divBdr>
                        <w:top w:val="none" w:sz="0" w:space="0" w:color="auto"/>
                        <w:left w:val="none" w:sz="0" w:space="0" w:color="auto"/>
                        <w:bottom w:val="none" w:sz="0" w:space="0" w:color="auto"/>
                        <w:right w:val="none" w:sz="0" w:space="0" w:color="auto"/>
                      </w:divBdr>
                      <w:divsChild>
                        <w:div w:id="1261642017">
                          <w:marLeft w:val="0"/>
                          <w:marRight w:val="0"/>
                          <w:marTop w:val="0"/>
                          <w:marBottom w:val="0"/>
                          <w:divBdr>
                            <w:top w:val="none" w:sz="0" w:space="0" w:color="auto"/>
                            <w:left w:val="none" w:sz="0" w:space="0" w:color="auto"/>
                            <w:bottom w:val="none" w:sz="0" w:space="0" w:color="auto"/>
                            <w:right w:val="none" w:sz="0" w:space="0" w:color="auto"/>
                          </w:divBdr>
                          <w:divsChild>
                            <w:div w:id="319191998">
                              <w:marLeft w:val="0"/>
                              <w:marRight w:val="0"/>
                              <w:marTop w:val="0"/>
                              <w:marBottom w:val="360"/>
                              <w:divBdr>
                                <w:top w:val="none" w:sz="0" w:space="0" w:color="auto"/>
                                <w:left w:val="none" w:sz="0" w:space="0" w:color="auto"/>
                                <w:bottom w:val="none" w:sz="0" w:space="0" w:color="auto"/>
                                <w:right w:val="none" w:sz="0" w:space="0" w:color="auto"/>
                              </w:divBdr>
                              <w:divsChild>
                                <w:div w:id="1003053370">
                                  <w:marLeft w:val="0"/>
                                  <w:marRight w:val="0"/>
                                  <w:marTop w:val="0"/>
                                  <w:marBottom w:val="0"/>
                                  <w:divBdr>
                                    <w:top w:val="none" w:sz="0" w:space="0" w:color="auto"/>
                                    <w:left w:val="none" w:sz="0" w:space="0" w:color="auto"/>
                                    <w:bottom w:val="none" w:sz="0" w:space="0" w:color="auto"/>
                                    <w:right w:val="none" w:sz="0" w:space="0" w:color="auto"/>
                                  </w:divBdr>
                                  <w:divsChild>
                                    <w:div w:id="1696031355">
                                      <w:marLeft w:val="0"/>
                                      <w:marRight w:val="0"/>
                                      <w:marTop w:val="0"/>
                                      <w:marBottom w:val="0"/>
                                      <w:divBdr>
                                        <w:top w:val="none" w:sz="0" w:space="0" w:color="auto"/>
                                        <w:left w:val="none" w:sz="0" w:space="0" w:color="auto"/>
                                        <w:bottom w:val="none" w:sz="0" w:space="0" w:color="auto"/>
                                        <w:right w:val="none" w:sz="0" w:space="0" w:color="auto"/>
                                      </w:divBdr>
                                      <w:divsChild>
                                        <w:div w:id="196891429">
                                          <w:marLeft w:val="0"/>
                                          <w:marRight w:val="0"/>
                                          <w:marTop w:val="0"/>
                                          <w:marBottom w:val="0"/>
                                          <w:divBdr>
                                            <w:top w:val="none" w:sz="0" w:space="0" w:color="auto"/>
                                            <w:left w:val="none" w:sz="0" w:space="0" w:color="auto"/>
                                            <w:bottom w:val="none" w:sz="0" w:space="0" w:color="auto"/>
                                            <w:right w:val="none" w:sz="0" w:space="0" w:color="auto"/>
                                          </w:divBdr>
                                          <w:divsChild>
                                            <w:div w:id="1082022401">
                                              <w:marLeft w:val="0"/>
                                              <w:marRight w:val="0"/>
                                              <w:marTop w:val="0"/>
                                              <w:marBottom w:val="0"/>
                                              <w:divBdr>
                                                <w:top w:val="none" w:sz="0" w:space="0" w:color="auto"/>
                                                <w:left w:val="none" w:sz="0" w:space="0" w:color="auto"/>
                                                <w:bottom w:val="none" w:sz="0" w:space="0" w:color="auto"/>
                                                <w:right w:val="none" w:sz="0" w:space="0" w:color="auto"/>
                                              </w:divBdr>
                                              <w:divsChild>
                                                <w:div w:id="1014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0977488">
      <w:bodyDiv w:val="1"/>
      <w:marLeft w:val="0"/>
      <w:marRight w:val="0"/>
      <w:marTop w:val="0"/>
      <w:marBottom w:val="0"/>
      <w:divBdr>
        <w:top w:val="none" w:sz="0" w:space="0" w:color="auto"/>
        <w:left w:val="none" w:sz="0" w:space="0" w:color="auto"/>
        <w:bottom w:val="none" w:sz="0" w:space="0" w:color="auto"/>
        <w:right w:val="none" w:sz="0" w:space="0" w:color="auto"/>
      </w:divBdr>
      <w:divsChild>
        <w:div w:id="1032918486">
          <w:marLeft w:val="0"/>
          <w:marRight w:val="0"/>
          <w:marTop w:val="0"/>
          <w:marBottom w:val="0"/>
          <w:divBdr>
            <w:top w:val="none" w:sz="0" w:space="0" w:color="auto"/>
            <w:left w:val="none" w:sz="0" w:space="0" w:color="auto"/>
            <w:bottom w:val="none" w:sz="0" w:space="0" w:color="auto"/>
            <w:right w:val="none" w:sz="0" w:space="0" w:color="auto"/>
          </w:divBdr>
          <w:divsChild>
            <w:div w:id="500583824">
              <w:marLeft w:val="0"/>
              <w:marRight w:val="0"/>
              <w:marTop w:val="0"/>
              <w:marBottom w:val="0"/>
              <w:divBdr>
                <w:top w:val="none" w:sz="0" w:space="0" w:color="auto"/>
                <w:left w:val="none" w:sz="0" w:space="0" w:color="auto"/>
                <w:bottom w:val="none" w:sz="0" w:space="0" w:color="auto"/>
                <w:right w:val="none" w:sz="0" w:space="0" w:color="auto"/>
              </w:divBdr>
              <w:divsChild>
                <w:div w:id="2092309036">
                  <w:marLeft w:val="0"/>
                  <w:marRight w:val="0"/>
                  <w:marTop w:val="0"/>
                  <w:marBottom w:val="0"/>
                  <w:divBdr>
                    <w:top w:val="none" w:sz="0" w:space="0" w:color="auto"/>
                    <w:left w:val="none" w:sz="0" w:space="0" w:color="auto"/>
                    <w:bottom w:val="none" w:sz="0" w:space="0" w:color="auto"/>
                    <w:right w:val="none" w:sz="0" w:space="0" w:color="auto"/>
                  </w:divBdr>
                  <w:divsChild>
                    <w:div w:id="2003392004">
                      <w:marLeft w:val="1"/>
                      <w:marRight w:val="1"/>
                      <w:marTop w:val="0"/>
                      <w:marBottom w:val="0"/>
                      <w:divBdr>
                        <w:top w:val="none" w:sz="0" w:space="0" w:color="auto"/>
                        <w:left w:val="none" w:sz="0" w:space="0" w:color="auto"/>
                        <w:bottom w:val="none" w:sz="0" w:space="0" w:color="auto"/>
                        <w:right w:val="none" w:sz="0" w:space="0" w:color="auto"/>
                      </w:divBdr>
                      <w:divsChild>
                        <w:div w:id="272445997">
                          <w:marLeft w:val="0"/>
                          <w:marRight w:val="0"/>
                          <w:marTop w:val="0"/>
                          <w:marBottom w:val="0"/>
                          <w:divBdr>
                            <w:top w:val="none" w:sz="0" w:space="0" w:color="auto"/>
                            <w:left w:val="none" w:sz="0" w:space="0" w:color="auto"/>
                            <w:bottom w:val="none" w:sz="0" w:space="0" w:color="auto"/>
                            <w:right w:val="none" w:sz="0" w:space="0" w:color="auto"/>
                          </w:divBdr>
                          <w:divsChild>
                            <w:div w:id="1129474443">
                              <w:marLeft w:val="0"/>
                              <w:marRight w:val="0"/>
                              <w:marTop w:val="0"/>
                              <w:marBottom w:val="360"/>
                              <w:divBdr>
                                <w:top w:val="none" w:sz="0" w:space="0" w:color="auto"/>
                                <w:left w:val="none" w:sz="0" w:space="0" w:color="auto"/>
                                <w:bottom w:val="none" w:sz="0" w:space="0" w:color="auto"/>
                                <w:right w:val="none" w:sz="0" w:space="0" w:color="auto"/>
                              </w:divBdr>
                              <w:divsChild>
                                <w:div w:id="273907376">
                                  <w:marLeft w:val="0"/>
                                  <w:marRight w:val="0"/>
                                  <w:marTop w:val="0"/>
                                  <w:marBottom w:val="0"/>
                                  <w:divBdr>
                                    <w:top w:val="none" w:sz="0" w:space="0" w:color="auto"/>
                                    <w:left w:val="none" w:sz="0" w:space="0" w:color="auto"/>
                                    <w:bottom w:val="none" w:sz="0" w:space="0" w:color="auto"/>
                                    <w:right w:val="none" w:sz="0" w:space="0" w:color="auto"/>
                                  </w:divBdr>
                                  <w:divsChild>
                                    <w:div w:id="310183253">
                                      <w:marLeft w:val="0"/>
                                      <w:marRight w:val="0"/>
                                      <w:marTop w:val="0"/>
                                      <w:marBottom w:val="0"/>
                                      <w:divBdr>
                                        <w:top w:val="none" w:sz="0" w:space="0" w:color="auto"/>
                                        <w:left w:val="none" w:sz="0" w:space="0" w:color="auto"/>
                                        <w:bottom w:val="none" w:sz="0" w:space="0" w:color="auto"/>
                                        <w:right w:val="none" w:sz="0" w:space="0" w:color="auto"/>
                                      </w:divBdr>
                                      <w:divsChild>
                                        <w:div w:id="1844855273">
                                          <w:marLeft w:val="0"/>
                                          <w:marRight w:val="0"/>
                                          <w:marTop w:val="0"/>
                                          <w:marBottom w:val="0"/>
                                          <w:divBdr>
                                            <w:top w:val="none" w:sz="0" w:space="0" w:color="auto"/>
                                            <w:left w:val="none" w:sz="0" w:space="0" w:color="auto"/>
                                            <w:bottom w:val="none" w:sz="0" w:space="0" w:color="auto"/>
                                            <w:right w:val="none" w:sz="0" w:space="0" w:color="auto"/>
                                          </w:divBdr>
                                          <w:divsChild>
                                            <w:div w:id="1675759636">
                                              <w:marLeft w:val="0"/>
                                              <w:marRight w:val="0"/>
                                              <w:marTop w:val="0"/>
                                              <w:marBottom w:val="0"/>
                                              <w:divBdr>
                                                <w:top w:val="none" w:sz="0" w:space="0" w:color="auto"/>
                                                <w:left w:val="none" w:sz="0" w:space="0" w:color="auto"/>
                                                <w:bottom w:val="none" w:sz="0" w:space="0" w:color="auto"/>
                                                <w:right w:val="none" w:sz="0" w:space="0" w:color="auto"/>
                                              </w:divBdr>
                                              <w:divsChild>
                                                <w:div w:id="18300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2426333">
      <w:bodyDiv w:val="1"/>
      <w:marLeft w:val="0"/>
      <w:marRight w:val="0"/>
      <w:marTop w:val="0"/>
      <w:marBottom w:val="0"/>
      <w:divBdr>
        <w:top w:val="none" w:sz="0" w:space="0" w:color="auto"/>
        <w:left w:val="none" w:sz="0" w:space="0" w:color="auto"/>
        <w:bottom w:val="none" w:sz="0" w:space="0" w:color="auto"/>
        <w:right w:val="none" w:sz="0" w:space="0" w:color="auto"/>
      </w:divBdr>
    </w:div>
    <w:div w:id="1354502876">
      <w:bodyDiv w:val="1"/>
      <w:marLeft w:val="0"/>
      <w:marRight w:val="0"/>
      <w:marTop w:val="0"/>
      <w:marBottom w:val="0"/>
      <w:divBdr>
        <w:top w:val="none" w:sz="0" w:space="0" w:color="auto"/>
        <w:left w:val="none" w:sz="0" w:space="0" w:color="auto"/>
        <w:bottom w:val="none" w:sz="0" w:space="0" w:color="auto"/>
        <w:right w:val="none" w:sz="0" w:space="0" w:color="auto"/>
      </w:divBdr>
      <w:divsChild>
        <w:div w:id="1480883514">
          <w:marLeft w:val="0"/>
          <w:marRight w:val="0"/>
          <w:marTop w:val="0"/>
          <w:marBottom w:val="0"/>
          <w:divBdr>
            <w:top w:val="none" w:sz="0" w:space="0" w:color="auto"/>
            <w:left w:val="none" w:sz="0" w:space="0" w:color="auto"/>
            <w:bottom w:val="none" w:sz="0" w:space="0" w:color="auto"/>
            <w:right w:val="none" w:sz="0" w:space="0" w:color="auto"/>
          </w:divBdr>
          <w:divsChild>
            <w:div w:id="1272518043">
              <w:marLeft w:val="0"/>
              <w:marRight w:val="0"/>
              <w:marTop w:val="0"/>
              <w:marBottom w:val="0"/>
              <w:divBdr>
                <w:top w:val="none" w:sz="0" w:space="0" w:color="auto"/>
                <w:left w:val="none" w:sz="0" w:space="0" w:color="auto"/>
                <w:bottom w:val="none" w:sz="0" w:space="0" w:color="auto"/>
                <w:right w:val="none" w:sz="0" w:space="0" w:color="auto"/>
              </w:divBdr>
              <w:divsChild>
                <w:div w:id="1230654421">
                  <w:marLeft w:val="0"/>
                  <w:marRight w:val="0"/>
                  <w:marTop w:val="0"/>
                  <w:marBottom w:val="0"/>
                  <w:divBdr>
                    <w:top w:val="none" w:sz="0" w:space="0" w:color="auto"/>
                    <w:left w:val="none" w:sz="0" w:space="0" w:color="auto"/>
                    <w:bottom w:val="none" w:sz="0" w:space="0" w:color="auto"/>
                    <w:right w:val="none" w:sz="0" w:space="0" w:color="auto"/>
                  </w:divBdr>
                  <w:divsChild>
                    <w:div w:id="402797500">
                      <w:marLeft w:val="1"/>
                      <w:marRight w:val="1"/>
                      <w:marTop w:val="0"/>
                      <w:marBottom w:val="0"/>
                      <w:divBdr>
                        <w:top w:val="none" w:sz="0" w:space="0" w:color="auto"/>
                        <w:left w:val="none" w:sz="0" w:space="0" w:color="auto"/>
                        <w:bottom w:val="none" w:sz="0" w:space="0" w:color="auto"/>
                        <w:right w:val="none" w:sz="0" w:space="0" w:color="auto"/>
                      </w:divBdr>
                      <w:divsChild>
                        <w:div w:id="692609672">
                          <w:marLeft w:val="0"/>
                          <w:marRight w:val="0"/>
                          <w:marTop w:val="0"/>
                          <w:marBottom w:val="0"/>
                          <w:divBdr>
                            <w:top w:val="none" w:sz="0" w:space="0" w:color="auto"/>
                            <w:left w:val="none" w:sz="0" w:space="0" w:color="auto"/>
                            <w:bottom w:val="none" w:sz="0" w:space="0" w:color="auto"/>
                            <w:right w:val="none" w:sz="0" w:space="0" w:color="auto"/>
                          </w:divBdr>
                          <w:divsChild>
                            <w:div w:id="932782874">
                              <w:marLeft w:val="0"/>
                              <w:marRight w:val="0"/>
                              <w:marTop w:val="0"/>
                              <w:marBottom w:val="360"/>
                              <w:divBdr>
                                <w:top w:val="none" w:sz="0" w:space="0" w:color="auto"/>
                                <w:left w:val="none" w:sz="0" w:space="0" w:color="auto"/>
                                <w:bottom w:val="none" w:sz="0" w:space="0" w:color="auto"/>
                                <w:right w:val="none" w:sz="0" w:space="0" w:color="auto"/>
                              </w:divBdr>
                              <w:divsChild>
                                <w:div w:id="357128016">
                                  <w:marLeft w:val="0"/>
                                  <w:marRight w:val="0"/>
                                  <w:marTop w:val="0"/>
                                  <w:marBottom w:val="0"/>
                                  <w:divBdr>
                                    <w:top w:val="none" w:sz="0" w:space="0" w:color="auto"/>
                                    <w:left w:val="none" w:sz="0" w:space="0" w:color="auto"/>
                                    <w:bottom w:val="none" w:sz="0" w:space="0" w:color="auto"/>
                                    <w:right w:val="none" w:sz="0" w:space="0" w:color="auto"/>
                                  </w:divBdr>
                                  <w:divsChild>
                                    <w:div w:id="1858498678">
                                      <w:marLeft w:val="0"/>
                                      <w:marRight w:val="0"/>
                                      <w:marTop w:val="0"/>
                                      <w:marBottom w:val="0"/>
                                      <w:divBdr>
                                        <w:top w:val="none" w:sz="0" w:space="0" w:color="auto"/>
                                        <w:left w:val="none" w:sz="0" w:space="0" w:color="auto"/>
                                        <w:bottom w:val="none" w:sz="0" w:space="0" w:color="auto"/>
                                        <w:right w:val="none" w:sz="0" w:space="0" w:color="auto"/>
                                      </w:divBdr>
                                      <w:divsChild>
                                        <w:div w:id="1602836502">
                                          <w:marLeft w:val="0"/>
                                          <w:marRight w:val="0"/>
                                          <w:marTop w:val="0"/>
                                          <w:marBottom w:val="0"/>
                                          <w:divBdr>
                                            <w:top w:val="none" w:sz="0" w:space="0" w:color="auto"/>
                                            <w:left w:val="none" w:sz="0" w:space="0" w:color="auto"/>
                                            <w:bottom w:val="none" w:sz="0" w:space="0" w:color="auto"/>
                                            <w:right w:val="none" w:sz="0" w:space="0" w:color="auto"/>
                                          </w:divBdr>
                                          <w:divsChild>
                                            <w:div w:id="1580597380">
                                              <w:marLeft w:val="0"/>
                                              <w:marRight w:val="0"/>
                                              <w:marTop w:val="0"/>
                                              <w:marBottom w:val="0"/>
                                              <w:divBdr>
                                                <w:top w:val="none" w:sz="0" w:space="0" w:color="auto"/>
                                                <w:left w:val="none" w:sz="0" w:space="0" w:color="auto"/>
                                                <w:bottom w:val="none" w:sz="0" w:space="0" w:color="auto"/>
                                                <w:right w:val="none" w:sz="0" w:space="0" w:color="auto"/>
                                              </w:divBdr>
                                              <w:divsChild>
                                                <w:div w:id="118856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0321803">
      <w:bodyDiv w:val="1"/>
      <w:marLeft w:val="0"/>
      <w:marRight w:val="0"/>
      <w:marTop w:val="0"/>
      <w:marBottom w:val="0"/>
      <w:divBdr>
        <w:top w:val="none" w:sz="0" w:space="0" w:color="auto"/>
        <w:left w:val="none" w:sz="0" w:space="0" w:color="auto"/>
        <w:bottom w:val="none" w:sz="0" w:space="0" w:color="auto"/>
        <w:right w:val="none" w:sz="0" w:space="0" w:color="auto"/>
      </w:divBdr>
    </w:div>
    <w:div w:id="1701853146">
      <w:bodyDiv w:val="1"/>
      <w:marLeft w:val="0"/>
      <w:marRight w:val="0"/>
      <w:marTop w:val="0"/>
      <w:marBottom w:val="0"/>
      <w:divBdr>
        <w:top w:val="none" w:sz="0" w:space="0" w:color="auto"/>
        <w:left w:val="none" w:sz="0" w:space="0" w:color="auto"/>
        <w:bottom w:val="none" w:sz="0" w:space="0" w:color="auto"/>
        <w:right w:val="none" w:sz="0" w:space="0" w:color="auto"/>
      </w:divBdr>
    </w:div>
    <w:div w:id="1934897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DA/AUTO/?uri=OJ:C:2011:363:TOC" TargetMode="External"/><Relationship Id="rId2" Type="http://schemas.openxmlformats.org/officeDocument/2006/relationships/hyperlink" Target="https://eur-lex.europa.eu/legal-content/DA/AUTO/?uri=OJ:L:2016:161:TOC" TargetMode="External"/><Relationship Id="rId1" Type="http://schemas.openxmlformats.org/officeDocument/2006/relationships/hyperlink" Target="http://ec.europa.eu/taxation_customs/common/publications/studies/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E968F-6A9D-45B4-A3F5-3F16B467F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7</Pages>
  <Words>1606</Words>
  <Characters>9993</Characters>
  <Application>Microsoft Office Word</Application>
  <DocSecurity>0</DocSecurity>
  <Lines>203</Lines>
  <Paragraphs>113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lpstr>
    </vt:vector>
  </TitlesOfParts>
  <Manager/>
  <Company/>
  <LinksUpToDate>false</LinksUpToDate>
  <CharactersWithSpaces>11486</CharactersWithSpaces>
  <SharedDoc>false</SharedDoc>
  <HLinks>
    <vt:vector size="6" baseType="variant">
      <vt:variant>
        <vt:i4>5242891</vt:i4>
      </vt:variant>
      <vt:variant>
        <vt:i4>0</vt:i4>
      </vt:variant>
      <vt:variant>
        <vt:i4>0</vt:i4>
      </vt:variant>
      <vt:variant>
        <vt:i4>5</vt:i4>
      </vt:variant>
      <vt:variant>
        <vt:lpwstr>http://ec.europa.eu/taxation_customs/common/publications/studies/index_en.htm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2019-03-29T10:39:00Z</cp:lastPrinted>
  <dcterms:created xsi:type="dcterms:W3CDTF">2019-04-10T11:27:00Z</dcterms:created>
  <dcterms:modified xsi:type="dcterms:W3CDTF">2019-04-30T07:56:00Z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5.8.22.0</vt:lpwstr>
  </property>
  <property fmtid="{D5CDD505-2E9C-101B-9397-08002B2CF9AE}" pid="4" name="Created using">
    <vt:lpwstr>LW 5.8, Build 20110311</vt:lpwstr>
  </property>
  <property fmtid="{D5CDD505-2E9C-101B-9397-08002B2CF9AE}" pid="5" name="Last edited using">
    <vt:lpwstr>LW 6.0.1, Build 20180503</vt:lpwstr>
  </property>
  <property fmtid="{D5CDD505-2E9C-101B-9397-08002B2CF9AE}" pid="6" name="_NewReviewCycle">
    <vt:lpwstr/>
  </property>
  <property fmtid="{D5CDD505-2E9C-101B-9397-08002B2CF9AE}" pid="7" name="LWTemplateID">
    <vt:lpwstr>SJ-016</vt:lpwstr>
  </property>
  <property fmtid="{D5CDD505-2E9C-101B-9397-08002B2CF9AE}" pid="8" name="Part">
    <vt:lpwstr>1</vt:lpwstr>
  </property>
  <property fmtid="{D5CDD505-2E9C-101B-9397-08002B2CF9AE}" pid="9" name="Total parts">
    <vt:lpwstr>1</vt:lpwstr>
  </property>
  <property fmtid="{D5CDD505-2E9C-101B-9397-08002B2CF9AE}" pid="10" name="Level of sensitivity">
    <vt:lpwstr>Standard treatment</vt:lpwstr>
  </property>
  <property fmtid="{D5CDD505-2E9C-101B-9397-08002B2CF9AE}" pid="11" name="DQCStatus">
    <vt:lpwstr>Green (DQC version 03)</vt:lpwstr>
  </property>
</Properties>
</file>