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63D0ADF-96EC-45D8-BC20-DD1D18BD833D" style="width:455.25pt;height:387.75pt">
            <v:imagedata r:id="rId9" o:title=""/>
          </v:shape>
        </w:pict>
      </w:r>
    </w:p>
    <w:p>
      <w:pPr>
        <w:spacing w:before="0" w:after="200" w:line="276" w:lineRule="auto"/>
        <w:jc w:val="left"/>
        <w:rPr>
          <w:b/>
          <w:noProof/>
          <w:u w:val="single"/>
        </w:rPr>
      </w:pPr>
      <w:bookmarkStart w:id="0" w:name="_GoBack"/>
      <w:bookmarkEnd w:id="0"/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lastRenderedPageBreak/>
        <w:t xml:space="preserve">BILAG </w:t>
      </w:r>
    </w:p>
    <w:tbl>
      <w:tblPr>
        <w:tblStyle w:val="Listtable"/>
        <w:tblW w:w="10130" w:type="dxa"/>
        <w:tblLook w:val="0000" w:firstRow="0" w:lastRow="0" w:firstColumn="0" w:lastColumn="0" w:noHBand="0" w:noVBand="0"/>
      </w:tblPr>
      <w:tblGrid>
        <w:gridCol w:w="640"/>
        <w:gridCol w:w="1037"/>
        <w:gridCol w:w="605"/>
        <w:gridCol w:w="5003"/>
        <w:gridCol w:w="949"/>
        <w:gridCol w:w="954"/>
        <w:gridCol w:w="942"/>
      </w:tblGrid>
      <w:tr>
        <w:trPr>
          <w:cantSplit/>
          <w:tblHeader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Løbenr.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KN-kode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TARIC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Varebeskrivelse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Kontingent-periode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Kontingent-mængde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Kontingent-toldsats (%)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09.2637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0710 40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2005 80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Majskolber (Zea Mays Saccharata), også i stykker, med en diameter på 10 mm eller derover, men ikke over 20 mm, til brug ved fremstilling af produkter i fødevareindustrien ved anden behandling end blot ompakning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550 tons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 </w:t>
            </w:r>
            <w:r>
              <w:rPr>
                <w:rStyle w:val="FootnoteReference"/>
                <w:noProof/>
              </w:rPr>
              <w:t>(3)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0710 80 69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Svampe af arten Auricularia polytricha, også vand- eller dampkogte, frosne, til fremstilling af færdigretter </w:t>
            </w:r>
            <w:r>
              <w:rPr>
                <w:rStyle w:val="FootnoteReference"/>
                <w:noProof/>
              </w:rPr>
              <w:t>(1)(2)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2008 60 39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Sødkirsebær, tilsat alkohol, med indhold af sukker på ikke over 9 vægtprocent, med diameter ikke over 19,9mm, med sten, til anvendelse i chokoladevarer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09.2740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2309 90 31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2309 90 96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Sojabønneproteinkoncentrat med indhold af: 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01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råprotein på 60 vægtprocent (± 10 vægtprocent) 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træstof på 5 vægtprocent (± 3 vægtprocent) 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råaske på 5 vægtprocent (± 3 vægtprocent)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stivelse på 3 vægtprocent eller derover, men ikke over 6,9 vægtprocent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fremstilling af foderprodukter til dyr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30 000 tons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09.2913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35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70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10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35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70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2401 20 95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Tobak, rå eller ufabrikeret, også udstanset i regelmæssig form, af toldværdi ikke under 450 euro/100 kg netto, til anvendelse som ydre dækblad eller som omblad ved fremstilling af varer henhørende under pos. 2402 10 00 </w:t>
            </w: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tons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2712 20 90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Paraffinvoks med indhold af olie på under 0,75 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2712 90 39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Råparaffin (CAS RN 64742-61-6)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2811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Silikafyldstof i granulatform, med et indhold af siliciumdioxid på 97 % og derover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09.2806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2825 90 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Wolframtrioxid, inkl. wolframblåoxid (CAS RN 1314-35-8 eller CAS RN 39318-18-8)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2833 29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Cæsiumsulfat (CAS RN 10294-54-9) i fast form eller i vandig opløsning med indhold af cæsiumsulfat på 48 vægtprocent eller derover, men ikke over 52 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160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09.2929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2903 22 00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Triklorethylen (CAS RN 79-01-6)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2903 79 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Bromchlormethan (CAS RN 74-97-5)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09.2933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1,3-Dichlorobenzen (CAS RN 541-73-1)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2 600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2905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Propan-1-ol (propylalkohol) (CAS RN 71-23-8)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2906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Cyclopropylmethanol (CAS RN 2516-33-8)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2907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O-cresol (CAS RN 95-48-7) med en renhed på 98,5 vægtprocent og derover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2909 49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2,2,2',2'-Tetrakis(hydroxymetyl)-3,3'-oxydipropan-1-ol (CAS RN 126-58-9)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2912 42 00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Ethylvanillin (3-ethoxy-4-hydroxybenzaldehyd) (CAS RN 121-32-4) 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1 950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2914 19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Calcium acetylacetonat (CAS RN 19372-44-2) til anvendelse ved fremstilling af stabilisatorsystemer i tabletform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2914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Cyclopropylmethylketon (CAS RN 765-43-5)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2915 21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Eddikesyre (CAS RN 64-19-7) af renhed på 99 vægtprocent og derover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09.2972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2915 24 00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Eddikesyreanhydrid (CAS RN 108-24-7)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2915 32 00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Vinylacetat (CAS RN 108-05-4)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2915 90 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Ethyltrifluoracetat (CAS RN 383-63-1)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2916 19 95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Kalium-(E,E)-hexa-2,4-dienoat (CAS RN 24634-61-5)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8 250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2916 39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2,5-dimethylphenylacetylchlorid (CAS RN 55312-97-5)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Diethyloxalat (CAS RN 95-92-1)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09.2769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13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Dimethylsebacat (CAS RN 106-79-6)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2917 19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Dodecandisyre (CAS RN 693-23-2), af renhed på over 98,5 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4 600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09.2808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O-acetylsalicylsyre (CAS RN 50-78-2)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Octadecyl-3-(3,5-di-tert-butyl-4-hydroxyfenyl)propionat (CAS RN 2082-79-3) med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sigtet gennemfald på over 99 vægtprocent ved maskevidden 500 μm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smeltepunkt på 49 °C eller derover, men ikke over 54 °C,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fremstilling af "one pack"-stabilisatorer baseret på pulverblandinger (pulver eller pressegranulat) til forarbejdning af PVC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380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Pentaerythritoltetrakis(3-(3,5-di-tert-butyl-4-hydroxyphenyl)propionat) (CAS RN 6683-19-8)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et sigtet gennemfald på over 75 vægtprocent ved maskevidden 250 μm og over 99 vægtprocent ved maskevidden 500 μm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smeltepunkt på 110 °C eller derover, men ikke over 125 °C,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fremstilling af "one pack"-stabilisatorer baseret på pulverblandinger (pulver eller pressegranulat) til forarbejdning af PVC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140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2918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Benzophenon-3,3’,4,4’-tetracarboxylsyredianhydrid (CAS RN 2421-28-5)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2920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Tris(2,4-di-tert-butylphenyl)phosphit (CAS RN 31570-04-4)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2920 90 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Dimethylsulfat (CAS RN 77-78-1)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18 000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19 99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Octadecylamin (CAS RN 124-30-1)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Bis(2-dimethylaminoethyl)(methyl)amin (CAS RN 3030-47-5)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Anilin (CAS RN 62-53-3) af renhed på 99 vægtprocent og derover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09.2617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42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4-fluor-N-(1-methylethyl)benzenamin (CAS RN 70441-63-3)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09.2602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51 19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O-phenylendiamin (CAS RN 95-54-5)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1 800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2921 59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4,4'-methandiyldianilin (CAS RN 101-77-9) i form af granulat, til brug ved fremstilling af præpolymerer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2924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Iodprop-3-2-ynyl N-butylcarbamat (CAS RN 55406-53-6)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2924 29 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Paracetamol (INN) (CAS RN 103-90-2)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09.2742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2926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Acrylonitril (CAS RN 107-13-1), til brug ved fremstilling af varer henhørende under kapitel 55 og pos. 6815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2926 90 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2-Nitro-4-(trifluormethyl)benzonitril (CAS RN 778-94-9)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09.2708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2928 00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Monometylhydrazin (CAS RN 60-34-4) i form af en vandig opløsning med et indhold af monometylhydrazin på 40 (± 5) 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2929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Nitroguanidin (CAS RN 556-88-7)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6 500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2930 90 98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Bis[3-(triethoxysilyl)propyl]disulfid (CAS RN 56706-10-6)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2930 90 98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2-Chlor-4-(methylsulfonyl)-3-((2,2,2-trifluorethoxy)methyl)benzoesyre (CAS RN 120100-77-8)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2932 12 00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2-Furaldehyd (furfuraldehyd)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09.2955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Flurtamon (ISO) (CAS RN 96525-23-4)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Decan-5-olid (CAS RN 705-86-2)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Dodecan-5-olid (CAS RN 713-95-1)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2932 20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Hexan-6-olid (CAS RN 502-44-3)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2932 93 00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Piperonal (CAS RN 120-57-0)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220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29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Enzalutamid (INN) (CAS RN 915087-33-1)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39 99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2,2,6,6-tetramethylpiperidin-4-ol (CAS RN 2403-88-5)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39 99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Chlorpyrifos (ISO) (CAS RN 2921-88-2)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59 95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Ibrutinib (INN) (CAS RN 936563-96-1)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69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1,3,5-Tris[3-(dimethylamino)propyl]hexahydro-1,3,5-triazin (CAS RN 15875-13-5)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1,4,7,10-Tetraazacyclododecan (CAS RN 294-90-6)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2933 99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5-(Acetoacetylamino)benzimidazol (CAS RN 26576-46-5)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  <w:lang w:val="en-GB"/>
              </w:rPr>
              <w:t>4-[[(2-Methoxybenzoyl)amino]sulfonyl]benzoyl chlorid (CAS RN 816431-72-8)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2935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2,4,4-Trimetylpentan-2-aminium (3R,5S,E)-7-(4-(4-fluorfenyl)-6-isopropyl-2-(N-metylmetylsulfonamido)pyrimidin-5-yl)-3,5-dihydroxyhept-6-enoat (CAS RN 917805-85-7)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 kg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09.2945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2940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D-Xylose (CAS RN 58-86-6)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Farvestof C.I. Disperse Yellow 54 (CAS RN 7576-65-0 ) og præparater på basis deraf med et indhold af farvestof C.I. Disperse Yellow 54 på 99 vægtprocent og derover 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17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Præparater på basis af farvestoffet C.I. Pigment Red 48:2 (CAS RN 7023-61-2) med et indhold heraf på 60 vægtprocent eller derover, men på mindre end 85 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3204 17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Farvestof C.I. Pigment Red 4 (CAS RN 2814-77-9) og præparater på basis deraf med et indhold af farvestof C.I. Pigment Red 4 på 60 vægtprocent og derover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3802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Diatoméjord kalcineret med sodaflusmiddel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3804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Natriumligninsulfonat (CAS RN 8061-51-6)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40 000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3805 10 90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Sulfatterpentin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09.2935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3806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Colophonium og harpikssyrer af fyrreharpiks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280 000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3808 92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Et præparat, der indeholder 38 % og derover, men ikke over 50 vægtprocent af pyrithionzink (INN) (CAS RN 13463-41-7) i en vandig dispersion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09.2876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3811 29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Tilsætningsstoffer, der består af reaktionsprodukter af diphenylamin og forgrenede nonener: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indeholdende over 28 vægtprocent, men ikke over 55 vægtprocent 4-monononyldiphenylamin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indeholdende over 45 vægtprocent, men ikke over 65 vægtprocent 4,4’-dinonyldiphenylamin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indeholdende ikke over 5 vægtprocent 2,4-dinonyldiphenylamin og 2,4’-dinonyldiphenylamin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anvendes i fremstillingen af smøreolier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3815 90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Katalysator, bestående af titandioxid og wolframtrioxid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79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Blandinger med indhold af: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60 vægtprocent eller derover, men ikke over 90 vægtprocent 2-chlorpropen (CAS RN 557-98-2)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8 vægtprocent eller derover, men ikke over 14 vægtprocent (Z)-1-chlorpropen (CAS RN 16136-84-8)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5 vægtprocent eller derover, men ikke over 23 vægtprocent 2-chlorpropan (CAS RN 75-29-6)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ikke over 6 vægtprocent 3-chlorpropen (CAS RN 107-05-1),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ikke over 1 vægtprocent ethylchlorid (CAS RN 75-00-3)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Tilberedning med indhold efter vægt af: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90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dimethylglutarat på 55 % eller derover, men ikke over 78 %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dimethyladipat 10 % eller derover, men ikke over 30 %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dimethylsuccinat på ikke over 35 %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09.2681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Blanding af bis[3-(triethoxysilyl)propyl]sulfider (CAS RN 211519-85-6)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9 000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Acetophenon (CAS RN 98-86-2) af renhed på 60 vægtprocent eller derover, men ikke over 90 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09.2888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Blanding af tertiære alkyldimetylaminer med indhold af: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dodecyldimetylamin (CAS RN 112-18-5) på 60 vægtprocent eller derover, men ikke over 80 vægtprocent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dimetyl(tetradecyl)amin (CAS RN 112-75-4) på 20 vægtprocent eller derover, men ikke over 30 vægtprocent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09.2829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Ekstrakt i fast form, uopløselig i alifatiske opløsningsmidler, af biprodukter fremkommet ved ekstraktion af colophonium fra træ, med følgende karakteristika: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522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indhold af harpikssyre på 30 vægtprocent og derunder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syretal på 110 og derunder,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og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2253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smeltepunkt på 100° C og derover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1 600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3824 99 93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Blanding af plantesteroler i pulverform, indeholdende: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2424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75 vægtprocent steroler eller derover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ikke over 25 vægtprocent stanoler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fremstilling af stanoler/steroler eller stanol/sterolestere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2 500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3905 30 00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Poly(vinylalkohol), også med indhold af ikke-hydrolyserede acetatgrupper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3905 99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Poly(vinylbutyral) (CAS RN 63148-65-2):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indhold af hydroxylgrupper på 17,5 vægtprocent og derover, men ikke over 20 vægtprocent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medianpartikelstørrelse (D50) over 0,6mm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12 500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3907 40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Polymerblanding af polycarbonat og poly(methyl-methacrylat) med indhold af polycarbonat på 98,5 vægtprocent eller derover, i form af pellets eller granulat, med en lystransmission på 88,5 % eller derover, målt på et 4 mm tykt prøveemne med en bølgelængde λ = 400 nm (i henhold til ISO 13468-2)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3911 90 19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Poly(oxy-1,4-phenylensulfonyl-1,4-phenylenoxy-4,4’-biphenylen)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med virkning fra 1.1.2018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09.2816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3912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Flager af celluloseacetat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75 000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3913 10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Natriumalginat, udvundet af brunalger (CAS RN 9005-38-3)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3913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Natriumhyaluronat, ikke sterilt, med: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massevægtet gennemsnitsmolekylvægt (M</w:t>
                  </w:r>
                  <w:r>
                    <w:rPr>
                      <w:noProof/>
                      <w:vertAlign w:val="subscript"/>
                    </w:rPr>
                    <w:t>w</w:t>
                  </w:r>
                  <w:r>
                    <w:rPr>
                      <w:noProof/>
                    </w:rPr>
                    <w:t>) på ikke over 900 000,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indhold af endotoxiner på ikke over 0,008 endotoxinenheder (EU) pr. mg,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indhold af ethanol på ikke over 1 vægtprocent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indhold af isopropanol på ikke over 0,5 vægtprocent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 kg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3920 51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Plader af polymetylmetacrylat, der overholder følgende standarder: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3055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4364 (MIL-P-5425E) og DTD5592A, eller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4365 (MIL-P-8184) og DTD5592A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09.2645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3921 14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Celleblokke af celluloseregenerater, som er imprægneret med vand med indhold af magnesiumchlorid og kvaternær ammoniumforbindelse, og som måler 100 cm (± 10 cm) x 100 cm (± 10 cm) x 40 cm (± 5 cm)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1 700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5505 10 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Affald af syntetiske fibre (herunder kæmlinge, garnaffald og opkradset tekstilmateriale) af nylon eller andre polyamider (PA6 og PA66)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5906 99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Vævet og lamineret tekstilstof, gummeret, med følgende egenskaber: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tre lag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det ene yderlag består af akryl 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det andet yderlag består af polyester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mellemlaget består af klorbutylgummi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mellemlaget har en vægt på 452 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 xml:space="preserve"> eller derover, men ikke over 569 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tekstilstoffet har en samlet vægt på 952 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</w:rPr>
                    <w:t xml:space="preserve"> eller derover, men ikke over 1159 g/m</w:t>
                  </w:r>
                  <w:r>
                    <w:rPr>
                      <w:noProof/>
                      <w:vertAlign w:val="superscript"/>
                    </w:rPr>
                    <w:t>2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tekstilstoffet har en samlet tykkelse på 0,8 mm eller derover, men ikke over 4 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anvendes til fremstilling af foldetag til motorkøretøjer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375 000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09.2594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6909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Absorptionselement af keramik og kulstof: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ekstruderet, brændt, keramisk bundet, multicellulær, cylindrisk struktur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10 vægtprocent eller derover, men ikke over 30 vægtprocent aktivt kul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70 vægtprocent eller derover, men ikke over 90 vægtprocent keramisk bindemiddel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diameter på 29 mm eller derover, men ikke over 41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længde på ikke over 150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brændt ved en temperatur på 800 °C eller derover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til dampadsorption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af den art der anvendes til samling i brændstofdampabsorberende anordninger i motorkøretøjers brændstofsystemer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1.7.-31.12.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09.2866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12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12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Rovings af S-glas: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bestående af endeløse glasfilamenter på 9 μm (± 0,5 µm)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af finhed på 200 tex og derover, men ikke over 680 tex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uden indhold af calciumoxid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brudstyrke på mere end 3 550 MPa bestemt ved ASTM D2343-09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fremstilling af luftfartskomponenter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7019 52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Fiberdug vævet af glasfiber belagt med plast, af vægt 120 g/m² (± 10 g/m²), sædvanligvis anvendt til fremstilling af insektnet i form af rullenet eller net på fast ramme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09.2799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7202 49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Ferrochrom, med indhold af kulstof på 1,5 vægtprocent og derover, men ikke over 4 vægtprocent, og med indhold af chrom på 70 vægtprocent og derunder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09.2652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7409 11 00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7410 11 00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Folie og bånd af raffineret kobber, elektrolytisk belagt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1 020 tons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7409 19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Plader eller ark bestående af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et lag siliciumnitrid med en tykkelse på 0,32 mm (± 0,1 mm) eller derover, men ikke over 1,0 (± 0,1 mm)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overtrukket på begge sider med en kobberfolie med en tykkelse på 0,8 mm (± 0,1 mm)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delvist belagt på den ene side med en sølvbelægning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7 000 000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7410 21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Plader: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bestående af mindst ét lag glasfibervæv, der er imprægneret med epoxyharpiks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belagt på den ene eller begge sider med kobberfolie af en tykkelse på ikke over 0,15 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dielektricitetskonstant (DK) på under 5,4 ved 1 MHz målt i henhold til IPC-TM-650 2.5.5.2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tabsfaktor på mindre end 0,035 ved 1 MHz målt i henhold til IPC-TM-650 2.5.5.2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modstandsdygtighed mod krybestrøm (CTI) på 600 eller derover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80 000 m²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7604 29 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Stænger af aluminiumslegeringer med en diameter på 200 mm eller derover, men ikke over 300 mm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09.2835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7604 29 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Stænger af aluminiumslegeringer med en diameter på 300,1 mm eller derover, men ikke over 533,4 mm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7607 11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Bånd eller folie af en legering af aluminium og magnesium: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af en legering, der opfylder standard 5182-H19 eller 5052-H19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i ruller med en ydre diameter på mindst 1 250 mm, men ikke over 1 350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tykkelse (tolerance på – 0,006 mm) på 0,15 mm, 0,16 mm, 0,18 mm eller 0,20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bredde (tolerance på ± 0,3 mm) på 12,5 mm, 15,0 mm, 16,0 mm, 25,0 mm, 35,0 mm, 50,0 mm eller 356 mm 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krumningstolerance på ikke over 0,4 mm/750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et planhedsmål på I-enhed ± 4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trækstyrke på over (5182-H19) 365 MPa eller (5052-H19) 320 MPa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A50-forlængelse på over (5182-H19) 3 % eller (5052-H19) 2,5 %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fremstilling af lameller til persienner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09.2906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7609 00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Rørfittings til fastgøring på motorcykelkølere, af aluminium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3 000 000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09.2722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8104 11 00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Ubearbejdet magnesium, med indhold af magnesium på mindst 99,8 vægtprocent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80 000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8104 30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Magnesiumpulver: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af renhed på 98 vægtprocent og derover, men ikke over 99,5 vægtprocent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partikelstørrelse på 0,2 mm eller derover, men ikke over 0,8 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 tons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09.2629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8302 49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Teleskophåndtag af aluminium, til fremstilling af bagage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1 500 000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8413 91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Pumpehoved til højtrykspumpe med to cylindre, af smedestål, med: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fræsede gevindfittings med en diameter på 10 mm eller derover, men ikke over 36,8 mm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borede brændselskanaler med en diameter på 3,5 mm eller derover, men ikke over 10 mm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af den art der anvendes i dieselindsprøjtningssystemer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65 000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09.2850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8414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Kompressorhjul af aluminiumlegering med: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14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diameter på 20 mm eller derover, men ikke over 130 mm,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en vægt på 5 g eller derover, men ikke over 800 g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brug ved samling af turboladere uden yderligere bearbejdning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5 900 000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09.2909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8481 80 85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Udstødningsventil til brug ved fremstilling af udstødningssystemer til motorcykler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09.2738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8482 99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Messingbure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465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strengstøbte eller centrifugalt støbte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drejede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indhold af tin på 35 vægtprocent eller derover, men ikke over 38 vægtprocent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indhold af bly på 0,75 vægtprocent eller derover, men ikke over 1,25 vægtprocent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indhold af aluminium på 1,0 vægtprocent eller derover, men ikke over 1,4 vægtprocent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med en trækstyrke på 415 Pa eller derover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af den art der anvendes til fremstilling af kuglelejer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8483 30 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Glideleje til aksiale anvendelser, af stål med betegnelsen FeP01 (i henhold til EN 10130-1991) med et glidelag af porøs sintret bronze og poly(tetrafluorethylen), beregnet til montering i støddæmpere til motorcykler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1 500 000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09.2763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8501 40 20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8501 40 80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Elektrisk vekselstrømskommutatormotor, enfaset, med effekt på 250 W eller derover, med en indgangseffekt på 700 W eller derover, men ikke over 2 700 W, med en ydre diameter på over 120 mm (± 0,2 mm), men ikke over 135 mm (± 0,2 mm), med nominelt omdrejningstal på mere end 30 000 omdr./min, men ikke over 50 000 omdr./min, udstyret med ventilator til luftindtag, til brug ved fremstilling af støvsugere</w:t>
            </w:r>
          </w:p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(2)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2 000 000 stk.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09.2672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8529 90 92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9405 40 39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Trykt kredsløbskort med lysdioder:</w:t>
            </w:r>
          </w:p>
          <w:tbl>
            <w:tblPr>
              <w:tblStyle w:val="Listdash"/>
              <w:tblW w:w="0" w:type="auto"/>
              <w:tblLook w:val="0000" w:firstRow="0" w:lastRow="0" w:firstColumn="0" w:lastColumn="0" w:noHBand="0" w:noVBand="0"/>
            </w:tblPr>
            <w:tblGrid>
              <w:gridCol w:w="220"/>
              <w:gridCol w:w="2198"/>
            </w:tblGrid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også med prisme/linse og</w:t>
                  </w:r>
                </w:p>
              </w:tc>
            </w:tr>
            <w:tr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—</w:t>
                  </w:r>
                </w:p>
              </w:tc>
              <w:tc>
                <w:tcPr>
                  <w:tcW w:w="0" w:type="auto"/>
                </w:tcPr>
                <w:p>
                  <w:pPr>
                    <w:pStyle w:val="Paragraph"/>
                    <w:rPr>
                      <w:noProof/>
                    </w:rPr>
                  </w:pPr>
                  <w:r>
                    <w:rPr>
                      <w:noProof/>
                    </w:rPr>
                    <w:t>også monteret med konnektor(er)</w:t>
                  </w:r>
                </w:p>
              </w:tc>
            </w:tr>
          </w:tbl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til fremstilling af baggrundsbelysningsenheder til varer henhørende under pos. 8528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115 000 000 stk.</w:t>
            </w: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09.2003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8543 70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Spændingsstyret frekvensgenerator, der består af aktive og passive komponenter, som er monteret på et trykt kredsløb anbragt i en indkapsling, hvis dimensioner ikke overstiger 30 mm x 30 mm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1 400 000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09.2910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8708 99 97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Støttekonsol af aluminiumlegering, med monteringshuller, også med fastgørelsesmøtrikker, til indirekte forbindelse af gearkassen med karosseriet, til brug ved fremstilling af varer henhørende under kapitel 87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09.2694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Akselklemmer, afskærmninger, gaffelbroer og klemmestykker af aluminiumlegering, af den art der anvendes i motorcykler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1 000 000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09.2868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10 90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Stempler til affjedringssystemer med en diameter på højst 55 mm af sinterstål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2 000 000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09.2668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8714 91 10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Cykelstel i kulstoffibre og kunstharpiks til brug ved fremstilling af cykler (herunder e-cykler)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350 000 stk.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  <w:p>
            <w:pPr>
              <w:pStyle w:val="Paragraph"/>
              <w:rPr>
                <w:noProof/>
              </w:rPr>
            </w:pPr>
          </w:p>
          <w:p>
            <w:pPr>
              <w:pStyle w:val="Paragraph"/>
              <w:rPr>
                <w:noProof/>
              </w:rPr>
            </w:pPr>
          </w:p>
        </w:tc>
      </w:tr>
      <w:tr>
        <w:tc>
          <w:tcPr>
            <w:tcW w:w="0" w:type="auto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09.2631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right"/>
              <w:rPr>
                <w:noProof/>
              </w:rPr>
            </w:pPr>
            <w:r>
              <w:rPr>
                <w:noProof/>
              </w:rPr>
              <w:t>ex 9001 90 00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Uindfattede glaslinser, prismer og sammenklæbede elementer til brug ved fremstilling eller reparation af varer henhørende under KN-kode 9002, 9005, 9013 10 og 9015 </w:t>
            </w: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1.1.-31.12.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5 000 000 stk.</w:t>
            </w:r>
          </w:p>
        </w:tc>
        <w:tc>
          <w:tcPr>
            <w:tcW w:w="0" w:type="auto"/>
            <w:tcBorders>
              <w:left w:val="single" w:sz="2" w:space="0" w:color="auto"/>
            </w:tcBorders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0 %</w:t>
            </w:r>
          </w:p>
        </w:tc>
      </w:tr>
    </w:tbl>
    <w:p>
      <w:pPr>
        <w:rPr>
          <w:noProof/>
        </w:rPr>
      </w:pPr>
    </w:p>
    <w:tbl>
      <w:tblPr>
        <w:tblStyle w:val="Notestable"/>
        <w:tblW w:w="0" w:type="auto"/>
        <w:tblLayout w:type="fixed"/>
        <w:tblLook w:val="0000" w:firstRow="0" w:lastRow="0" w:firstColumn="0" w:lastColumn="0" w:noHBand="0" w:noVBand="0"/>
      </w:tblPr>
      <w:tblGrid>
        <w:gridCol w:w="425"/>
        <w:gridCol w:w="8821"/>
      </w:tblGrid>
      <w:tr>
        <w:tc>
          <w:tcPr>
            <w:tcW w:w="425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(1)</w:t>
            </w:r>
          </w:p>
        </w:tc>
        <w:tc>
          <w:tcPr>
            <w:tcW w:w="8821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Toldsuspensionen finder dog ikke anvendelse, når behandlingen foretages af detailforretninger eller restaurationer.</w:t>
            </w:r>
          </w:p>
        </w:tc>
      </w:tr>
      <w:tr>
        <w:tc>
          <w:tcPr>
            <w:tcW w:w="425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(2)</w:t>
            </w:r>
          </w:p>
        </w:tc>
        <w:tc>
          <w:tcPr>
            <w:tcW w:w="8821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Denne toldsuspension forudsætter toldtilsyn med den særlige anvendelse i overensstemmelse med artikel 254 i Europa-Parlamentets og Rådets forordning (EU) nr. 952/2013 af 9. oktober 2013 om EU-toldkodeksen (EUT L 269 af 10.10.2013, s. 1).</w:t>
            </w:r>
          </w:p>
        </w:tc>
      </w:tr>
      <w:tr>
        <w:tc>
          <w:tcPr>
            <w:tcW w:w="425" w:type="dxa"/>
          </w:tcPr>
          <w:p>
            <w:pPr>
              <w:pStyle w:val="Paragraph"/>
              <w:rPr>
                <w:noProof/>
              </w:rPr>
            </w:pPr>
            <w:r>
              <w:rPr>
                <w:rStyle w:val="FootnoteReference"/>
                <w:noProof/>
              </w:rPr>
              <w:t>(3)</w:t>
            </w:r>
          </w:p>
        </w:tc>
        <w:tc>
          <w:tcPr>
            <w:tcW w:w="8821" w:type="dxa"/>
          </w:tcPr>
          <w:p>
            <w:pPr>
              <w:pStyle w:val="Paragraph"/>
              <w:rPr>
                <w:noProof/>
              </w:rPr>
            </w:pPr>
            <w:r>
              <w:rPr>
                <w:noProof/>
              </w:rPr>
              <w:t>Kun værditolden suspenderes. Den specifikke toldsats finder fortsat anvendelse.</w:t>
            </w:r>
          </w:p>
        </w:tc>
      </w:tr>
    </w:tbl>
    <w:p>
      <w:pPr>
        <w:rPr>
          <w:noProof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17" w:bottom="1134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92ADF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73E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0A84C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102D8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846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1A2C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F426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A145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30 10:00:3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til"/>
    <w:docVar w:name="LW_ACCOMPAGNANT.CP" w:val="til"/>
    <w:docVar w:name="LW_ANNEX_NBR_FIRST" w:val="1"/>
    <w:docVar w:name="LW_ANNEX_NBR_LAST" w:val="1"/>
    <w:docVar w:name="LW_ANNEX_UNIQUE" w:val="1"/>
    <w:docVar w:name="LW_CONST_RESTREINT_UE" w:val="RESTREINT UE/EU RESTRICTED"/>
    <w:docVar w:name="LW_CORRIGENDUM" w:val="&lt;UNUSED&gt;"/>
    <w:docVar w:name="LW_COVERPAGE_EXISTS" w:val="True"/>
    <w:docVar w:name="LW_COVERPAGE_GUID" w:val="B63D0ADF-96EC-45D8-BC20-DD1D18BD833D"/>
    <w:docVar w:name="LW_COVERPAGE_TYPE" w:val="1"/>
    <w:docVar w:name="LW_CROSSREFERENCE" w:val="&lt;UNUSED&gt;"/>
    <w:docVar w:name="LW_DocType" w:val="ANNEX"/>
    <w:docVar w:name="LW_EMISSION" w:val="2.5.2019"/>
    <w:docVar w:name="LW_EMISSION_ISODATE" w:val="2019-05-02"/>
    <w:docVar w:name="LW_EMISSION_LOCATION" w:val="BRX"/>
    <w:docVar w:name="LW_EMISSION_PREFIX" w:val="Bruxelles, den 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ændring af forordning (EU) nr. 1388/2013 om åbning og forvaltning af autonome EU-toldkontingenter for visse landbrugs- og industriprodukter"/>
    <w:docVar w:name="LW_OBJETACTEPRINCIPAL.CP" w:val="om ændring af forordning (EU) nr. 1388/2013 om åbning og forvaltning af autonome EU-toldkontingenter for visse landbrugs- og industriprodukter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"/>
    <w:docVar w:name="LW_TYPE.DOC.CP" w:val="BILAG"/>
    <w:docVar w:name="LW_TYPEACTEPRINCIPAL" w:val="Forslag til Rådets forordning"/>
    <w:docVar w:name="LW_TYPEACTEPRINCIPAL.CP" w:val="Forslag til Rådets fo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link w:val="ParagraphChar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link w:val="TextChar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link w:val="SUSPparagraphChar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Pr>
      <w:rFonts w:ascii="Times New Roman" w:eastAsia="Times New Roman" w:hAnsi="Times New Roman"/>
      <w:sz w:val="16"/>
    </w:rPr>
  </w:style>
  <w:style w:type="character" w:customStyle="1" w:styleId="ParagraphChar">
    <w:name w:val="Paragraph Char"/>
    <w:basedOn w:val="TextChar"/>
    <w:link w:val="Paragraph"/>
    <w:rPr>
      <w:rFonts w:ascii="Times New Roman" w:eastAsia="Times New Roman" w:hAnsi="Times New Roman" w:cs="Times New Roman"/>
      <w:sz w:val="16"/>
      <w:szCs w:val="20"/>
      <w:lang w:val="da-DK"/>
    </w:rPr>
  </w:style>
  <w:style w:type="character" w:customStyle="1" w:styleId="SUSPparagraphChar">
    <w:name w:val="SUSP paragraph Char"/>
    <w:basedOn w:val="ParagraphChar"/>
    <w:link w:val="SUSPparagraph"/>
    <w:rPr>
      <w:rFonts w:ascii="Times New Roman" w:eastAsia="Times New Roman" w:hAnsi="Times New Roman" w:cs="Times New Roman"/>
      <w:sz w:val="16"/>
      <w:szCs w:val="20"/>
      <w:lang w:val="da-DK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sz w:val="24"/>
      <w:szCs w:val="20"/>
      <w:lang w:val="da-DK" w:eastAsia="en-GB"/>
    </w:rPr>
  </w:style>
  <w:style w:type="character" w:customStyle="1" w:styleId="FooterSensitivityChar">
    <w:name w:val="Footer Sensitivity Char"/>
    <w:basedOn w:val="TitleChar"/>
    <w:rPr>
      <w:rFonts w:ascii="Times New Roman" w:eastAsia="Times New Roman" w:hAnsi="Times New Roman" w:cs="Times New Roman"/>
      <w:b/>
      <w:sz w:val="32"/>
      <w:szCs w:val="20"/>
      <w:lang w:val="da-DK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Times New Roman"/>
      <w:szCs w:val="20"/>
      <w:lang w:eastAsia="en-GB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sz w:val="24"/>
      <w:szCs w:val="20"/>
      <w:lang w:val="da-DK" w:eastAsia="en-GB"/>
    </w:rPr>
  </w:style>
  <w:style w:type="character" w:customStyle="1" w:styleId="HeaderSensitivityChar">
    <w:name w:val="Header Sensitivity Char"/>
    <w:basedOn w:val="TitleChar"/>
    <w:rPr>
      <w:rFonts w:ascii="Times New Roman" w:eastAsia="Times New Roman" w:hAnsi="Times New Roman" w:cs="Times New Roman"/>
      <w:b/>
      <w:sz w:val="32"/>
      <w:szCs w:val="20"/>
      <w:lang w:val="da-DK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a-D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Paragraph">
    <w:name w:val="Paragraph"/>
    <w:basedOn w:val="Normal"/>
    <w:link w:val="ParagraphChar"/>
    <w:pPr>
      <w:spacing w:before="0" w:after="0"/>
    </w:pPr>
    <w:rPr>
      <w:rFonts w:eastAsia="Times New Roman"/>
      <w:sz w:val="16"/>
      <w:szCs w:val="20"/>
    </w:rPr>
  </w:style>
  <w:style w:type="paragraph" w:styleId="Title">
    <w:name w:val="Title"/>
    <w:aliases w:val="TITLE.TI"/>
    <w:basedOn w:val="Normal"/>
    <w:link w:val="TitleChar"/>
    <w:qFormat/>
    <w:pPr>
      <w:keepNext/>
      <w:jc w:val="center"/>
    </w:pPr>
    <w:rPr>
      <w:rFonts w:eastAsia="Times New Roman"/>
      <w:szCs w:val="20"/>
    </w:rPr>
  </w:style>
  <w:style w:type="character" w:customStyle="1" w:styleId="TitleChar">
    <w:name w:val="Title Char"/>
    <w:aliases w:val="TITLE.TI Char"/>
    <w:link w:val="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ubtitle">
    <w:name w:val="Subtitle"/>
    <w:aliases w:val="CONTENT.TITLE.TI"/>
    <w:basedOn w:val="Normal"/>
    <w:link w:val="SubtitleChar"/>
    <w:qFormat/>
    <w:pPr>
      <w:keepNext/>
      <w:jc w:val="center"/>
    </w:pPr>
    <w:rPr>
      <w:rFonts w:eastAsia="Times New Roman"/>
      <w:szCs w:val="20"/>
    </w:rPr>
  </w:style>
  <w:style w:type="character" w:customStyle="1" w:styleId="SubtitleChar">
    <w:name w:val="Subtitle Char"/>
    <w:aliases w:val="CONTENT.TITLE.TI Char"/>
    <w:link w:val="Subtitl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Text">
    <w:name w:val="Text"/>
    <w:link w:val="TextChar"/>
    <w:hidden/>
    <w:rPr>
      <w:rFonts w:ascii="Times New Roman" w:eastAsia="Times New Roman" w:hAnsi="Times New Roman"/>
      <w:sz w:val="16"/>
    </w:rPr>
  </w:style>
  <w:style w:type="paragraph" w:customStyle="1" w:styleId="SUSPparagraph">
    <w:name w:val="SUSP paragraph"/>
    <w:basedOn w:val="Paragraph"/>
    <w:link w:val="SUSPparagraphChar"/>
    <w:pPr>
      <w:spacing w:before="60" w:after="60"/>
    </w:pPr>
  </w:style>
  <w:style w:type="table" w:customStyle="1" w:styleId="Listtable">
    <w:name w:val="List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120" w:type="dxa"/>
        <w:left w:w="60" w:type="dxa"/>
        <w:bottom w:w="120" w:type="dxa"/>
        <w:right w:w="60" w:type="dxa"/>
      </w:tblCellMar>
    </w:tblPr>
    <w:trPr>
      <w:tblCellSpacing w:w="0" w:type="dxa"/>
    </w:trPr>
  </w:style>
  <w:style w:type="table" w:customStyle="1" w:styleId="Notestable">
    <w:name w:val="Notes table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Borders>
        <w:top w:val="single" w:sz="2" w:space="0" w:color="auto"/>
        <w:bottom w:val="single" w:sz="2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table" w:customStyle="1" w:styleId="Notestablewithoutborder">
    <w:name w:val="Notes table without border"/>
    <w:rPr>
      <w:rFonts w:ascii="Times New Roman" w:eastAsia="Times New Roman" w:hAnsi="Times New Roman"/>
      <w:sz w:val="16"/>
      <w:szCs w:val="16"/>
    </w:rPr>
    <w:tblPr>
      <w:tblCellSpacing w:w="0" w:type="dxa"/>
      <w:tblInd w:w="0" w:type="dxa"/>
      <w:tblCellMar>
        <w:top w:w="60" w:type="dxa"/>
        <w:left w:w="60" w:type="dxa"/>
        <w:bottom w:w="60" w:type="dxa"/>
        <w:right w:w="60" w:type="dxa"/>
      </w:tblCellMar>
    </w:tblPr>
    <w:trPr>
      <w:tblCellSpacing w:w="0" w:type="dxa"/>
    </w:trPr>
  </w:style>
  <w:style w:type="paragraph" w:customStyle="1" w:styleId="Note">
    <w:name w:val="Note"/>
    <w:aliases w:val="NOTE"/>
    <w:basedOn w:val="SUSPparagraph"/>
    <w:rPr>
      <w:szCs w:val="16"/>
    </w:rPr>
  </w:style>
  <w:style w:type="table" w:customStyle="1" w:styleId="Listdash">
    <w:name w:val="List dash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Bullet1">
    <w:name w:val="List Bullet1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table" w:customStyle="1" w:styleId="Listnumbered">
    <w:name w:val="List numbered"/>
    <w:basedOn w:val="Listtable"/>
    <w:rPr>
      <w:sz w:val="20"/>
      <w:szCs w:val="20"/>
    </w:rPr>
    <w:tblPr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</w:tblCellMar>
    </w:tblPr>
    <w:tcPr>
      <w:tcW w:w="0" w:type="auto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Times New Roman"/>
      <w:szCs w:val="20"/>
      <w:lang w:eastAsia="en-GB"/>
    </w:rPr>
  </w:style>
  <w:style w:type="character" w:customStyle="1" w:styleId="TextChar">
    <w:name w:val="Text Char"/>
    <w:basedOn w:val="DefaultParagraphFont"/>
    <w:link w:val="Text"/>
    <w:rPr>
      <w:rFonts w:ascii="Times New Roman" w:eastAsia="Times New Roman" w:hAnsi="Times New Roman"/>
      <w:sz w:val="16"/>
    </w:rPr>
  </w:style>
  <w:style w:type="character" w:customStyle="1" w:styleId="ParagraphChar">
    <w:name w:val="Paragraph Char"/>
    <w:basedOn w:val="TextChar"/>
    <w:link w:val="Paragraph"/>
    <w:rPr>
      <w:rFonts w:ascii="Times New Roman" w:eastAsia="Times New Roman" w:hAnsi="Times New Roman" w:cs="Times New Roman"/>
      <w:sz w:val="16"/>
      <w:szCs w:val="20"/>
      <w:lang w:val="da-DK"/>
    </w:rPr>
  </w:style>
  <w:style w:type="character" w:customStyle="1" w:styleId="SUSPparagraphChar">
    <w:name w:val="SUSP paragraph Char"/>
    <w:basedOn w:val="ParagraphChar"/>
    <w:link w:val="SUSPparagraph"/>
    <w:rPr>
      <w:rFonts w:ascii="Times New Roman" w:eastAsia="Times New Roman" w:hAnsi="Times New Roman" w:cs="Times New Roman"/>
      <w:sz w:val="16"/>
      <w:szCs w:val="20"/>
      <w:lang w:val="da-DK"/>
    </w:rPr>
  </w:style>
  <w:style w:type="character" w:customStyle="1" w:styleId="FooterCoverPageChar">
    <w:name w:val="Footer Cover Page Char"/>
    <w:basedOn w:val="TitleChar"/>
    <w:link w:val="FooterCoverPage"/>
    <w:rPr>
      <w:rFonts w:ascii="Times New Roman" w:eastAsia="Times New Roman" w:hAnsi="Times New Roman" w:cs="Times New Roman"/>
      <w:sz w:val="24"/>
      <w:szCs w:val="20"/>
      <w:lang w:val="da-DK" w:eastAsia="en-GB"/>
    </w:rPr>
  </w:style>
  <w:style w:type="character" w:customStyle="1" w:styleId="FooterSensitivityChar">
    <w:name w:val="Footer Sensitivity Char"/>
    <w:basedOn w:val="TitleChar"/>
    <w:rPr>
      <w:rFonts w:ascii="Times New Roman" w:eastAsia="Times New Roman" w:hAnsi="Times New Roman" w:cs="Times New Roman"/>
      <w:b/>
      <w:sz w:val="32"/>
      <w:szCs w:val="20"/>
      <w:lang w:val="da-DK"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eastAsia="Times New Roman"/>
      <w:szCs w:val="20"/>
      <w:lang w:eastAsia="en-GB"/>
    </w:rPr>
  </w:style>
  <w:style w:type="character" w:customStyle="1" w:styleId="HeaderCoverPageChar">
    <w:name w:val="Header Cover Page Char"/>
    <w:basedOn w:val="TitleChar"/>
    <w:link w:val="HeaderCoverPage"/>
    <w:rPr>
      <w:rFonts w:ascii="Times New Roman" w:eastAsia="Times New Roman" w:hAnsi="Times New Roman" w:cs="Times New Roman"/>
      <w:sz w:val="24"/>
      <w:szCs w:val="20"/>
      <w:lang w:val="da-DK" w:eastAsia="en-GB"/>
    </w:rPr>
  </w:style>
  <w:style w:type="character" w:customStyle="1" w:styleId="HeaderSensitivityChar">
    <w:name w:val="Header Sensitivity Char"/>
    <w:basedOn w:val="TitleChar"/>
    <w:rPr>
      <w:rFonts w:ascii="Times New Roman" w:eastAsia="Times New Roman" w:hAnsi="Times New Roman" w:cs="Times New Roman"/>
      <w:b/>
      <w:sz w:val="32"/>
      <w:szCs w:val="20"/>
      <w:lang w:val="da-DK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a-D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498D-FB53-4E1F-815C-217EC154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3829</Words>
  <Characters>19224</Characters>
  <Application>Microsoft Office Word</Application>
  <DocSecurity>0</DocSecurity>
  <Lines>1373</Lines>
  <Paragraphs>1152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JUSKO Outi Katriina (TAXUD)</dc:creator>
  <cp:lastModifiedBy>WES PDFC Administrator</cp:lastModifiedBy>
  <cp:revision>8</cp:revision>
  <cp:lastPrinted>2018-10-22T11:15:00Z</cp:lastPrinted>
  <dcterms:created xsi:type="dcterms:W3CDTF">2019-04-10T12:36:00Z</dcterms:created>
  <dcterms:modified xsi:type="dcterms:W3CDTF">2019-04-30T08:00:00Z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