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8618986-6BDF-46BF-86CE-CB5554BD0450" style="width:450.8pt;height:383.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rPr>
          <w:noProof/>
        </w:rPr>
      </w:pPr>
    </w:p>
    <w:tbl>
      <w:tblPr>
        <w:tblW w:w="0" w:type="auto"/>
        <w:tblCellSpacing w:w="0" w:type="dxa"/>
        <w:tblBorders>
          <w:top w:val="single" w:sz="2" w:space="0" w:color="auto"/>
          <w:bottom w:val="single" w:sz="2" w:space="0" w:color="auto"/>
        </w:tblBorders>
        <w:tblCellMar>
          <w:top w:w="120" w:type="dxa"/>
          <w:left w:w="60" w:type="dxa"/>
          <w:bottom w:w="120" w:type="dxa"/>
          <w:right w:w="60" w:type="dxa"/>
        </w:tblCellMar>
        <w:tblLook w:val="0000" w:firstRow="0" w:lastRow="0" w:firstColumn="0" w:lastColumn="0" w:noHBand="0" w:noVBand="0"/>
      </w:tblPr>
      <w:tblGrid>
        <w:gridCol w:w="739"/>
        <w:gridCol w:w="1045"/>
        <w:gridCol w:w="605"/>
        <w:gridCol w:w="4556"/>
        <w:gridCol w:w="986"/>
        <w:gridCol w:w="942"/>
        <w:gridCol w:w="653"/>
      </w:tblGrid>
      <w:tr>
        <w:trPr>
          <w:cantSplit/>
          <w:tblHeader/>
          <w:tblCellSpacing w:w="0" w:type="dxa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Poradové číslo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Číselný znak KN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TARIC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Opis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Obdobie kvóty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Množstvo kvóty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Clo v rámci kvóty (v %)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09.2637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0710 40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2005 80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Kukurica z kukuričných klasov (</w:t>
            </w:r>
            <w:r>
              <w:rPr>
                <w:i/>
                <w:iCs/>
                <w:noProof/>
                <w:szCs w:val="16"/>
              </w:rPr>
              <w:t>Zea Mays Saccharata</w:t>
            </w:r>
            <w:r>
              <w:rPr>
                <w:noProof/>
                <w:szCs w:val="16"/>
              </w:rPr>
              <w:t>), tiež krájaná, s priemerom 10 mm alebo viac, ale najviac 20 mm, na použitie pri výrobe výrobkov potravinárskeho priemyslu na iné spracovanie ako jednoduché prebalenie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550 ton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 </w:t>
            </w:r>
            <w:r>
              <w:rPr>
                <w:rStyle w:val="FootnoteReference"/>
                <w:noProof/>
              </w:rPr>
              <w:t>(3)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0710 80 69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Huby druhu Auricularia polytricha (nevarené alebo varené v pare alebo vo vode), mrazené, na výrobu pripravených pokrmov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2008 60 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Čerešne obsahujúce pridaný alkohol, s obsahom cukru najviac 9 % hmotnosti, s priemerom najviac 19,9 mm, s kôstkou, na použitie v čokoládových výrobkoch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09.2740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2309 90 31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2309 90 96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Sójový bielkovinový koncentrát s obsahom: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 hmotnostných % (± 10 hmotnostných %) hrubej bielkoviny,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 hmotnostných % (± 3 hmotnostné %) hrubej vlákniny,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 hmotnostných % (± 3 hmotnostné %) hrubého popola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3 hmotnostných % alebo viac, ale najviac 6,9 hmotnostného % škrobu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 použitie pri výrobe krmiva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30 000 ton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09.2913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35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70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35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70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2401 20 95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Prírodný nespracovaný tabak, tiež narezaný do pravidelných rozmerov, s colnou hodnotou najmenej 450 eur na 100 kg čistej hmotnosti, na použitie ako krycí list alebo obalový list na výrobu tovaru patriaceho do podpoložky 2402 10 00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ton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2712 20 90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Parafínový vosk obsahujúci menej ako 0,75 hmotnostného % oleja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2712 90 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Parafínový gáč (CAS RN 64742-61-6)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2811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Kremíková výplň vo forme granúl s čistotou oxidu kremičitého v hmotnosti 97 % alebo viac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09.2806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2825 90 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Oxid volfrámový,vrátane modrého oxidu volfrámu (CAS RN 1314-35-8 alebo CAS RN 39318-18-8)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2833 29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Síran cézny (CAS RN 10294-54-9) v tuhej forme alebo ako vodný roztok, s obsahom síranu cézneho viac ako 48 hmotnostných %, ale najviac 52 hmotnostných %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160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09.2929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2903 22 00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Trichlóretylén (CAS RN 79-01-6)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2903 79 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Brómchlórmetán (CAS RN 74-97-5)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09.2933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1,3-Dichlórbenzén (CAS RN 541-73-1)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2 600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2905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1-Propanol (propylalkohol) (CAS RN 71-23-8)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2906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Cyklopropylmetanol (CAS RN 2516-33-8)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lastRenderedPageBreak/>
              <w:t>09.2851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2907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O-krezol (CAS RN 95-48-7) s čistotou najmenej 98,5 % v hmotnosti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2909 49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2,2,2',2'-Tetrakis(hydroxymetyl)-3,3'-oxydipropán-1-ol (CAS RN 126-58-9)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2912 42 00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Etylvanilín (3-etoxy-4-hydroxybenzaldehyd) (CAS RN 121-32-4)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1 950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2914 19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Acetylacetonát vápenatý (CAS RN 19372-44-2) na použitie pri výrobe stabilizačných systémov vo forme tabliet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2914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Cyklopropyl metyl ketón (CAS RN 765-43-5)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2915 21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Kyselina octová (CAS RN 64-19-7) s  čistotou v hmotnosti  99 % alebo viac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09.2972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2915 24 00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Acetanhydrid (CAS RN 108-24-7)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2915 32 00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Vinylacetát (CAS RN 108-05-4)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2915 90 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Etyltrifluóracetát (CAS RN 383-63-1)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2916 19 95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(E,E)-Hexa-2,4-dienoát draselný (CAS RN 24634-61-5)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8 250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2916 39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2,5-dimetylfenylacetylchlorid (CAS RN 55312-97-5)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Dietyloxalát (CAS RN 95-92-1)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09.2769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13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Dimetylsebakát (CAS RN 106-79-6)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2917 19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Kyselina dodekándiová (CAS RN 693-23-2), s čistotou v hmotnosti viac ako 98,5 %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4 600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09.2808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Kyselina o-acetylsalicylová (CAS RN 50-78-2)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Oktadecyl 3-(3,5-di-terc-butyl-4-hydroxyfenyl)propionát (CAS RN 2082-79-3) s: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frakciou, ktorej viac než 99 hmotnostných % prepadne sieťovým filtrom so šírkou oka 500 μm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teplotou topenia 49 °C alebo viac, ale najviac 54 °C,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 použitie pri výrobe jednozložkových stabilizátorov na spracovanie PVC na základe práškových zmesí (prášky alebo lisované granuly)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380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Tetrakis(3-(3,5-di-terc-butyl-4-hydroxyfenyl)propanoát) pentaerytritolu (CAS RN 6683-19-8)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frakciou, ktorá prepadne sitom so šírkou oka 250 μm, viac ako 75 hmotnostných % a so šírkou oka 500 μm viac ako 99 hmotnostných %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teplotou topenia 110 °C alebo viac, ale najviac 125 °C,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 použitie pri výrobe jednozložkových stabilizátorov na spracovanie PVC na základe práškových zmesí (prášky alebo lisované granuly)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140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2918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Benzofenón-3,3’,4,4’-tetrakarboxyldianhydrid (CAS RN 2421-28-5)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2920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Tris(2,4-di</w:t>
            </w:r>
            <w:r>
              <w:rPr>
                <w:i/>
                <w:iCs/>
                <w:noProof/>
                <w:szCs w:val="16"/>
              </w:rPr>
              <w:t>terc</w:t>
            </w:r>
            <w:r>
              <w:rPr>
                <w:noProof/>
                <w:szCs w:val="16"/>
              </w:rPr>
              <w:t>-butylfenyl)-fosfit (CAS RN 31570-04-4)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2920 90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Dimetyl-sulfát (CAS RN 77-78-1)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18 000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19 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Oktadecylamín (CAS RN 124-30-1)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Bis(2-dimetylaminoetyl)(metyl)amín (CAS RN 3030-47-5)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41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Anilín (CAS RN 62-53-3) s čistotou 99 % hmotnosti alebo viac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09.2617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42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4-fluór-N-(1-metyletyl)benzénamín (CAS RN 70441-63-3)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09.2602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51 19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O-fenyléndiamín (CAS RN 95-54-5)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1 800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2921 59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4,4'-Metándiyldianilín (CAS RN 101-77-9) vo forme granúl na použitie pri výrobe prepolymérov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2924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3-Iodoprop-2-ynyl N-butylkarbamát (CAS RN 55406-53-6)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2924 29 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Paracetamol (INN) (CAS RN 103-90-2)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09.2742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2926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Akrylonitril (CAS RN 107-13-1), na použitie pri výrobe tovaru 55. kapitoly a položky 6815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2926 90 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2-Nitro-4-(trifluórmetyl)benzonitril (CAS RN 778-94-9)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09.2708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2928 00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Monometylhydrazín (CAS 60-34-4) vo forme vodného roztoku s obsahom monometylhydrazínu 40 (± 5) hmotnostných %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2929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Nitroguanidín (CAS RN 556-88-7)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6 500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2930 90 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Bis[3-trietoxysilyl)propyl]disulfid (CAS RN 56706-10-6)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2930 90 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Kyselina 2-chlór-4-(metylsulfonyl)-3-((2,2,2-trifluóretoxy)metyl)benzoová (CAS RN 120100-77-8)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2932 12 00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2-furaldehyd (furfural)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Flurtamón (ISO) (CAS RN 96525-23-4)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Dekán-5-olid (CAS RN 705-86-2)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Dodekán-5-olid (CAS RN 713-95-1)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Hexán-6-olid (CAS RN 502-44-3)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2932 93 00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Piperonal (CAS RN 120-57-0)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220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29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Enzalutamid INN (CAS RN 915087-33-1)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39 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2,2,6,6-tetrametylpiperidín-4-ol (CAS RN 2403-88-5)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39 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Chlórpyrifos (ISO) (CAS RN 2921-88-2)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59 95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Ibrutinib (INN) (CAS RN 936563-96-1)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69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1,3,5-Tris[3-(dimetylamino)propyl]hexahydro-1,3,5-triazín (CAS RN 15875-13-5)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1,4,7,10-tetraazacyklododekán (CAS RN 294-90-6)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5-(Acetoacetylamino)benzimidazolón (CAS RN 26576-46-5)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4-[[(2-Metoxybenzoyl)amino]sulfonyl]benzoyl chlorid (CAS RN 816431-72-8)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2935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2,4,4-Trimetylpentán-2-amino (3R,5S,E)-7-(4-(4-fluórfenyl)-6-izopropyl-2-(N-metylmetylsulfónamid)pyrimidín-5-yl)-3,5-dihydroxyhept-6-enoát (CAS RN 917805-85-7)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09.2945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2940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D–Xylóza (CAS RN 58-86-6)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Farbivo C.I. Disperse Yellow 54 (CAS RN 7576-65-0 ) a prípravky na jeho základe s obsahom farbiva C.I. Disperse Yellow 54 </w:t>
            </w:r>
          </w:p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 xml:space="preserve"> 99 hmotnostných % alebo viac 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17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Prípravky na základe farbiva C.I. Pigment Red 48:2 (CAS RN 7023-61-2) s obsahom farbiva 60 hmotnostných % alebo viac, ale menej ako 85 hmotnostných %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3204 17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Farbivo C-I Pigment Red 4 (CAS RN 2814-77-9) a prípravky na jeho základe s obsahom farbiva C.I. Pigment Red 4 60 hmotnostných % alebo viac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3802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Kremelina kalcinovaná v prítomnosti sódy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3804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Lignosulfonát sodný (CAS RN 8061-51-6)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3805 10 90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Sulfátový terpentín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09.2935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3806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Kolofónia a živicové kyseliny, získané z čerstvých olejoživíc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280 000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3808 92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Prípravok obsahujúci v hmotnosti 38 % alebo viac, ale najviac 50 % pyritiónu zinku (INN) (CAS RN 13463-41-7) vo vodnej disperzii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3811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Aditíva zložené z produktov  reakcie difenylamínu a rozvetvených nonenov obsahujúce v hmotnosti: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viac ako 28 % , avšak najviac 55 % 4-monononyldifenylamínu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viac ako 45 %, avšak najviac 65 % 4,4’-dinonyldifenylamínu,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celkový percentuálny podiel 2, 4-dinonyldifenylamínu a 2, 4’-dinonyldifenylamínu najviac 5 %,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používané pri výrobe mazacích olejov 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3815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Katalyzátor pozostávajúci z oxidu titaničitého a oxidu volfrámového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79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Zmesi obsahujúce: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 hmotnostných % alebo viac, ale najviac 90 hmotnostných % 2-chlórpropénu (CAS RN 557-98-2),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8 hmotnostných % alebo viac, ale najviac 14 hmotnostných % (Z)-1-chlórpropénu (CAS RN 16136-84-8),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 hmotnostných % alebo viac, ale najviac 23 hmotnostných % 2-chlórpropánu (CAS RN 75-29-6),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najviac 6 hmotnostných % 3-chlórpropénu (CAS RN 107-05-1)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najviac 1 hmotnostné % etylchloridu (CAS RN 75-00-3)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Prípravok obsahujúci v % hmotnosti: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419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55 % alebo viac, ale najviac 78 % dimetyl-glutarátu,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10 % alebo viac, ale najviac 30 % dimetyl-adipátu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najviac 35 % dimetyl-sukcinátu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09.2681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Zmes bis (3-trietoxysilyl)propyl]sulfidov (CAS RN 211519-85-6)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Acetofenón (CAS RN 98-86-2) s čistotou 60 hmotnostných % alebo viac, ale najviac 90 hmotnostných %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09.2888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Zmes terciárnych alkyldimetyl amínov obsahujúca: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 hmotnostných % alebo viac, ale najviac 80 hmotnostných % dodecyl(dimetyl)amínu (CAS RN 112-18-5),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20 hmotnostných % alebo viac, ale najviac 30 hmotnostných % dimetyl(tetradecyl)amínu (CAS RN 112-75-4)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09.2829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Pevný extrakt zo zvyškov, nerozpustný v alifatických rozpúšťadlách, získaný počas extrakcie živice z dreva, s nasledovnými charakteristikami: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820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 živicových kyselín nepresahujúci 30 % v hmotnosti,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číslo kyslosti nepresahujúce 110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1995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bod topenia 100° C alebo viac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1 600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3824 99 93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Zmes rastlinných sterolov, vo forme prášku, obsahujúca v hmotnosti: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1642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75 % alebo viac sterolov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najviac 25 % stanolov,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určená na výrobu stanolov/sterolov alebo esterov stanolov/sterolov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2 500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3905 30 00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Polyvinylalkohol, tiež obsahujúci nehydrolyzované acetátové skupiny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3905 99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Poly(vinylbutyral) (CAS RN 63148-65-2):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obsahujúci v hmotnosti 17,5 % alebo viac, ale najviac 20 % hydroxylových skupín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so strednou veľkosťou častíc (D50) väčšou ako 0,6 mm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12 500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3907 40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Polymérová zmes z polykarbonátu a poly(metylmetakrylátu) s obsahom polykarbonátu najmenej 98,5 % hmotnosti, vo forme peliet alebo granulátu, so svetelnou priepustnosťou najmenej 88,5 %, meranou pomocou skúšobnej vzorky s hrúbkou 4 mm pri vlnovej dĺžke λ = 400 nm (podľa ISO 13468-2)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3911 90 19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Poly(oxy-1,4-fenylénsulfonyl-1,4-fenylénoxy-4,4’-bifenylén)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  <w:r>
              <w:rPr>
                <w:noProof/>
                <w:szCs w:val="16"/>
              </w:rPr>
              <w:br/>
              <w:t>s účinnosťou od 1.1.2018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09.2816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3912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Vločky acetátu celulózy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3913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Alginát sodný, získaný z hnedých rias (CAS RN 9005-38-3)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3913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Nesterilný hyaluronát sodný s: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hmotnostne strednou molekulovou hmotnosťou (M</w:t>
                  </w:r>
                  <w:r>
                    <w:rPr>
                      <w:noProof/>
                      <w:vertAlign w:val="subscript"/>
                    </w:rPr>
                    <w:t>w</w:t>
                  </w:r>
                  <w:r>
                    <w:rPr>
                      <w:noProof/>
                    </w:rPr>
                    <w:t>) najviac 900 000,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hladinou endotoxínov najviac 0,008 endotoxínových jednotiek (EJ)/mg,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obsahom etanolu najviac 1 % v hmotnosti,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obsahom izopropanolu najviac 0,5 % v hmotnosti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 kg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3920 51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Platne z polymetylmetakrylátu spĺňajúce normy: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989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4364 (MIL-P-5425E) a DTD5592A alebo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4365 (MIL-P-8184) a DTD5592A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09.2645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3921 14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Ľahčený blok z regenerovanej celulózy, impregnovaný vodou obsahujúcou chlorid horečnatý a kvartérne amónne zlúčeniny, s rozmermi 100 cm (± 10 cm) x 100 cm (± 10 cm) x 40 cm (± 5 cm)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1 700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5505 10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Odpad zo syntetických vlákien (vrátane výčeskov, odpadu z priadze a trhaného materiálu) z nylonu alebo ostatných polyamidov (PA6 a PA66) 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5906 99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Tkaná a laminovaná pogumovaná textília s týmito charakteristikami: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tromi vrstvami,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jednou vonkajšou vrstvou pozostávajúcou z akrylovej tkaniny,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druhou vonkajšou vrstvou pozostávajúcou z polyesterovej tkaniny,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strednou vrstvou pozostávajúcou z chlorobutylovej gumy,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strednou vrstvou s hmotnosťou 452 g/m² alebo viac, ale najviac 569 g/m²,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textília má celkovú hmotnosť 952 g/m² alebo viac, ale najviac 1 159 g/m²,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textília má celkovú hrúbku 0,8 mm alebo viac, ale najviac 4 mm,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používaná na výrobu sťahovateľných striech motorových vozidiel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375 000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09.2594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6909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Keramicko-uhlíková absorpčná kazeta: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multicelulárnou valcovitou štruktúrou so spojivom na základe extrudovanej pálenej keramiky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obsahom 10 hmotnostných % alebo viac, ale najviac 30 hmotnostných % aktívneho uhlíka,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obsahom 70 hmotnostných % alebo viac, ale najviac 90 hmotnostných % keramického spojiva,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priemerom 29 mm alebo viac, ale najviac 41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dĺžkou najviac 150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vypálená pri teplote 800 °C alebo viac,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na pohlcovanie pár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druhu používaného na montáž v pohlcovačoch palivových pár v palivových systémoch motorových vozidiel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09.2866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12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12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06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Pramene (rovings) zo sklenených vlákien typu S: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zložené z nekonečných sklenených vlákien s priemerom vlákien 9 µm (±0,5 µm),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dĺžkovou hmotnosťou 200 texov alebo viac, ale najviac 680 texov,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neobsahujúce žiaden oxid vápenatý,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pevnosťou viac ako 3 550 Mpa podľa ASTM D2343-09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 použitie pri výrobe v letectve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7019 52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Tkaniny zo sklených vlákien potiahnuté plastom, s plošnou hmotnosťou 120 g/m² (± 10 g/m²), druhu používaného na výrobu rolovacích sieťok proti hmyzu s pevnými rámami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09.2799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7202 49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Ferochróm obsahujúci 1,5 % alebo viac, ale najviac 4 % hmotnosti uhlíka a najviac 70 % hmotnosti chrómu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09.2652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7409 11 00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7410 11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Rafinované medené fólie a pásy, elektrolyticky potiahnuté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1 020 ton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7409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Dosky alebo plechy pozostávajúce z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vrstvy keramiky z nitridu kremíka s hrúbkou 0,32 mm (± 0,1 mm) alebo viac, ale najviac 1,0 mm (± 0,1 mm),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pokryté na oboch stranách fóliou z rafinovanej medi s hrúbkou 0,8 mm (± 0,1 mm)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na jednej strane čiastočne pokryté strieborným povlakom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7 000 000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7410 21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Dosky: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zložené z aspoň jednej vrstvy tkaniny zo skleneného vlákna impregnovanej epoxidovou živicou,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potiahnuté na jednej alebo na oboch stranách medenou fóliou s hrúbkou najviac 0,15 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dielektrickou konštantou (DK) nižšou ako 5,4 pri 1 MHz, meranou podľa IPC-TM-650 2.5.5.2,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mernou stratou nižšou ako 0,035 pri 1 MHz, meranou podľa IPC-TM-650 2.5.5.2,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indexom odolnosti proti plazivým prúdom (CTI) 600 alebo viac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7604 29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Prúty z hliníkovej zliatiny s priemerom 200 mm alebo viac, ale najviac 300 mm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09.2835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7604 29 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Prúty z hliníkovej zliatiny s priemerom 300,1 mm alebo viac, ale najviac 533,4 mm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7607 11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Pás alebo fólia zo zliatiny hliníka a horčíka: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zo zliatiny spĺňajúcej normu 5182-H19 alebo 5052-H19,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vo zvitkoch s vonkajším priemerom najmenej 1 250 mm, ale najviac 1 350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hrúbkou (tolerancia – 0,006 mm) 0,15 mm, 0,16 mm, 0,18 mm alebo 0,20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so šírkou (tolerancia ± 0,3 mm) 12,5 mm, 15,0 mm, 16,0 mm, 25,0 mm, 35,0 mm, 50,0 mm alebo 356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toleranciou klenutia najviac 0,4 mm/750 mm,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nameranou plochosťou: v I-jednotkách ± 4,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pevnosťou v ťahu viac ako (5182-H19) 365 MPa alebo (5052-H19) 320 MPa,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predĺžením A50 viac ako (5182-H19) 3 % alebo (5052-H19) 2,5 %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 použitie pri výrobe žalúziových lamiel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09.2906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7609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Hliníkové príslušenstvo k rúram alebo rúrkam na pripevnenie ku chladičom na motocykloch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3 000 000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09.2722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8104 11 00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Surový horčík obsahujúci najmenej 99,8 % hmotnosti horčíka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8104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Prášok z horčíka: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824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čistotou v hmotnosti 98 % alebo viac, ale najviac 99,5 %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 veľkosťou častice 0,2 mm alebo viac, ale najviac 0,8 mm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 ton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09.2629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8302 49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Teleskopické držadlo z hliníka určené na použitie pri výrobe batožín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1 500 000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8413 91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Hlava čerpadla pre dvojvalcové vysokotlakové čerpadlo vyrobená z kovanej ocele s: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frézovanými časťami a súčasťami so závitom s priemerom 10 mm alebo viac, ale najviac 36,8 mm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vŕtanými palivovými kanálikmi s priemerom 3,5 mm alebo viac, ale najviac 10 mm,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druhu používaného v systémoch na vstrekovanie nafty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65 000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09.2850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8414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Obežné koleso kompresora zo zliatiny hliníka s: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3393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priemerom 20 mm alebo viac, ale najviac 130 mm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hmotnosťou 5 g alebo viac, ale najviac 800 g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 použitie pri montáži turbodúchadiel bez ďalšieho opracovania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5 900 000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09.2909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8481 80 85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Výfukový ventil na použitie pri výrobe výfukových systémov motocyklov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09.2738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8482 99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Mosadzné klietky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4211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nepretržite alebo odstredivo odlievané,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sústružené,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obsahom 35 hmotnostných % alebo viac, ale najviac 38 hmotnostných % cínu,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obsahom 0,75 hmotnostného % alebo viac, ale najviac 1,25 hmotnostného % olova,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obsahom 1,0 hmotnostného % alebo viac, ale najviac 1,4 hmotnostného % hliníka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 pevnosťou v ťahu 415 Pa alebo viac,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druhu používaného na výrobu guľkových ložísk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8483 30 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Klzné ložisko na axiálne použitie, z ocele FeP01 (podľa EN 10130-1991) s klznou vrstvou pórovitého sintrovaného bronzu a poly(tetrafluoretylénu), vhodné na inštaláciu do systémov odpruženia motocyklov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1 500 000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09.2763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8501 40 20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8501 40 80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40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Komutátorov elektromotor na striedavý prúd, jednofázový, s výkonom najmenej 250 W, s príkonom najmenej 700 W, ale najviac 2 700 W, s vonkajším priemerom viac ako 120 mm (± 0,2 mm), ale najviac 135 mm (± 0,2 mm), s menovitými otáčkami viac ako 30 000 ot./min., ale najviac 50 000 ot./min., vybavený vzduchovým ventilátorom, na použitie pri výrobe vysávačov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2 000 000 kusov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09.2672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8529 90 92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9405 40 39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Doska tlačených obvodov s LED diódami: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0"/>
              <w:gridCol w:w="2606"/>
            </w:tblGrid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tiež vybavená prizmami/šošovkami, a</w:t>
                  </w:r>
                </w:p>
              </w:tc>
            </w:tr>
            <w:tr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tiež s upevnenou(-ými) prípojkou(-ami)</w:t>
                  </w:r>
                </w:p>
              </w:tc>
            </w:tr>
          </w:tbl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na výrobu jednotiek podsvietenia pre tovar položky 8528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115 000 000 kusov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09.2003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8543 70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63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Frekvenčný generátor na kontrolu napätia, pozostávajúci z aktívnych a pasívnych prvkov namontovaných na tlačenom obvode, pod spoločným krytom, s rozmermi najviac 30 mm x 30 mm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1 400 000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09.2910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8708 99 97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Oporný držiak zo zliatiny hliníka, s montážnymi otvormi, tiež s fixačnými maticami, na nepriame prepojenie prevodovej skrine (prevodovky) s karosériou na použitie pri výrobe tovarov 87. kapitoly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09.2694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Úpinky nápravy, kryty, vidlicové mostíky a upínacie prvky, zo zliatiny hliníka druhu používaného pre motocykle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1 000 000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09.2868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Piesty pre závesné systémy, s priemerom najviac 55 mm, zo spekanej (sintrovanej) ocele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2 000 000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09.2668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8714 91 10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21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31</w:t>
            </w:r>
          </w:p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Rám bicykla vyrobený z uhlíkových vlákien a umelej živice, na použitie pri výrobe bicyklov (vrátane elektrických bicyklov)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350 000 kusov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  <w:p>
            <w:pPr>
              <w:pStyle w:val="Paragraph"/>
              <w:rPr>
                <w:noProof/>
                <w:szCs w:val="16"/>
              </w:rPr>
            </w:pPr>
          </w:p>
          <w:p>
            <w:pPr>
              <w:pStyle w:val="Paragraph"/>
              <w:rPr>
                <w:noProof/>
                <w:szCs w:val="16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09.2631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right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ex 9001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jc w:val="center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Nemontované sklenené šošovky, hranoly a spekané prvky na použitie pri výrobe alebo oprave tovaru s číselnými znakmi KN 9002, 9005, 9013 10 a 9015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5 000 000 kusov</w:t>
            </w: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0 %</w:t>
            </w:r>
          </w:p>
        </w:tc>
      </w:tr>
    </w:tbl>
    <w:p>
      <w:pPr>
        <w:rPr>
          <w:noProof/>
        </w:rPr>
      </w:pPr>
    </w:p>
    <w:p>
      <w:pPr>
        <w:pStyle w:val="Paragraph"/>
        <w:rPr>
          <w:noProof/>
        </w:rPr>
      </w:pPr>
    </w:p>
    <w:tbl>
      <w:tblPr>
        <w:tblW w:w="0" w:type="auto"/>
        <w:tblCellSpacing w:w="0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8821"/>
      </w:tblGrid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(1)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Pozastavenie ciel sa však neuplatňuje, ak sa spracovanie vykonáva na maloobchodnej úrovni alebo podnikom v oblasti stravovania.</w:t>
            </w:r>
          </w:p>
        </w:tc>
      </w:tr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Pozastavenie ciel podlieha colnému dohľadu nad konečným použitím v súlade s článkom 254 nariadenia Európskeho parlamentu a Rady (EÚ) č. 952/2013 z 9. októbra 2013, ktorým sa ustanovuje Colný kódex Únie (Ú. v. EÚ L 269, 10.10.2013, s. 1)</w:t>
            </w:r>
          </w:p>
        </w:tc>
      </w:tr>
      <w:tr>
        <w:trPr>
          <w:tblCellSpacing w:w="0" w:type="dxa"/>
        </w:trPr>
        <w:tc>
          <w:tcPr>
            <w:tcW w:w="425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rStyle w:val="FootnoteReference"/>
                <w:noProof/>
              </w:rPr>
              <w:t>(3)</w:t>
            </w:r>
          </w:p>
        </w:tc>
        <w:tc>
          <w:tcPr>
            <w:tcW w:w="8821" w:type="dxa"/>
            <w:shd w:val="clear" w:color="auto" w:fill="auto"/>
          </w:tcPr>
          <w:p>
            <w:pPr>
              <w:pStyle w:val="Paragraph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Pozastavené je len valorické clo. Osobitné clo sa naďalej uplatňuje.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2240" w:h="15840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92ADF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3EA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A84C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02D8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846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1A2C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F426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A145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30 10:00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8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NST_RESTREINT_UE" w:val="RESTREINT UE/EU RESTRICTED"/>
    <w:docVar w:name="LW_CORRIGENDUM" w:val="&lt;UNUSED&gt;"/>
    <w:docVar w:name="LW_COVERPAGE_EXISTS" w:val="True"/>
    <w:docVar w:name="LW_COVERPAGE_GUID" w:val="58618986-6BDF-46BF-86CE-CB5554BD0450"/>
    <w:docVar w:name="LW_COVERPAGE_TYPE" w:val="1"/>
    <w:docVar w:name="LW_CROSSREFERENCE" w:val="&lt;UNUSED&gt;"/>
    <w:docVar w:name="LW_DocType" w:val="ANNEX"/>
    <w:docVar w:name="LW_EMISSION" w:val="2. 5. 2019"/>
    <w:docVar w:name="LW_EMISSION_ISODATE" w:val="2019-05-02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mení nariadenie (EÚ) \u269?.&lt;LWCR:NBS&gt;1388/2013, ktorým sa otvárajú autonómne colné kvóty Únie na ur\u269?ité po\u318?nohospodárske a&lt;LWCR:NBS&gt;priemyselné výrobky a&lt;LWCR:NBS&gt;stanovuje ich správa"/>
    <w:docVar w:name="LW_OBJETACTEPRINCIPAL.CP" w:val="ktorým sa mení nariadenie (EÚ) \u269?. 1388/2013, ktorým sa otvárajú autonómne colné kvóty Únie na ur\u269?ité po\u318?nohospodárske a priemyselné výrobky a stanovuje ich správa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nariadenia Rady,"/>
    <w:docVar w:name="LW_TYPEACTEPRINCIPAL.CP" w:val="návrhu nariadenia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B901-37CF-45C6-9F8F-2F235460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3805</Words>
  <Characters>18802</Characters>
  <Application>Microsoft Office Word</Application>
  <DocSecurity>0</DocSecurity>
  <Lines>1343</Lines>
  <Paragraphs>1189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 Outi Katriina (TAXUD)</dc:creator>
  <cp:lastModifiedBy>WES PDFC Administrator</cp:lastModifiedBy>
  <cp:revision>8</cp:revision>
  <cp:lastPrinted>2018-10-22T11:15:00Z</cp:lastPrinted>
  <dcterms:created xsi:type="dcterms:W3CDTF">2019-04-24T11:27:00Z</dcterms:created>
  <dcterms:modified xsi:type="dcterms:W3CDTF">2019-04-30T08:00:00Z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