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6E80E87-F68D-4628-9BA4-9C234DF8FCE8" style="width:450.8pt;height:397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LIITE</w:t>
      </w:r>
    </w:p>
    <w:p>
      <w:pPr>
        <w:rPr>
          <w:noProof/>
        </w:rPr>
      </w:pPr>
    </w:p>
    <w:tbl>
      <w:tblPr>
        <w:tblW w:w="0" w:type="auto"/>
        <w:tblCellSpacing w:w="0" w:type="dxa"/>
        <w:tblBorders>
          <w:top w:val="single" w:sz="2" w:space="0" w:color="auto"/>
          <w:bottom w:val="single" w:sz="2" w:space="0" w:color="auto"/>
        </w:tblBorders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726"/>
        <w:gridCol w:w="1037"/>
        <w:gridCol w:w="463"/>
        <w:gridCol w:w="4560"/>
        <w:gridCol w:w="956"/>
        <w:gridCol w:w="936"/>
        <w:gridCol w:w="848"/>
      </w:tblGrid>
      <w:tr>
        <w:trPr>
          <w:cantSplit/>
          <w:tblHeader/>
          <w:tblCellSpacing w:w="0" w:type="dxa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Järjestys-</w:t>
            </w:r>
            <w:r>
              <w:rPr>
                <w:noProof/>
                <w:szCs w:val="16"/>
              </w:rPr>
              <w:br/>
              <w:t>numero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CN-koodi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Taric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Tavaran kuvaus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Kiintiökausi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Kiintiön määrä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Kiintiötulli (%)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09.2637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0710 40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2005 80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Maissi (</w:t>
            </w:r>
            <w:r>
              <w:rPr>
                <w:i/>
                <w:iCs/>
                <w:noProof/>
                <w:szCs w:val="16"/>
              </w:rPr>
              <w:t>Zea Mays Saccharata</w:t>
            </w:r>
            <w:r>
              <w:rPr>
                <w:noProof/>
                <w:szCs w:val="16"/>
              </w:rPr>
              <w:t>), joka on saatu maissintähkistä, myös leikatuista, joiden läpimitta on vähintään 10 mutta enintään 20 mm, elintarviketeollisuuden tuotteiden valmistuksessa muuta kuin pelkkää pakkaamista varten käytettäviksi tarkoitettu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550 tonnia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 </w:t>
            </w:r>
            <w:r>
              <w:rPr>
                <w:rStyle w:val="FootnoteReference"/>
                <w:noProof/>
              </w:rPr>
              <w:t>(3)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0710 80 69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Auricularia polytricha-lajin sienet, jäädytetyt, myös höyryssä tai vedessä keitetyt, valmisruokien valmistukseen tarkoitetut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2008 60 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Lisättyä alkoholia sisältävät makeat kirsikat, sokeripitoisuus enintään 9 painoprosenttia, läpimitta enintään 19,9 mm, kivelliset, suklaatuotteissa käytettäviksi tarkoitetut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09.2740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2309 90 31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2309 90 96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Soijapavusta tehty proteiinitiiviste, jossa on: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797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(± 10) painoprosenttia raakavalkuaista,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(± 3) painoprosenttia raakakuitua,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(± 3) painoprosenttia raakatuhkaa,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3 mutta enintään 6,9 painoprosenttia tärkkelystä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eläinten rehun valmistukseen tarkoitettu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30 000 tonnia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09.2913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35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70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35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70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Raaka tai valmistamaton tupakka, myös säännöllisiin muotoihin leikattu, tullausarvo vähintään 450 euroa 100 nettokilogrammalta, alanimikkeen 2402 10 00 tuotteiden valmistuksessa päällys- tai aluslehtenä käytettäväksi tarkoitettu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tonnia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2712 20 90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Vähemmän kuin 0,75 painoprosenttia öljyä sisältävä parafiini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2712 90 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Puristettu parafiini (slack wax) (CAS RN 64742-61-6)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2811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Piidioksiditäyteaine (silikatäyteaine) rakeina, joiden piidioksidipitoisuus on vähintään 97painoprosenttia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2825 90 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Volframitrioksidi, mukaan luettuna sininen volframin oksidi (CAS RN 1314-35-8 tai CAS RN 39318-18-8)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2833 29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Cesiumsulfaatti (CAS RN 10294–54–9), jähmeä tai vesiliuoksena, sisältää vähintään 48 mutta enintään 52 painoprosenttia cesiumsulfaattia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160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2903 22 00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Trikloorieteeni (CAS RN 79-01-6)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2903 79 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Bromikloorimetaani (CAS RN 74-97-5)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09.2933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1,3-Diklooribentseeni (CAS RN 541-73-1)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2 600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2905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Propan-1-oli (propyylialkoholi) (CAS RN 71-23-8)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2906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Syklopropyylimetanoli (CAS RN 2516-33-8)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2907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O-kresoli (CAS RN 95-48-7), jonka puhtausaste on vähintään 98,5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2909 49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2,2,2',2'-tetrakis(hydroksimetyyli)-3,3'-oksidipropan-1-oli (CAS RN 126-58-9)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2912 42 00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Etyylivanilliini (3-etoksi-4-hydroksibentsaldehydi) (CAS RN 121-32-4)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1 950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2914 19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Tabletteina oleva kalsiumasetyyliasetonaatti (CAS RN 19372-44-2), stabilointimenetelmien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2914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Syklopropyylimetyyliketoni (CAS RN 765-43-5)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2915 21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Etikkahappo, jonka puhtausaste on vähintään 99 painoprosenttia (CAS RN 64-19-7)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09.2972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2915 24 00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Etikkahappoanhydridi (CAS RN 108-24-7)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2915 32 00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Vinyyliasetaatti (CAS RN 108-05-4)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2915 90 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Etyylitrifluoriasetaatti (CAS RN 383-63-1)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2916 19 95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  <w:lang w:val="it-IT"/>
              </w:rPr>
            </w:pPr>
            <w:r>
              <w:rPr>
                <w:noProof/>
                <w:szCs w:val="16"/>
                <w:lang w:val="it-IT"/>
              </w:rPr>
              <w:t>Kalium-(E,E)-heksa-2,4-dienoaatti (CAS RN 24634-61-5)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8 250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2916 39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2,5-dimetyylifenyyliasetyylikloridi (CAS RN 55312-97-5)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Dietyylioksalaatti (CAS RN 95-92-1)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09.2769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13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Dimetyylisebasaatti (CAS RN 106-79-6)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Dodekaanidihappo (CAS RN 693-23-2), jonka puhtausaste on suurempi kuin 98,5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4 600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O-asetyylisalisyylihappo (CAS RN 50-78-2)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Oktadekyyli 3-(3,5-di-tert-butyyli-4-hydroksifenyyli)propionaatti (CAS RN 2082-79-3)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josta yli 99 painoprosenttia läpäisee seulan, jonka silmäkoko on vähintään 500 μm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sulamispiste on vähintään 49 mutta enintään 54 °C ja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joka on tarkoitettu PVC:n käsittelyssä käytettävän, jauhesekoitukseen (jauheet tai puristamalla saadut granulaatit) perustuvan yksikomponenttisen stabilointiaineen valmistukseen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380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Pentaerytritolitetrakis(3-(3,5-di-tert-butyyli-4-hydroksifenyyli)propionaatti) (CAS RN 6683-19-8)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josta yli 75 painoprosenttia läpäisee seulan, jonka silmäkoko on vähintään 250 μm, ja josta yli 99 painoprosenttia läpäisee seulan, jonka silmäkoko on vähintään 500 μm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sulamispiste on vähintään 110 mutta enintään 125 °C,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joka on tarkoitettu PVC:n käsittelyssä käytettävän, jauhesekoitukseen (jauheet tai puristamalla saadut granulaatit) perustuvan yksikomponenttisen stabilointiaineen valmistukseen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140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Bentsofenoni-3,3’,4,4’-tetrakarboksyylihappodianhydridi (CAS RN 2421-28-5)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2920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Tris (2,4-di-tert-butyylifenyyli)fosfiitti (CAS RN 31570-04-4)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2920 90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Dimetyylisulfaatti (CAS RN 77-78-1)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18 000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19 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Oktadekyyliamiini (CAS RN 124-30-1)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Bis(dimetyyliaminoetyyli)(metyyli)amiini (CAS RN 3030-47-5)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Aniliini (CAS RN 62-53-3), jonka puhtausaste on vähintään 99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09.2617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4-Fluori-N-(1-metyylietyyli)bentseeniamini (CAS RN 70441-63-3)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09.2602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51 19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O-fenyleenidiamiini (CAS RN 95-54-5)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1 800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59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4,4′-metyleenidianiliini (CAS RN 101-77-9) rakeina, esipolymeerien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2924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Jodiprop-3-2-ynyyli-N-butyylikarbamaatti (CAS RN 55406-53-6)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2924 29 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Paracetamoli (INN) (CAS RN 103-90-2)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09.2742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2926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Akrylonitriili (CAS RN 107-13-1), 55 ryhmän ja nimikkeen 6815 tavaroiden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2926 90 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2-Nitro-4-(trifluorimetyyli)bentsonitriili (CAS RN 778-94-9)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2928 00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Monometyylihydratsiini (CAS 60-34-4) vesiliuoksena, monometyylihydratsiinipitoisuus 40 (± 5) painoprosenttia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2929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Nitroguanidiini (CAS RN 556-88-7)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6 500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2930 90 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Bis[3-(trietoksisilyyli)propyyli]disulfiidi (CAS RN 56706-10-6)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2930 90 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2-Kloori-4-(metyylisulfonyyli)-3-((2,2,2-trifluorietoksi)metyyli)bentsoehappo (CAS RN 120100-77-8)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2932 12 00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2-furaldehydi (furfuraldehydi)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Flurtamone (ISO) (CAS RN 96525-23-4)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Dekan-5-olidi (CAS RN 705-86-2)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Dodekan-5-olidi (CAS RN 713-95-1)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Heksan-6-olidi (CAS RN 502-44-3)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2932 93 00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Piperonaali (CAS RN 120-57-0)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220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29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Entsalutamidi INN (CAS RN 915087-33-1)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39 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2,2,6,6-tetrametyylipiperidin-4-oli (CAS RN 2403-88-5)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39 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Klorpyrifossi (ISO) (CAS RN 2921-88-2)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59 95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Ibrutinibi (INN) (CAS RN 936563-96-1)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69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1,3,5-Tris[3-(dimetyyliamino)propyyli]heksahydro-1,3,5-triatsiini (CAS RN 15875-13-5)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1,4,7,10-Tetraatsasyklododekaani (CAS RN 294-90-6)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5-(Asetoasetyyliamino)bentsimidatsoloni (CAS RN 26576-46-5)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4-[[(2-metoksibentsoyyli)amino]sulfonyyli]bentsoyylikloridi (CAS RN 816431-72-8)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2,4,4-Trimetyylipentan-2-aminium (3R,5S,E)-7-(4-(4-fluorifenyyli)-6-isopropyyli-2-(N-metyylimetyylisulfonamidi)pyrimidin-5-yyli)-3,5-dihydroksihept-6-enoaatti (CAS RN 917805-85-7)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09.2945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2940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D-ksyloosi (CAS RN 58-86-6)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Väri C.I. Disperse Yellow 54 (CAS RN 7576-65-0 ) ja siihen perustuvat valmisteet, jotka sisältävät väriä C.I. Disperse Yellow 54  vähintään 99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17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Väriin C.I. Pigment Red 48:2 (CAS RN 7023-61-2) perustuvat valmisteet, jotka sisältävät kyseistä väriä vähintään 60 mutta vähemmän kuin 85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17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Väri C.I. Pigment Red 4 (CAS RN 2814-77-9) ja siihen perustuvat valmisteet, jotka sisältävät väriä Colourant C.I. Pigment Red 4 vähintään 60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3802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Soodaliuottimella kalsinoitu piimaa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3804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Natriumlignosulfonaatti (CAS RN 8061-51-6)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3805 10 90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Sulfaattitärpätti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09.2935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3806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Kolofoni ja hartsihapot, tuoreesta pihkasta saadut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280 000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3808 92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Valmiste, jossa on vähintään 38 mutta enintään 50 painoprosenttia pyritionisinkkiä (INN) (CAS RN 13463-41-7) vesidispersiona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3811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Lisäaineet, difenyyliaminin ja haaraketjuisten noneenien reaktiotuotteista koostuvat, joissa on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enemmän kuin 28  mutta enintään 55 painoprosenttia 4-monononyylidifenyyliaminia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enemmän kuin 45  mutta enintään 65 painoprosenttia 4,4’-dinonyylidifenyyliaminia,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enintään 5 kokonaispainoprosenttia 2, 4-dinonyylidifenyyliaminia ja 2, 4’-dinonyylidifenyyliaminia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voiteluöljyjen valmistukseen tarkoitetut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3815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Katalyytti, joka koostuu titaanidioksidista ja volframitrioksidista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79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Seokset, joissa on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60 mutta enintään 90 painoprosenttia 2-klooripropeenia (CAS RN 557-98-2),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8 mutta enintään 14 painoprosenttia (Z)-1-klooripropeenia (CAS RN 16136-84-8),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5 mutta enintään 23 painoprosenttia 2-klooripropaania (CAS RN 75-29-6),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enintään 6 painoprosenttia 3-klooripropeenia (CAS RN 107-05-1),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enintään 1 painoprosentti etyylikloridia (CAS RN 75-00-3)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Valmiste, jossa on: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55 mutta enintään 78 painoprosenttia dimetyyliglutaraattia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10 mutta enintään 30 painoprosenttia dimetyyliadipaattia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enintään 35 painoprosenttia dimetyylisukkinaattia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Bis[3-trietoksisilyyli)propyyli]sulfidien sekoitus (CAS RN 211519-85-6)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Asetofenoni (CAS RN 98-86-2), jonka puhtausaste on vähintään 60 mutta enintään 90 painoprosenttia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Alkyylidimetyylitertiääriamiinien sekoitus, jossa on: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60 mutta enintään 80 painoprosenttia dodekyylidimetyyliamiinia (CAS RN 112-18-5),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20 mutta enintään 30 painoprosenttia dimetyyli(tetradekyyli)amiinia (CAS RN 112-75-4)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Alifaattisiin liuottimiin liukenematon kiinteä uute, jota saadaan puuhartsin uutoksesta syntyneestä jäännöksestä ja jonka ominaisuudet ovat seuraavat: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233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hartsihappopitoisuus enintään 30 painoprosenttia,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happoluku enintään 110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004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sulamispiste vähintään 100° C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1 600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Fytosterolien seos jauheena, joka sisältää: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49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vähintään 75 painoprosenttia steroleja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enintään 25 painoprosenttia stanoleja,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stanolien/sterolien tai stanoli-/steroliestereiden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2 500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3905 30 00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Poly(vinyylialkoholit), myös jos ne sisältävät hydrolysoimattomia asetaattiryhmiä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3905 99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Poly(vinyylibutyraali) (CAS RN 63148-65-2):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jossa on vähintään 17,5 mutta enintään 20 painoprosenttia hydroksyyliryhmiä,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hiukkaskokomediaani (D50) on suurempi kuin 0,6 mm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12 500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3907 40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Polykarbonaatista ja poly(metyylimetakrylaatista) koostuva polymeeriseos, jossa polykarbonaattia on vähintään 98,5 painoprosenttia, pelletteinä tai rakeina, valonläpäisevyys vähintään 88,5 prosenttia, kun aallonpituus λ= 400 nm, mitattuna koekappaleesta, jonka seinämänpaksuus on 4,0 mm (ISO 13468-2)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3911 90 19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Poly(oksi-1,4-fenyleenisulfonyyli-1,4-fenyleenioksi-4,4’-bifenyleeni)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1.1.-31.12, 1.1.2018 alkaen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3912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Selluloosa-asetaattihiutaleet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3913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Natriumalginaatti, ruskolevästä uutettu (CAS RN 9005-38-3)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3913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Natriumhyaluronaatti, muu kuin steriili, jonka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painokeskimääräinen molekyylipaino (M</w:t>
                  </w:r>
                  <w:r>
                    <w:rPr>
                      <w:noProof/>
                      <w:vertAlign w:val="subscript"/>
                    </w:rPr>
                    <w:t>w</w:t>
                  </w:r>
                  <w:r>
                    <w:rPr>
                      <w:noProof/>
                    </w:rPr>
                    <w:t>) on enintään 900 000,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endotoksiinipitoisuus on enintään 0,008 endotoksiiniyksikköä (EU)/mg,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etanolipitoisuus enintään 1 painoprosentti,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isopropanolipitoisuus enintään 0,5 painoprosenttia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3920 51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Polymetyylimetakrylaatista valmistetut levyt, jotka ovat seuraavien standardien mukaisia: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887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4364 (MIL-P-5425E) ja DTD5592A, tai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4365 (MIL-P-8184) ja DTD5592A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3921 14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Regeneroidusta selluloosasta valmistettu harkko, kyllästetty vedellä, joka sisältää magnesiumkloridia ja kvaternaarista ammoniumyhdistettä, mitat 100 cm (± 10 cm) x 100 cm (± 10 cm) x 40 cm (± 5 cm)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5505 10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Synteettikuitujätteet (myös kampausjätteet, lankajätteet, garnetoidut jätteet ja lumput), nailonia tai muuta polyamidia (PA6 ja PA66)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5906 99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Kudottu ja kerrostettu kumilla käsitelty tekstiilikangas, jolla on seuraavat ominaisuudet: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siinä on kolme kerrosta,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sen yksi ulkopinta on akryylikangasta,  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sen toinen ulkopinta on polyesterikangasta,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välikerros on klorobutyylikumia,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välikerroksen paino on vähintään 452 g/m</w:t>
                  </w:r>
                  <w:r>
                    <w:rPr>
                      <w:noProof/>
                      <w:vertAlign w:val="superscript"/>
                    </w:rPr>
                    <w:t xml:space="preserve">2 </w:t>
                  </w:r>
                  <w:r>
                    <w:rPr>
                      <w:noProof/>
                    </w:rPr>
                    <w:t> mutta enintään 569 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tekstiilikankaan kokonaispaino on vähintään 952 g/m</w:t>
                  </w:r>
                  <w:r>
                    <w:rPr>
                      <w:noProof/>
                      <w:vertAlign w:val="superscript"/>
                    </w:rPr>
                    <w:t xml:space="preserve">2 </w:t>
                  </w:r>
                  <w:r>
                    <w:rPr>
                      <w:noProof/>
                    </w:rPr>
                    <w:t> mutta enintään 1159 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>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tekstiilikankaan kokonaispaksuus on vähintään 0,8 mm mutta enintään 4 mm,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moottoriajoneuvojen kokoontaittuvien kattojen valmistuksessa käytetty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375 000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6909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Keraamisesta hiilestä valmistettu poistopatruuna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jolla on pursotettu, poltettu, keraamisesti sidottu lieriön muotoinen monisolurakenne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jossa on vähintään 10 mutta enintään 30 painoprosenttia aktiivihiiltä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jossa on vähintään 70 mutta enintään 90 painoprosenttia keraamista sidosainetta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läpimitta on vähintään 29 mutta enintään 41 mm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pituus on enintään 150 mm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joka on poltettu vähintään 800°C:n lämpötilassa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joka on tarkoitettu höyrynpoistoon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jollaista käytetään moottoriajoneuvojen polttoainejärjestelmien polttoainehöyrynpoistimissa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09.2866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12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12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06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Jatkuvakuituinen, kiertämätön lanka (rovings) S-lasista: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valmistettu jatkuvan kehruun lasifilamenteista, joiden läpimitta on 9 μm (± 0,5 μm)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hienous vähintään 200 texiä mutta enintään 680 texiä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ei sisällä kalsiumoksidia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murtolujuus yli 3 550 Mpa määriteltynä ASTM D2343-09 -menetelmän mukaisesti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ilmailuteollisuudessa käytettäväksi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52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Palttinasidoksinen lasikuitukangas, jonka kuidut on päällystetty muovilla, paino 120 g/m²(± 10 g/m²), käytetään tavallisesti rullattavien ja kehyksellisten hyönteisverkkojen valmistukseen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7202 49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Ferrokromi, jossa on vähintään 1,5 mutta enintään 4 painoprosenttia hiiltä ja enintään 70 painoprosenttia kromia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09.2652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7409 11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7410 11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Folio ja nauha, puhdistettua kuparia, sähköpinnoitetut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1 020 tonnia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7409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Laatat tai levyt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joissa on piinitridikeraaminen kerros, jonka paksuus on vähintään 0,32 mm (± 0,1 mm) mutta enintään 1,0 mm (± 0,1 mm),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on päällystetty molemmin puolin puhdistettua kuparia olevalla foliolla, jonka paksuus on 0,8 mm (± 0,1 mm),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ovat yhdeltä puolelta osittain hopeapäällysteisiä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7 000 000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7410 21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Levyt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joissa on ainakin yksi epoksidihartsilla kyllästetty lasikuitukerros,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toinen puoli tai molemmat puolet on päällystetty kuparifoliolla, jonka paksuus on enintään 0,15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dielektrisyysvakio (DK) on alle 5,4 taajuuden ollessa 1 MHz IPC-TM-650 2.5.5.2-testausmenetelmällä mitattuna,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häviökerroin on alle 0,035 taajuuden ollessa 1 MHz IPC-TM-650 2.5.5.2-testausmenetelmällä mitattuna,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jonka CTI-indeksi (Comparative Tracking Index) on vähintään 600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7604 29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Alumiiniseoksesta valmistetut tangot, joiden läpimitta on vähintään 200 mm mutta enintään 300 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7604 29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Alumiiniseoksesta valmistetut tangot, joiden läpimitta on vähintään 300,1 mm mutta enintään 533,4 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7607 11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Alumiini- ja magnesiumseoskaistaleet tai -folio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ovat standardin 5182-H19 tai 5052-H19 mukaisesta seoksesta,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ovat rullina, joiden ulkoläpimitta on vähintään 1 250 mutta enintään 1 350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paksuus on 0,15 mm, 0,16 mm, 0,18 mm tai 0,20 mm (sallittu poikkeama: -0,006 mm),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leveys on 12,5 mm, 15,0 mm, 16,0 mm, 25,0 mm, 35,0 mm, 50,0 mm tai 356 mm (sallittu poikkeama: ±0,3 mm),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suoruustoleranssi on enintään 0,4 mm / 750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tasomaisuus on ±4 I-yksikköä (</w:t>
                  </w:r>
                  <w:r>
                    <w:rPr>
                      <w:i/>
                      <w:iCs/>
                      <w:noProof/>
                    </w:rPr>
                    <w:t>I-unit</w:t>
                  </w:r>
                  <w:r>
                    <w:rPr>
                      <w:noProof/>
                    </w:rPr>
                    <w:t>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vetomurtolujuus on suurempi kuin 365 MPa (5182-H19) tai 320 MPa (5052-H19)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murtovenymä A50 on suurempi kuin 3 prosenttia (5182-H19) tai 2,5 prosenttia (5052-H19),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kaihtimien säleiden valmistukseen tarkoitetut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7609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Alumiiniset putkien liitos- ja muut osat, moottoripyörien jäähdyttimiin kiinnitettäviksi tarkoitetut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8104 11 00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Muokkaamaton magnesium, jossa on vähintään 99,8 painoprosenttia magnesiumia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8104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Magnesiumjauhe: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002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puhtausaste vähintään 98 mutta enintään 99,5 painoprosenttia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hiukkaskoko vähintään 0,2 mutta enintään 0,8 mm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tonnia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8302 49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Alumiininen teleskooppikädensija, matkalaukkujen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1 500 000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8413 91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Taotusta teräksestä valmistettu kaksisylinterisen korkeapainepumpun pää, jonka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jyrsittyjen, kierteitettyjen putkenosien läpimitta on vähintään 10 mutta enintään 36,8 mm,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porattujen polttoainekanavien läpimitta on vähintään 3,5 mutta enintään 10 mm,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jollaisia käytetään dieselruiskutusjärjestelmissä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65 000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8414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Alumiiniseoksesta valmistettu ahdinpyörä, jonka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402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läpimitta on vähintään 20 mutta enintään 130 mm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paino on vähintään 5 mutta enintään 800 g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ja joka on tarkoitettu asennettavaksi turboahtimeen ilman lisätyöstöä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5 900 000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8481 80 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Pakoventtiili, moottoripyörien pakokaasujärjestelmien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8482 99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Messinkihäkit,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ovat jatkuva- tai keskipakovalettuja,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on sorvattu,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sisältävät vähintään 35 mutta enintään 38 painoprosenttia tinaa,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sisältävät vähintään 0,75 mutta enintään 1,25 painoprosenttia lyijyä,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jotka sisältävät vähintään 1,0 mutta enintään 1,4 painoprosenttia alumiinia,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joiden vetomurtolujuus on vähintään 415 Pa,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jollaisia käytetään kuulalaakerien valmistuksessa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8483 30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FeP01-teräksestä (standardi EN 10130-1991) valmistettu aksiaalisissa moottorirakenteissa käytettävä liukulaakeri ("wave slide bearing"), jossa on huokoisesta sintteripronssista ja poly(tetrafluorietyleenistä) valmistettu liukukerros, moottoripyörien jousitusjärjestelmiin asennettavaksi soveltuva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1 500 000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09.2763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8501 40 20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8501 40 80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Vaihtovirtainen kommutaattorimoottori, yksivaiheinen, antoteho vähintään 250 W, ottoteho vähintään 700 W mutta enintään 2 700 W, ulkoläpimitta suurempi kuin 120 mm (± 0,2 mm) mutta enintään 135 mm (± 0,2 mm), pyörimisnopeus suurempi kuin 30 000 mutta enintään 50 000 kierrosta minuutissa, varustettu imutuulettimella, pölynimurien valmistukseen tarkoitettu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2 000 000 kpl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09.2672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8529 90 92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9405 40 39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Valodiodeilla (LED) varustetut painetut piirilevyt: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558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myös jos niissä on prismoja/linssejä, ja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myös jos niissä on liitin (liittimiä)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nimikkeen 8528 tavaroiden taustavaloyksikköjen valmistukseen tarkoitetut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115 000 000 kpl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09.2003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8543 70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Jänniteohjattu taajuusgeneraattori, jossa on painetulle piirille asennettuja aktiivisia ja passiivisia elementtejä, kotelossa, jonka mitat ovat enintään 30 mm x 30 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1 400 000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8708 99 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Alumiiniseoksesta valmistettu tukivarsi, asennusrei'illä varustettu, myös kiinnitysmuttereilla varustettu, vaihdelaatikon välilliseksi yhdistämiseksi auton koriin, 87 ryhmän tavaroiden valmistukseen tarkoitettu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Alumiiniseoksesta valmistetut akselikytkimet, akselipesät, etuhaarukan kolmiopalat ja kiinnitysosat, jollaisia käytetään moottoripyörissä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Sintratusta teräksestä valmistetut pyöräntuentajärjestelmien männät, joiden läpimitta on enintään 55 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09.2668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Polkupyöränrunko, valmistettu hiilikuidusta ja keinohartsista, polkupyörien (myös sähköpolkupyörien) valmistukseen tarkoitettu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350 000 kpl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9001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Kehystämättömät lasilinssit, prismat ja yhteenliitetyt elementit, CN-koodien 9002, 9005, 9013 10 ja 9015 tavaroiden valmistukseen tai korjaamiseen tarkoitetut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5 000 000 kpl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</w:tbl>
    <w:p>
      <w:pPr>
        <w:pStyle w:val="Paragraph"/>
        <w:rPr>
          <w:noProof/>
        </w:rPr>
      </w:pPr>
    </w:p>
    <w:tbl>
      <w:tblPr>
        <w:tblW w:w="0" w:type="auto"/>
        <w:tblCellSpacing w:w="0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8821"/>
      </w:tblGrid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(1)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Tullisuspensiota ei kuitenkaan sovelleta, jos käsittelyn tekee vähittäismyynti- tai ravintolayritys.</w:t>
            </w:r>
          </w:p>
        </w:tc>
      </w:tr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Tullisuspensio edellyttää, että tavarat ovat tietyn käyttötarkoituksen perusteella tullivalvonnassa unionin tullikoodeksista 9 päivänä lokakuuta 2013 annetun Euroopan parlamentin ja neuvoston asetuksen (EU) N:o 952/2013 (EUVL L 269, 10.10.2013, s. 1) 254 artiklan mukaisesti.</w:t>
            </w:r>
          </w:p>
        </w:tc>
      </w:tr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(3)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Vain arvotulli suspendoidaan. Paljoustullia kannetaan edelleen.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2240" w:h="15840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2ADF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E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A84C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02D8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846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1A2C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F426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A145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30 09:55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FigNum" w:val="1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NST_RESTREINT_UE" w:val="RESTREINT UE/EU RESTRICTED"/>
    <w:docVar w:name="LW_CORRIGENDUM" w:val="&lt;UNUSED&gt;"/>
    <w:docVar w:name="LW_COVERPAGE_EXISTS" w:val="True"/>
    <w:docVar w:name="LW_COVERPAGE_GUID" w:val="36E80E87-F68D-4628-9BA4-9C234DF8FCE8"/>
    <w:docVar w:name="LW_COVERPAGE_TYPE" w:val="1"/>
    <w:docVar w:name="LW_CROSSREFERENCE" w:val="&lt;UNUSED&gt;"/>
    <w:docVar w:name="LW_DocType" w:val="ANNEX"/>
    <w:docVar w:name="LW_EMISSION" w:val="2.5.2019"/>
    <w:docVar w:name="LW_EMISSION_ISODATE" w:val="2019-05-02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tiettyjä maatalous- ja teollisuustuotteita koskevien unionin autonomisten tariffikiintiöiden avaamisesta ja hallinnoinnista annetun asetuksen (EU) N:o&lt;LWCR:NBS&gt;1388/2013 muuttamisesta"/>
    <w:docVar w:name="LW_OBJETACTEPRINCIPAL.CP" w:val="tiettyjä maatalous- ja teollisuustuotteita koskevien unionin autonomisten tariffikiintiöiden avaamisesta ja hallinnoinnista annetun asetuksen (EU) N:o 1388/2013 muutt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neuvoston asetukseksi"/>
    <w:docVar w:name="LW_TYPEACTEPRINCIPAL.CP" w:val="Ehdotus neuvoston asetu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49E2-A4C6-4BF4-8165-560A11F4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10</Pages>
  <Words>3398</Words>
  <Characters>20660</Characters>
  <Application>Microsoft Office Word</Application>
  <DocSecurity>0</DocSecurity>
  <Lines>1377</Lines>
  <Paragraphs>1145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WES PDFC Administrator</cp:lastModifiedBy>
  <cp:revision>8</cp:revision>
  <cp:lastPrinted>2018-10-22T11:15:00Z</cp:lastPrinted>
  <dcterms:created xsi:type="dcterms:W3CDTF">2019-04-24T08:33:00Z</dcterms:created>
  <dcterms:modified xsi:type="dcterms:W3CDTF">2019-04-30T07:55:00Z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