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8EC5FB8F-1D2E-4BB1-A1D7-E41271425516" style="width:450.8pt;height:348.1pt">
            <v:imagedata r:id="rId9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jc w:val="center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RELATÓRIO DA COMISSÃO AO PARLAMENTO EUROPEU E AO CONSELHO</w:t>
      </w:r>
    </w:p>
    <w:p>
      <w:pPr>
        <w:jc w:val="center"/>
        <w:rPr>
          <w:b/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sobre o exercício do poder para adotar atos delegados conferido à Comissão nos termos do Regulamento (UE) n.º 1315/2013 do Parlamento Europeu e do Conselho, de 11 de dezembro de 2013, relativo às orientações da União para o desenvolvimento da rede transeuropeia de transportes e que revoga a Decisão n.º 661/2010/UE</w:t>
      </w:r>
    </w:p>
    <w:p>
      <w:pPr>
        <w:jc w:val="center"/>
        <w:rPr>
          <w:b/>
          <w:noProof/>
        </w:rPr>
      </w:pPr>
    </w:p>
    <w:p>
      <w:pPr>
        <w:rPr>
          <w:noProof/>
        </w:rPr>
      </w:pPr>
    </w:p>
    <w:p>
      <w:pPr>
        <w:jc w:val="both"/>
        <w:rPr>
          <w:b/>
          <w:noProof/>
        </w:rPr>
      </w:pPr>
      <w:r>
        <w:rPr>
          <w:b/>
          <w:noProof/>
        </w:rPr>
        <w:t xml:space="preserve">1. </w:t>
      </w:r>
      <w:r>
        <w:rPr>
          <w:noProof/>
        </w:rPr>
        <w:tab/>
      </w:r>
      <w:r>
        <w:rPr>
          <w:b/>
          <w:noProof/>
        </w:rPr>
        <w:t>INTRODUÇÃO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 xml:space="preserve">O Regulamento (UE) n.º 1315/2013 do Parlamento Europeu e do Conselho </w:t>
      </w:r>
      <w:r>
        <w:rPr>
          <w:i/>
          <w:noProof/>
        </w:rPr>
        <w:t>relativo às orientações da União para o desenvolvimento da rede transeuropeia de transportes e que revoga a Decisão n.º 661/2010/UE</w:t>
      </w:r>
      <w:r>
        <w:rPr>
          <w:noProof/>
          <w:vertAlign w:val="superscript"/>
        </w:rPr>
        <w:footnoteReference w:id="2"/>
      </w:r>
      <w:r>
        <w:rPr>
          <w:i/>
          <w:noProof/>
        </w:rPr>
        <w:t xml:space="preserve"> </w:t>
      </w:r>
      <w:r>
        <w:rPr>
          <w:noProof/>
        </w:rPr>
        <w:t>estabelece uma estratégia a longo prazo para o desenvolvimento de uma rede transeuropeia de transportes (RTE-T) completa, constituída por infraestruturas para os transportes ferroviários, marítimos e aéreos, estradas, vias navegáveis interiores e terminais rodoferroviários. O regulamento abrange a identificação dos elementos da RTE-T, as suas normas técnicas, bem como os requisitos de interoperabilidade das infraestruturas, definindo prioridades para o desenvolvimento da RTE-T.</w:t>
      </w:r>
    </w:p>
    <w:p>
      <w:pPr>
        <w:spacing w:before="120" w:after="240"/>
        <w:jc w:val="both"/>
        <w:rPr>
          <w:noProof/>
        </w:rPr>
      </w:pPr>
      <w:r>
        <w:rPr>
          <w:noProof/>
        </w:rPr>
        <w:t>O artigo 49.º, n.º 4, do Regulamento (UE) n.º 1315/2013 habilita a Comissão a adotar atos delegados no que diz respeito à adaptação dos anexos I e II, a fim de ter em conta eventuais alterações resultantes dos limiares quantitativos aplicáveis a certas componentes da RTE-T. Estes requisitos encontram-se estabelecidos nos artigos 14.º, 20.º, 24.º e 27.º do presente regulamento.</w:t>
      </w:r>
    </w:p>
    <w:p>
      <w:pPr>
        <w:spacing w:before="120" w:after="240"/>
        <w:jc w:val="both"/>
        <w:rPr>
          <w:noProof/>
        </w:rPr>
      </w:pPr>
      <w:r>
        <w:rPr>
          <w:noProof/>
        </w:rPr>
        <w:t>O artigo 49.º, n.º 6, do Regulamento (UE) n.º 1315/2013 habilita a Comissão a adotar atos delegados relativos à adaptação do anexo III de modo a incluir ou adaptar os mapas indicativos de países vizinhos.</w:t>
      </w:r>
    </w:p>
    <w:p>
      <w:pPr>
        <w:jc w:val="both"/>
        <w:rPr>
          <w:b/>
          <w:noProof/>
        </w:rPr>
      </w:pPr>
      <w:r>
        <w:rPr>
          <w:b/>
          <w:noProof/>
        </w:rPr>
        <w:t xml:space="preserve">2. </w:t>
      </w:r>
      <w:r>
        <w:rPr>
          <w:noProof/>
        </w:rPr>
        <w:tab/>
      </w:r>
      <w:r>
        <w:rPr>
          <w:b/>
          <w:noProof/>
        </w:rPr>
        <w:t>BASE JURÍDICA</w:t>
      </w:r>
    </w:p>
    <w:p>
      <w:pPr>
        <w:spacing w:before="120" w:after="240"/>
        <w:jc w:val="both"/>
        <w:rPr>
          <w:noProof/>
        </w:rPr>
      </w:pPr>
      <w:r>
        <w:rPr>
          <w:noProof/>
        </w:rPr>
        <w:t>O presente relatório é exigido nos termos do artigo 53.º, n.º 2, do Regulamento (UE) n.º 1315/2013.</w:t>
      </w:r>
    </w:p>
    <w:p>
      <w:pPr>
        <w:jc w:val="both"/>
        <w:rPr>
          <w:b/>
          <w:noProof/>
        </w:rPr>
      </w:pPr>
      <w:r>
        <w:rPr>
          <w:b/>
          <w:noProof/>
        </w:rPr>
        <w:t>3.</w:t>
      </w:r>
      <w:r>
        <w:rPr>
          <w:noProof/>
        </w:rPr>
        <w:tab/>
      </w:r>
      <w:r>
        <w:rPr>
          <w:b/>
          <w:noProof/>
        </w:rPr>
        <w:t>EXERCÍCIO DA DELEGAÇÃO</w:t>
      </w:r>
    </w:p>
    <w:p>
      <w:pPr>
        <w:spacing w:before="120" w:after="120"/>
        <w:jc w:val="both"/>
        <w:rPr>
          <w:b/>
          <w:noProof/>
        </w:rPr>
      </w:pPr>
    </w:p>
    <w:p>
      <w:pPr>
        <w:spacing w:before="120" w:after="120"/>
        <w:jc w:val="both"/>
        <w:rPr>
          <w:b/>
          <w:noProof/>
        </w:rPr>
      </w:pPr>
      <w:r>
        <w:rPr>
          <w:b/>
          <w:noProof/>
        </w:rPr>
        <w:t>3.1.</w:t>
      </w:r>
      <w:r>
        <w:rPr>
          <w:noProof/>
        </w:rPr>
        <w:tab/>
      </w:r>
      <w:r>
        <w:rPr>
          <w:b/>
          <w:noProof/>
        </w:rPr>
        <w:t>Adaptação da lista e dos mapas com base em dados estatísticos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 xml:space="preserve">O anexo I do Regulamento (UE) n.º 1315/2013 contém mapas das redes global e principal que definem o âmbito de aplicação do Regulamento (UE) n.º 1315/2013 e identificam os projetos de interesse comum. O anexo II deste regulamento estabelece a lista dos nós de ligação da rede principal e da rede global. 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Nos termos do artigo 49.º, n.º 4, do Regulamento (UE) n.º 1315/2013, a Comissão fica habilitada a adotar atos delegados que adaptem os mapas e as listas que constam do anexo ao regulamento no que diz respeito aos limiares quantitativos necessários que devem ser respeitados pelos portos marítimos e fluviais, pelos aeroportos e pelos terminais rodoferroviários para que possam fazer parte da RTE-T. Estas adaptações baseiam-se nas últimas estatísticas publicadas pelo Eurostat ou, se estas não estiverem disponíveis, pelos serviços nacionais de estatística. A Comissão pode igualmente ajustar os mapas da infraestrutura rodoviária, ferroviária e das vias navegáveis interiores de modo a refletir unicamente os progressos registados na conclusão da rede.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A Comissão lançou o processo de atualização na reunião do Comité RTE-T de 30 de setembro de 2015 e consultou peritos das autoridades competentes dos Estados-Membros, na presença de peritos do Parlamento Europeu, numa reunião que decorreu em 9 de dezembro de 2015 e em 16 de março de 2016.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Com base neste processo de consulta e na análise dos dados disponíveis, a Comissão adotou, em 7 de dezembro de 2016, o Regulamento Delegado (UE) n.º 2017/849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As adaptações previstas no regulamento delegado não incluem as exclusões nos termos do artigo 49.º, n.º 4, alínea b), uma vez que esta avaliação só será relevante seis anos após a adoção do Regulamento (UE) n.º 1315/2013.</w:t>
      </w:r>
    </w:p>
    <w:p>
      <w:pPr>
        <w:spacing w:before="120" w:after="120"/>
        <w:jc w:val="both"/>
        <w:rPr>
          <w:b/>
          <w:noProof/>
        </w:rPr>
      </w:pPr>
    </w:p>
    <w:p>
      <w:pPr>
        <w:spacing w:before="120" w:after="120"/>
        <w:jc w:val="both"/>
        <w:rPr>
          <w:b/>
          <w:noProof/>
        </w:rPr>
      </w:pPr>
      <w:r>
        <w:rPr>
          <w:b/>
          <w:noProof/>
        </w:rPr>
        <w:t>3.2.</w:t>
      </w:r>
      <w:r>
        <w:rPr>
          <w:noProof/>
        </w:rPr>
        <w:tab/>
      </w:r>
      <w:r>
        <w:rPr>
          <w:b/>
          <w:noProof/>
        </w:rPr>
        <w:t>Adaptação dos mapas indicativos de países vizinhos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O anexo III do Regulamento (UE) n.º 1315/2013 contém mapas indicativos de determinados países vizinhos.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O artigo 49.º, n.º 6, do Regulamento (UE) n.º 1315/2013 prevê a possibilidade de adotar atos delegados para adaptar esses mapas ou incluir mapas de mais países vizinhos, com base em acordos de alto nível sobre redes de infraestruturas de transportes entre a União e os países vizinhos em causa.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A Comissão recorreu a esta delegação nos seguintes casos: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a) A Comissão adotou, em 17 de janeiro de 2014, o Regulamento Delegado (UE) n.º 473/2014</w:t>
      </w:r>
      <w:r>
        <w:rPr>
          <w:rStyle w:val="FootnoteReference"/>
          <w:noProof/>
        </w:rPr>
        <w:footnoteReference w:id="4"/>
      </w:r>
      <w:r>
        <w:rPr>
          <w:noProof/>
        </w:rPr>
        <w:t>. Este regulamento diz respeito às linhas da rede ferroviária e rodoviária, bem como aos portos, aeroportos e terminais rodoferroviários da rede global nos seguintes países terceiros: Bielorrússia, Ucrânia, Moldávia, Geórgia, Arménia, Azerbaijão e Rússia.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b) A Comissão adotou, em 4 de fevereiro de 2016, o Regulamento Delegado (UE) 2016/758</w:t>
      </w:r>
      <w:r>
        <w:rPr>
          <w:rStyle w:val="FootnoteReference"/>
          <w:noProof/>
        </w:rPr>
        <w:footnoteReference w:id="5"/>
      </w:r>
      <w:r>
        <w:rPr>
          <w:noProof/>
        </w:rPr>
        <w:t>. Este regulamento diz respeito à identificação das ligações da rede principal nos mapas da rede global no que se refere às redes ferroviárias e rodoviárias, bem como aos portos e aeroportos dos seguintes países terceiros: Albânia, Bósnia-Herzegovina, Kosovo, República da Macedónia do Norte, Montenegro e Sérvia.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footnoteReference w:customMarkFollows="1" w:id="6"/>
        <w:t>c) A Comissão adotou, em 9 de novembro de 2018, o Regulamento Delegado n.º 2019/254</w:t>
      </w:r>
      <w:r>
        <w:rPr>
          <w:rStyle w:val="FootnoteReference"/>
          <w:noProof/>
        </w:rPr>
        <w:footnoteReference w:id="7"/>
      </w:r>
      <w:r>
        <w:rPr>
          <w:noProof/>
        </w:rPr>
        <w:t>. Este regulamento diz respeito à revisão da extensão indicativa dos mapas da rede global RTE</w:t>
      </w:r>
      <w:r>
        <w:rPr>
          <w:noProof/>
        </w:rPr>
        <w:noBreakHyphen/>
        <w:t>T, bem como à identificação das ligações da rede principal nos mapas da rede global nos seguintes países terceiros: a Arménia, o Azerbaijão, a Bielorrússia, a Geórgia, a Moldávia e a Ucrânia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spacing w:before="120" w:after="120"/>
        <w:jc w:val="both"/>
        <w:rPr>
          <w:noProof/>
        </w:rPr>
      </w:pPr>
    </w:p>
    <w:p>
      <w:pPr>
        <w:spacing w:before="120" w:after="120"/>
        <w:jc w:val="both"/>
        <w:rPr>
          <w:noProof/>
        </w:rPr>
      </w:pPr>
      <w:r>
        <w:rPr>
          <w:noProof/>
        </w:rPr>
        <w:t>Antes da adoção de todos os atos delegados acima referidos, a Comissão consultou peritos dos Estados-Membros e os representantes do Parlamento Europeu.</w:t>
      </w:r>
    </w:p>
    <w:p>
      <w:pPr>
        <w:spacing w:before="120" w:after="120"/>
        <w:jc w:val="both"/>
        <w:rPr>
          <w:noProof/>
        </w:rPr>
      </w:pPr>
    </w:p>
    <w:p>
      <w:pPr>
        <w:jc w:val="both"/>
        <w:rPr>
          <w:b/>
          <w:noProof/>
        </w:rPr>
      </w:pPr>
      <w:r>
        <w:rPr>
          <w:b/>
          <w:noProof/>
        </w:rPr>
        <w:t xml:space="preserve">4. </w:t>
      </w:r>
      <w:r>
        <w:rPr>
          <w:noProof/>
        </w:rPr>
        <w:tab/>
      </w:r>
      <w:r>
        <w:rPr>
          <w:b/>
          <w:noProof/>
        </w:rPr>
        <w:t>CONCLUSÃO E PERSPETIVAS PARA O FUTURO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A Comissão convida o Parlamento Europeu e o Conselho a tomar nota do presente relatório.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No futuro, a Comissão tenciona exercer os seus poderes delegados para proceder a novas adaptações dos anexos I, II e III do Regulamento (UE)  1315/2013.</w:t>
      </w:r>
    </w:p>
    <w:p>
      <w:pPr>
        <w:pStyle w:val="Corps"/>
        <w:spacing w:before="240" w:after="240" w:line="240" w:lineRule="auto"/>
        <w:jc w:val="both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072"/>
        <w:tab w:val="right" w:pos="9046"/>
      </w:tabs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JO L 348 de 20.12.2013, p. 1.</w:t>
      </w:r>
    </w:p>
  </w:footnote>
  <w:footnote w:id="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Regulamento Delegado (UE) 2017/849 da Comissão, de 7 de dezembro de 2016, que altera o Regulamento (UE) n.º 1315/2013 do Parlamento Europeu e do Conselho no que se refere aos mapas que constam do anexo I e à lista incluída no anexo II deste regulamento, JO L 128I de 19.5.2016, p. 1</w:t>
      </w:r>
    </w:p>
  </w:footnote>
  <w:footnote w:id="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Regulamento Delegado (UE) n.º 473/2014 da Comissão, de 17 de janeiro de 2014, que altera o Regulamento (UE) n.º 1315/2013 do Parlamento Europeu e do Conselho complementando o seu anexo III com novos mapas indicativos, JO L 136 de 9.5.2016, p. 10.</w:t>
      </w:r>
    </w:p>
  </w:footnote>
  <w:footnote w:id="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Regulamento Delegado (UE) 2016/758 da Comissão, de 4 de fevereiro de 2016, que altera o Regulamento (UE) n.º 1315/2013 do Parlamento Europeu e do Conselho no que se refere à adaptação do anexo III, JO L 126 de 14.5.2016, p. 3.</w:t>
      </w:r>
    </w:p>
  </w:footnote>
  <w:footnote w:id="6">
    <w:p>
      <w:pPr>
        <w:pStyle w:val="Footnote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Esta designação não prejudica as posições relativas ao estatuto e está conforme com a Resolução 1244/1999 do CSNU e com o parecer do TIJ sobre a Declaração de Independência do Kosovo.</w:t>
      </w:r>
    </w:p>
  </w:footnote>
  <w:footnote w:id="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Regulamento Delegado (UE) 2019/254 da Comissão, de 9 de novembro de 2018, sobre a adaptação do anexo III do Regulamento (UE) n.º 1315/2013 do Parlamento Europeu e do Conselho relativo às orientações da União para o desenvolvimento da rede transeuropeia de transportes.</w:t>
      </w:r>
    </w:p>
  </w:footnote>
  <w:footnote w:id="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Em 2 de fevereiro de 2017, a Comissão adotou um regulamento delegado para adaptar os mapas indicativos da rede principal da RTE-T na Turquia e nos países parceiros da Europa Oriental, com base no artigo 49.º, n.º 6, do Regulamento RTE-T. No entanto, a Comissão decidiu retirar este regulamento delegado devido às preocupações expressas pelos Estados-Membros. Por conseguinte, a delegação não foi exercida no caso vertente.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EE0"/>
    <w:multiLevelType w:val="multilevel"/>
    <w:tmpl w:val="054CA020"/>
    <w:numStyleLink w:val="Style1import"/>
  </w:abstractNum>
  <w:abstractNum w:abstractNumId="1">
    <w:nsid w:val="163A64C4"/>
    <w:multiLevelType w:val="multilevel"/>
    <w:tmpl w:val="054CA020"/>
    <w:styleLink w:val="Style1import"/>
    <w:lvl w:ilvl="0">
      <w:start w:val="1"/>
      <w:numFmt w:val="decimal"/>
      <w:lvlText w:val="%1."/>
      <w:lvlJc w:val="left"/>
      <w:pPr>
        <w:tabs>
          <w:tab w:val="left" w:pos="85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1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850"/>
        </w:tabs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850"/>
        </w:tabs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85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850"/>
        </w:tabs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850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BBC5AB2"/>
    <w:multiLevelType w:val="hybridMultilevel"/>
    <w:tmpl w:val="364A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8" w:hanging="4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0" w:hanging="1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4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28" w:hanging="7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2" w:hanging="9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36" w:hanging="10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0" w:hanging="12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16" w:hanging="14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WINSKI Jakub (MOVE)">
    <w15:presenceInfo w15:providerId="None" w15:userId="SIWINSKI Jakub (MOV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DocStatus" w:val="Green"/>
    <w:docVar w:name="LW_CORRIGENDUM" w:val="&lt;UNUSED&gt;"/>
    <w:docVar w:name="LW_COVERPAGE_EXISTS" w:val="True"/>
    <w:docVar w:name="LW_COVERPAGE_GUID" w:val="8EC5FB8F-1D2E-4BB1-A1D7-E41271425516"/>
    <w:docVar w:name="LW_COVERPAGE_TYPE" w:val="1"/>
    <w:docVar w:name="LW_CROSSREFERENCE" w:val="&lt;UNUSED&gt;"/>
    <w:docVar w:name="LW_DocType" w:val="NORMAL"/>
    <w:docVar w:name="LW_EMISSION" w:val="6.5.2019"/>
    <w:docVar w:name="LW_EMISSION_ISODATE" w:val="2019-05-06"/>
    <w:docVar w:name="LW_EMISSION_LOCATION" w:val="BRX"/>
    <w:docVar w:name="LW_EMISSION_PREFIX" w:val="Bruxelas, "/>
    <w:docVar w:name="LW_EMISSION_SUFFIX" w:val=" "/>
    <w:docVar w:name="LW_ID_DOCTYPE_NONLW" w:val="CP-006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2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FMT:Bold&gt;sobre o exercício do poder para adotar atos delegados conferido à Comissão nos termos do Regulamento (UE) n.º 1315/2013 do Parlamento Europeu e do Conselho, de 11 de dezembro de 2013, relativo às orientações da União para o desenvolvimento da rede transeuropeia de transportes e que revoga a Decisão n.º 661/2010/UE&lt;/FMT&gt;_x000d__x000d__x000d__x000d__x000d__x000d__x000d__x000b_"/>
    <w:docVar w:name="LW_TYPE.DOC.CP" w:val="RELATÓRIO DA COMISSÃO AO PARLAMENTO EUROPEU E A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pt-PT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Pagedecouverture">
    <w:name w:val="Page de couverture"/>
    <w:next w:val="Corps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Corps">
    <w:name w:val="Corps"/>
    <w:link w:val="Corps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FootnoteText">
    <w:name w:val="footnote text"/>
    <w:link w:val="FootnoteTextChar"/>
    <w:uiPriority w:val="99"/>
    <w:rPr>
      <w:rFonts w:ascii="Calibri" w:eastAsia="Calibri" w:hAnsi="Calibri" w:cs="Calibri"/>
      <w:color w:val="000000"/>
      <w:u w:color="000000"/>
    </w:rPr>
  </w:style>
  <w:style w:type="paragraph" w:customStyle="1" w:styleId="ManualHeading2">
    <w:name w:val="Manual Heading 2"/>
    <w:next w:val="Corps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 w:eastAsia="pt-P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pt-PT" w:eastAsia="pt-PT"/>
    </w:rPr>
  </w:style>
  <w:style w:type="paragraph" w:customStyle="1" w:styleId="CM1">
    <w:name w:val="CM1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character" w:customStyle="1" w:styleId="A3">
    <w:name w:val="A3"/>
    <w:uiPriority w:val="99"/>
    <w:rPr>
      <w:rFonts w:cs="EC Square Sans Pro"/>
      <w:color w:val="000000"/>
      <w:sz w:val="22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pt-PT" w:eastAsia="pt-PT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Calibri"/>
      <w:color w:val="000000"/>
      <w:u w:color="000000"/>
      <w:lang w:val="pt-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CorpsChar">
    <w:name w:val="Corps Char"/>
    <w:basedOn w:val="DefaultParagraphFont"/>
    <w:link w:val="Corps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SensitivityChar">
    <w:name w:val="Footer Sensitivity Char"/>
    <w:basedOn w:val="Corps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CorpsChar"/>
    <w:link w:val="HeaderCoverPage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Corps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pt-PT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Pagedecouverture">
    <w:name w:val="Page de couverture"/>
    <w:next w:val="Corps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Corps">
    <w:name w:val="Corps"/>
    <w:link w:val="Corps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FootnoteText">
    <w:name w:val="footnote text"/>
    <w:link w:val="FootnoteTextChar"/>
    <w:uiPriority w:val="99"/>
    <w:rPr>
      <w:rFonts w:ascii="Calibri" w:eastAsia="Calibri" w:hAnsi="Calibri" w:cs="Calibri"/>
      <w:color w:val="000000"/>
      <w:u w:color="000000"/>
    </w:rPr>
  </w:style>
  <w:style w:type="paragraph" w:customStyle="1" w:styleId="ManualHeading2">
    <w:name w:val="Manual Heading 2"/>
    <w:next w:val="Corps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 w:eastAsia="pt-P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pt-PT" w:eastAsia="pt-PT"/>
    </w:rPr>
  </w:style>
  <w:style w:type="paragraph" w:customStyle="1" w:styleId="CM1">
    <w:name w:val="CM1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character" w:customStyle="1" w:styleId="A3">
    <w:name w:val="A3"/>
    <w:uiPriority w:val="99"/>
    <w:rPr>
      <w:rFonts w:cs="EC Square Sans Pro"/>
      <w:color w:val="000000"/>
      <w:sz w:val="22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pt-PT" w:eastAsia="pt-PT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Calibri"/>
      <w:color w:val="000000"/>
      <w:u w:color="000000"/>
      <w:lang w:val="pt-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CorpsChar">
    <w:name w:val="Corps Char"/>
    <w:basedOn w:val="DefaultParagraphFont"/>
    <w:link w:val="Corps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SensitivityChar">
    <w:name w:val="Footer Sensitivity Char"/>
    <w:basedOn w:val="Corps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CorpsChar"/>
    <w:link w:val="HeaderCoverPage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Corps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BF5B-78E7-45A7-AA85-DE917114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893</Words>
  <Characters>4782</Characters>
  <Application>Microsoft Office Word</Application>
  <DocSecurity>0</DocSecurity>
  <Lines>86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23</cp:revision>
  <cp:lastPrinted>2019-04-25T16:03:00Z</cp:lastPrinted>
  <dcterms:created xsi:type="dcterms:W3CDTF">2019-04-24T09:41:00Z</dcterms:created>
  <dcterms:modified xsi:type="dcterms:W3CDTF">2019-05-02T11:16:00Z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