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6350E141-8440-44CB-A285-B0677A713B1A" style="width:450.8pt;height:320.5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code="9"/>
          <w:pgMar w:top="1134" w:right="1417" w:bottom="1134" w:left="1417" w:header="709" w:footer="709" w:gutter="0"/>
          <w:pgNumType w:start="0"/>
          <w:cols w:space="720"/>
          <w:docGrid w:linePitch="326"/>
        </w:sectPr>
      </w:pPr>
    </w:p>
    <w:p>
      <w:pPr>
        <w:pStyle w:val="Heading1"/>
        <w:rPr>
          <w:noProof/>
        </w:rPr>
      </w:pPr>
      <w:bookmarkStart w:id="1" w:name="_GoBack"/>
      <w:bookmarkEnd w:id="1"/>
      <w:r>
        <w:rPr>
          <w:noProof/>
        </w:rPr>
        <w:lastRenderedPageBreak/>
        <w:t>ÚVOD</w:t>
      </w:r>
    </w:p>
    <w:p>
      <w:pPr>
        <w:rPr>
          <w:noProof/>
        </w:rPr>
      </w:pPr>
      <w:r>
        <w:rPr>
          <w:noProof/>
        </w:rPr>
        <w:t>V nariadení (EÚ, Euratom) č. 1141/2014 o štatúte a financovaní európskych politických strán a európskych politických nadácií</w:t>
      </w:r>
      <w:r>
        <w:rPr>
          <w:noProof/>
          <w:vertAlign w:val="superscript"/>
        </w:rPr>
        <w:footnoteReference w:id="1"/>
      </w:r>
      <w:r>
        <w:rPr>
          <w:noProof/>
        </w:rPr>
        <w:t xml:space="preserve"> (ďalej len „nariadenie o európskych politických stranách“) sa stanovujú podmienky upravujúce štatút a financovanie politických strán a politických nadácií na európskej úrovni. Na základe tohto nariadenia sa európske politické strany a nadácie, ktoré spĺňajú viaceré podmienky, môžu stať európskym právnym subjektom prostredníctvom registrácie na európskej úrovni, čím získajú prístup k európskej finančnej podpore. K týmto podmienkam patrí dodržiavanie hodnôt (v programe aj v činnostiach), na ktorých je založená Únia a ktoré sú uvedené v článku 2 Zmluvy o Európskej únii: úcta k ľudskej dôstojnosti, sloboda, demokracia, rovnosť, právny štát a rešpektovanie ľudských práv vrátane práv osôb patriacich k menšinám. Na účely registrácie a monitorovania európskych politických strán a nadácií a v prípade potreby aj na účely ukladania sankcií týmto stranám a nadáciám bol vytvorený nezávislý Úrad pre európske politické strany a nadácie (ďalej len „úrad“), ktorého úlohou je aj posudzovať prípady, v ktorých tieto subjekty údajne nedodržiavajú tieto základné európske hodnoty.</w:t>
      </w:r>
    </w:p>
    <w:p>
      <w:pPr>
        <w:rPr>
          <w:noProof/>
        </w:rPr>
      </w:pPr>
      <w:r>
        <w:rPr>
          <w:noProof/>
        </w:rPr>
        <w:t>Nariadenie o európskych politických stranách bolo prijaté 22. októbra 2014 a nadobudlo účinnosť dvadsiatym dňom po jeho uverejnení v úradnom vestníku, teda 24. novembra 2014. Väčšina ustanovení tohto nariadenia sa uplatňuje od 1. januára 2017. Komisia však bola požiadaná, aby najneskôr do 1. júla 2015 prijala delegované akty uvedené v článku 7 ods. 2 a v článku 8 ods. 3 písm. a).</w:t>
      </w:r>
    </w:p>
    <w:p>
      <w:pPr>
        <w:pStyle w:val="Heading1"/>
        <w:rPr>
          <w:noProof/>
        </w:rPr>
      </w:pPr>
      <w:r>
        <w:rPr>
          <w:noProof/>
        </w:rPr>
        <w:t>PRÁVNY ZÁKLAD</w:t>
      </w:r>
    </w:p>
    <w:p>
      <w:pPr>
        <w:rPr>
          <w:noProof/>
        </w:rPr>
      </w:pPr>
      <w:r>
        <w:rPr>
          <w:noProof/>
        </w:rPr>
        <w:t>Predkladaná správa sa vyžaduje podľa článku 36 ods. 2 nariadenia o európskych politických stranách. Podľa uvedeného ustanovenia sa Komisii zveruje delegovanie právomocí na obdobie piatich rokov od 24. novembra 2014 a Komisia je povinná vypracovať správu týkajúcu sa delegovaných právomocí najneskôr deväť mesiacov pred uplynutím tohto päťročného obdobia, t. j. pred 24. februárom 2019. V tom istom článku sa stanovuje, že delegovanie právomocí sa automaticky predlžuje o rovnako dlhé obdobia, pokiaľ Európsky parlament alebo Rada nevznesú voči takémuto predĺženiu námietku najneskôr tri mesiace pred koncom každého obdobia.</w:t>
      </w:r>
    </w:p>
    <w:p>
      <w:pPr>
        <w:pStyle w:val="Heading1"/>
        <w:rPr>
          <w:noProof/>
        </w:rPr>
      </w:pPr>
      <w:r>
        <w:rPr>
          <w:noProof/>
        </w:rPr>
        <w:t>VYKONÁVANIE DELEGOVANÝCH PRÁVOMOCÍ</w:t>
      </w:r>
    </w:p>
    <w:p>
      <w:pPr>
        <w:rPr>
          <w:noProof/>
        </w:rPr>
      </w:pPr>
      <w:r>
        <w:rPr>
          <w:noProof/>
        </w:rPr>
        <w:t>Podľa nariadenia o európskych politických stranách je Komisia splnomocnená prijímať delegované akty s cieľom:</w:t>
      </w:r>
    </w:p>
    <w:p>
      <w:pPr>
        <w:pStyle w:val="LegalNumPar2"/>
        <w:ind w:left="476"/>
        <w:rPr>
          <w:noProof/>
        </w:rPr>
      </w:pPr>
      <w:r>
        <w:rPr>
          <w:noProof/>
        </w:rPr>
        <w:t>zabezpečiť riadne fungovanie registra európskych politických strán a nadácií, pokiaľ ide o (pozri článok 7 ods. 2 nariadenia o európskych politických stranách):</w:t>
      </w:r>
    </w:p>
    <w:p>
      <w:pPr>
        <w:pStyle w:val="LegalNumPar3"/>
        <w:jc w:val="both"/>
        <w:rPr>
          <w:noProof/>
        </w:rPr>
      </w:pPr>
      <w:r>
        <w:rPr>
          <w:noProof/>
        </w:rPr>
        <w:t>informácie a podporné dokumenty uložené v úrade, pre ktoré má byť register príslušným archívom (ktoré zahŕňajú stanovy, akékoľvek iné dokumenty predložené ako súčasť žiadostí o registráciu, akékoľvek dokumenty od členského štátu sídla, informácie o totožnosti osôb, ktoré sú členmi orgánov alebo zastávajú úrady, ktorým boli zverené právomoci administratívneho, finančného alebo právneho zastúpenia);</w:t>
      </w:r>
    </w:p>
    <w:p>
      <w:pPr>
        <w:pStyle w:val="LegalNumPar3"/>
        <w:jc w:val="both"/>
        <w:rPr>
          <w:noProof/>
        </w:rPr>
      </w:pPr>
      <w:r>
        <w:rPr>
          <w:noProof/>
        </w:rPr>
        <w:lastRenderedPageBreak/>
        <w:t>materiály, v prípade ktorých má byť register príslušný osvedčovať zákonnosť stanovenú úradom;</w:t>
      </w:r>
    </w:p>
    <w:p>
      <w:pPr>
        <w:pStyle w:val="LegalNumPar2"/>
        <w:ind w:left="476"/>
        <w:jc w:val="both"/>
        <w:rPr>
          <w:noProof/>
        </w:rPr>
      </w:pPr>
      <w:r>
        <w:rPr>
          <w:noProof/>
        </w:rPr>
        <w:t>identifikovať akékoľvek doplňujúce informácie alebo podporné dokumenty, potrebné na to, aby úrad v plnej miere vykonával svoje povinnosti, pokiaľ ide o fungovanie uvedeného registra európskych politických strán a nadácií [pozri článok 8 ods. 3 písm. a) nariadenia o európskych politických stranách];</w:t>
      </w:r>
    </w:p>
    <w:p>
      <w:pPr>
        <w:pStyle w:val="LegalNumPar2"/>
        <w:ind w:left="476"/>
        <w:jc w:val="both"/>
        <w:rPr>
          <w:noProof/>
        </w:rPr>
      </w:pPr>
      <w:r>
        <w:rPr>
          <w:noProof/>
        </w:rPr>
        <w:t>zmeniť štandardné vyhlásenie uvedené v prílohe k nariadeniu o európskych politických stranách, pokiaľ ide o konkrétne údaje, ktoré má v prípade potreby vyplniť žiadateľ s cieľom zaistiť dostatočné množstvo informácií o signatárovi, jeho mandáte a európskej politickej strane alebo európskej politickej nadácii, ktorú má poverenie zastupovať [článok 8 ods. 3 písm. b) nariadenia o európskych politických stranách].</w:t>
      </w:r>
    </w:p>
    <w:p>
      <w:pPr>
        <w:rPr>
          <w:noProof/>
        </w:rPr>
      </w:pPr>
      <w:r>
        <w:rPr>
          <w:noProof/>
        </w:rPr>
        <w:t>Komisia prijala jeden delegovaný akt na základe vyššie uvedeného článku 7 ods. 2 a článku 8 ods. 3 písm. a), konkrétne delegované nariadenie Komisie (EÚ, Euratom) 2015/2401 z 2. októbra 2015 o obsahu a fungovaní registra európskych politických strán a nadácií</w:t>
      </w:r>
      <w:r>
        <w:rPr>
          <w:rStyle w:val="FootnoteReference"/>
          <w:noProof/>
        </w:rPr>
        <w:footnoteReference w:id="2"/>
      </w:r>
      <w:r>
        <w:rPr>
          <w:noProof/>
        </w:rPr>
        <w:t>.</w:t>
      </w:r>
    </w:p>
    <w:p>
      <w:pPr>
        <w:rPr>
          <w:noProof/>
        </w:rPr>
      </w:pPr>
      <w:r>
        <w:rPr>
          <w:noProof/>
        </w:rPr>
        <w:t>Vykonávanie tohto splnomocnenia bolo nevyhnutné na určenie toho, ktoré informácie a doplňujúce a podporné dokumenty sa majú uchovávať v registri.</w:t>
      </w:r>
    </w:p>
    <w:p>
      <w:pPr>
        <w:pStyle w:val="Heading2"/>
        <w:rPr>
          <w:noProof/>
        </w:rPr>
      </w:pPr>
      <w:r>
        <w:rPr>
          <w:noProof/>
        </w:rPr>
        <w:t>DELEGOVANÝ AKT, KTORÝM SA DOPĹŇA NARIADENIE O EURÓPSKYCH POLITICKÝCH STRANÁCH</w:t>
      </w:r>
    </w:p>
    <w:p>
      <w:pPr>
        <w:rPr>
          <w:noProof/>
        </w:rPr>
      </w:pPr>
      <w:r>
        <w:rPr>
          <w:noProof/>
        </w:rPr>
        <w:t>Podľa článku 7 ods. 1 nariadenia o európskych politických stranách úrad vytvorí a spravuje register európskych politických strán a nadácií (ďalej len „register“). Tento register je archívom informácií, údajov a dokumentov predložených spolu so žiadosťami o registráciu ako európska politická strana alebo európska politická nadácia, ako aj všetkých ďalších informácií, údajov a dokumentov, ktoré predloží európska politická strana alebo európska politická nadácia na základe nariadenia o politických stranách.</w:t>
      </w:r>
    </w:p>
    <w:p>
      <w:pPr>
        <w:rPr>
          <w:noProof/>
        </w:rPr>
      </w:pPr>
      <w:r>
        <w:rPr>
          <w:noProof/>
        </w:rPr>
        <w:t>Delegované nariadenie (EÚ, Euratom) 2015/2401 bolo prijaté na základe článku 7 ods. 2 a článku 8 ods. 3 písm. a) nariadenia o európskych politických stranách. Stanovujú sa v ňom dokumenty, ktoré európske politické strany a nadácie musia poskytnúť registru, napríklad stanovy, štandardné vyhlásenie pripojené k nariadeniu o európskych politických stranách; podrobný opis ich finančnej, riadiacej a správnej štruktúry a vyhlásenia členských štátov potvrdzujúce, že žiadateľ splnil všetky príslušné vnútroštátne požiadavky (v prípade potreby). V delegovanom nariadení sa takisto uvádzajú informácie, ktoré sa v registri uchovávajú aktualizované, okrem iného napríklad typ subjektu; registračné číslo, celý názov, skratka a logo; členský štát, v ktorom má európska politická strana alebo európska politická nadácia svoje sídlo; adresa sídla, dátum registrácie a iné.</w:t>
      </w:r>
    </w:p>
    <w:p>
      <w:pPr>
        <w:rPr>
          <w:noProof/>
        </w:rPr>
      </w:pPr>
      <w:r>
        <w:rPr>
          <w:noProof/>
        </w:rPr>
        <w:t>Delegované nariadenie (EÚ, Euratom) 2015/2401 bolo prijaté 2. októbra 2015 a oznámené Európskemu parlamentu a Rade. Európsky parlament ani Rada v lehote dvoch mesiacov stanovenej podľa článku 36 ods. 5 nariadenia o európskych politických stranách nevzniesli proti delegovanému aktu žiadne námietky. Žiadna z týchto inštitúcií nenavrhla predĺženie danej dvojmesačnej lehoty o ďalšie dva mesiace v zmysle toho istého ustanovenia.</w:t>
      </w:r>
    </w:p>
    <w:p>
      <w:pPr>
        <w:rPr>
          <w:noProof/>
        </w:rPr>
      </w:pPr>
      <w:r>
        <w:rPr>
          <w:noProof/>
        </w:rPr>
        <w:t>Po uplynutí dvojmesačného obdobia bolo delegované nariadenie (EÚ, Euratom) 2015/2401 uverejnené v úradnom vestníku</w:t>
      </w:r>
      <w:r>
        <w:rPr>
          <w:noProof/>
          <w:vertAlign w:val="superscript"/>
        </w:rPr>
        <w:footnoteReference w:id="3"/>
      </w:r>
      <w:r>
        <w:rPr>
          <w:noProof/>
        </w:rPr>
        <w:t xml:space="preserve"> a účinnosť nadobudlo 8. januára 2016.</w:t>
      </w:r>
    </w:p>
    <w:p>
      <w:pPr>
        <w:rPr>
          <w:b/>
          <w:noProof/>
        </w:rPr>
      </w:pPr>
      <w:r>
        <w:rPr>
          <w:noProof/>
        </w:rPr>
        <w:lastRenderedPageBreak/>
        <w:t>Komisia zatiaľ neprijala delegované akty na základe článku 8 ods. 3 písm. b) nariadenia o európskych politických stranách na účely zmien štandardného formálneho vyhlásenia uvedeného v prílohe, keďže štandardné vyhlásenie uvedené v prílohe k nariadeniu o európskych politických stranách je stále v platnosti, a aby sa dala posúdiť potreba zmeny uvedeného nariadenia, treba získať viac skúseností s jeho uplatňovaním.</w:t>
      </w:r>
    </w:p>
    <w:p>
      <w:pPr>
        <w:pStyle w:val="Heading1"/>
        <w:rPr>
          <w:noProof/>
        </w:rPr>
      </w:pPr>
      <w:r>
        <w:rPr>
          <w:noProof/>
        </w:rPr>
        <w:t>ZÁVER</w:t>
      </w:r>
    </w:p>
    <w:p>
      <w:pPr>
        <w:rPr>
          <w:noProof/>
        </w:rPr>
      </w:pPr>
      <w:r>
        <w:rPr>
          <w:noProof/>
        </w:rPr>
        <w:t>Komisia vykonávala delegované právomoci, ktoré jej boli udelené na základe článku 7 ods. 2 a článku 8 ods. 3 písm. a) nariadenia o európskych politických stranách. Komisia považuje za nevyhnutné predĺžiť toto splnomocnenie, aby sa v budúcnosti mohlo zmeniť alebo bližšie určiť, ktoré informácie a podporné dokumenty sa majú uchovávať v registri európskych politických strán a európskych politických nadácií.</w:t>
      </w:r>
    </w:p>
    <w:p>
      <w:pPr>
        <w:rPr>
          <w:noProof/>
        </w:rPr>
      </w:pPr>
      <w:r>
        <w:rPr>
          <w:noProof/>
        </w:rPr>
        <w:t>Komisia považuje za potrebné aj delegované právomoci na základe článku 8 ods. 3 písm. b) nariadenia o európskych politických stranách, a to na účely zmien štandardného vyhlásenia uvedeného v prílohe k nariadeniu. Aby sa dala posúdiť potreba takéhoto ustanovenia, treba získať viac skúseností s uplatňovaním nariadenia o európskych politických stranách.</w:t>
      </w:r>
    </w:p>
    <w:p>
      <w:pPr>
        <w:rPr>
          <w:noProof/>
        </w:rPr>
      </w:pPr>
      <w:r>
        <w:rPr>
          <w:noProof/>
        </w:rPr>
        <w:t>Komisia touto správou spĺňa požiadavku na podávanie správ podľa článku 36 ods. 2 nariadenia o európskych politických stranách a vyzýva Európsky parlament a Radu, aby túto správu vzali na vedomie.</w:t>
      </w:r>
    </w:p>
    <w:sectPr>
      <w:headerReference w:type="even" r:id="rId19"/>
      <w:headerReference w:type="default" r:id="rId20"/>
      <w:footerReference w:type="even" r:id="rId21"/>
      <w:footerReference w:type="default" r:id="rId22"/>
      <w:headerReference w:type="first" r:id="rId23"/>
      <w:footerReference w:type="first" r:id="rId24"/>
      <w:pgSz w:w="11906" w:h="16838" w:code="9"/>
      <w:pgMar w:top="1021" w:right="1418" w:bottom="1021" w:left="1418"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PAGE   \* MERGEFORMAT</w:instrText>
    </w:r>
    <w:r>
      <w:rPr>
        <w:rFonts w:ascii="Times New Roman" w:hAnsi="Times New Roman"/>
        <w:sz w:val="20"/>
      </w:rPr>
      <w:fldChar w:fldCharType="separate"/>
    </w:r>
    <w:r>
      <w:rPr>
        <w:rFonts w:ascii="Times New Roman" w:hAnsi="Times New Roman"/>
        <w:sz w:val="20"/>
      </w:rPr>
      <w:t>2</w:t>
    </w:r>
    <w:r>
      <w:rPr>
        <w:rFonts w:ascii="Times New Roman" w:hAnsi="Times New Roman"/>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rPr>
        <w:rFonts w:ascii="Times New Roman" w:hAnsi="Times New Roman"/>
        <w:sz w:val="22"/>
        <w:szCs w:val="24"/>
      </w:rPr>
    </w:pPr>
    <w:r>
      <w:rPr>
        <w:rFonts w:ascii="Times New Roman" w:hAnsi="Times New Roman"/>
        <w:sz w:val="22"/>
        <w:szCs w:val="24"/>
      </w:rPr>
      <w:fldChar w:fldCharType="begin"/>
    </w:r>
    <w:r>
      <w:rPr>
        <w:rFonts w:ascii="Times New Roman" w:hAnsi="Times New Roman"/>
        <w:sz w:val="22"/>
        <w:szCs w:val="24"/>
      </w:rPr>
      <w:instrText>PAGE   \* MERGEFORMAT</w:instrText>
    </w:r>
    <w:r>
      <w:rPr>
        <w:rFonts w:ascii="Times New Roman" w:hAnsi="Times New Roman"/>
        <w:sz w:val="22"/>
        <w:szCs w:val="24"/>
      </w:rPr>
      <w:fldChar w:fldCharType="separate"/>
    </w:r>
    <w:r>
      <w:rPr>
        <w:rFonts w:ascii="Times New Roman" w:hAnsi="Times New Roman"/>
        <w:noProof/>
        <w:sz w:val="22"/>
        <w:szCs w:val="24"/>
      </w:rPr>
      <w:t>3</w:t>
    </w:r>
    <w:r>
      <w:rPr>
        <w:rFonts w:ascii="Times New Roman" w:hAnsi="Times New Roman"/>
        <w:sz w:val="22"/>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143185"/>
      <w:docPartObj>
        <w:docPartGallery w:val="Page Numbers (Bottom of Page)"/>
        <w:docPartUnique/>
      </w:docPartObj>
    </w:sdtPr>
    <w:sdtEndPr>
      <w:rPr>
        <w:rFonts w:ascii="Times New Roman" w:hAnsi="Times New Roman"/>
        <w:noProof/>
        <w:sz w:val="22"/>
      </w:rPr>
    </w:sdtEndPr>
    <w:sdtContent>
      <w:p>
        <w:pPr>
          <w:pStyle w:val="Footer"/>
          <w:jc w:val="center"/>
          <w:rPr>
            <w:rFonts w:ascii="Times New Roman" w:hAnsi="Times New Roman"/>
            <w:sz w:val="22"/>
          </w:rPr>
        </w:pPr>
        <w:r>
          <w:rPr>
            <w:rFonts w:ascii="Times New Roman" w:hAnsi="Times New Roman"/>
            <w:sz w:val="22"/>
          </w:rPr>
          <w:fldChar w:fldCharType="begin"/>
        </w:r>
        <w:r>
          <w:rPr>
            <w:rFonts w:ascii="Times New Roman" w:hAnsi="Times New Roman"/>
            <w:sz w:val="22"/>
          </w:rPr>
          <w:instrText xml:space="preserve"> PAGE   \* MERGEFORMAT </w:instrText>
        </w:r>
        <w:r>
          <w:rPr>
            <w:rFonts w:ascii="Times New Roman" w:hAnsi="Times New Roman"/>
            <w:sz w:val="22"/>
          </w:rPr>
          <w:fldChar w:fldCharType="separate"/>
        </w:r>
        <w:r>
          <w:rPr>
            <w:rFonts w:ascii="Times New Roman" w:hAnsi="Times New Roman"/>
            <w:noProof/>
            <w:sz w:val="22"/>
          </w:rPr>
          <w:t>1</w:t>
        </w:r>
        <w:r>
          <w:rPr>
            <w:rFonts w:ascii="Times New Roman" w:hAnsi="Times New Roman"/>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spacing w:after="0"/>
        <w:ind w:left="720" w:hanging="720"/>
      </w:pPr>
      <w:r>
        <w:rPr>
          <w:rStyle w:val="FootnoteReference"/>
        </w:rPr>
        <w:footnoteRef/>
      </w:r>
      <w:r>
        <w:t xml:space="preserve"> </w:t>
      </w:r>
      <w:r>
        <w:tab/>
        <w:t>Ú. v. EÚ L 317, 4.11.2014, s. 1.</w:t>
      </w:r>
    </w:p>
  </w:footnote>
  <w:footnote w:id="2">
    <w:p>
      <w:pPr>
        <w:pStyle w:val="FootnoteText"/>
        <w:spacing w:after="0"/>
        <w:ind w:left="720" w:hanging="720"/>
      </w:pPr>
      <w:r>
        <w:rPr>
          <w:rStyle w:val="FootnoteReference"/>
        </w:rPr>
        <w:footnoteRef/>
      </w:r>
      <w:r>
        <w:t xml:space="preserve"> </w:t>
      </w:r>
      <w:r>
        <w:tab/>
        <w:t>Ú. v. EÚ L 333, 19.12.2015, s. 50.</w:t>
      </w:r>
    </w:p>
  </w:footnote>
  <w:footnote w:id="3">
    <w:p>
      <w:pPr>
        <w:pStyle w:val="FootnoteText"/>
        <w:spacing w:after="0"/>
        <w:ind w:left="720" w:hanging="720"/>
      </w:pPr>
      <w:r>
        <w:rPr>
          <w:rStyle w:val="FootnoteReference"/>
        </w:rPr>
        <w:footnoteRef/>
      </w:r>
      <w:r>
        <w:t xml:space="preserve"> </w:t>
      </w:r>
      <w:r>
        <w:tab/>
        <w:t>Delegované nariadenie 2015/2401 bolo v úradnom vestníku uverejnené 19. decembra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3B4"/>
    <w:multiLevelType w:val="hybridMultilevel"/>
    <w:tmpl w:val="EC5E5F36"/>
    <w:lvl w:ilvl="0" w:tplc="08090019">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2900F7"/>
    <w:multiLevelType w:val="multilevel"/>
    <w:tmpl w:val="7E46BB8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0EFB7115"/>
    <w:multiLevelType w:val="multilevel"/>
    <w:tmpl w:val="32649B1E"/>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120B7201"/>
    <w:multiLevelType w:val="multilevel"/>
    <w:tmpl w:val="EFC299D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1262685D"/>
    <w:multiLevelType w:val="multilevel"/>
    <w:tmpl w:val="000E969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143D0A16"/>
    <w:multiLevelType w:val="multilevel"/>
    <w:tmpl w:val="93CC9628"/>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72F0AC5"/>
    <w:multiLevelType w:val="multilevel"/>
    <w:tmpl w:val="176A8FB8"/>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1C7B624F"/>
    <w:multiLevelType w:val="multilevel"/>
    <w:tmpl w:val="EB9AFB7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2C8DFDF8"/>
    <w:multiLevelType w:val="multilevel"/>
    <w:tmpl w:val="6A98AD6C"/>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2D293CE3"/>
    <w:multiLevelType w:val="multilevel"/>
    <w:tmpl w:val="A372DC18"/>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righ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36324F1E"/>
    <w:multiLevelType w:val="multilevel"/>
    <w:tmpl w:val="338A9AC2"/>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37CB1E1C"/>
    <w:multiLevelType w:val="multilevel"/>
    <w:tmpl w:val="EF18F6A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3A7730C4"/>
    <w:multiLevelType w:val="multilevel"/>
    <w:tmpl w:val="6F68424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3D33007B"/>
    <w:multiLevelType w:val="hybridMultilevel"/>
    <w:tmpl w:val="F4C85EF4"/>
    <w:lvl w:ilvl="0" w:tplc="22B4C1F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429E662A"/>
    <w:multiLevelType w:val="multilevel"/>
    <w:tmpl w:val="8036FD32"/>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4E1A982C"/>
    <w:multiLevelType w:val="multilevel"/>
    <w:tmpl w:val="A36A84F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5072619B"/>
    <w:multiLevelType w:val="multilevel"/>
    <w:tmpl w:val="57FCF7B8"/>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nsid w:val="6977472E"/>
    <w:multiLevelType w:val="multilevel"/>
    <w:tmpl w:val="51AE1498"/>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nsid w:val="7C65145E"/>
    <w:multiLevelType w:val="multilevel"/>
    <w:tmpl w:val="8710DCFC"/>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num w:numId="1">
    <w:abstractNumId w:val="9"/>
  </w:num>
  <w:num w:numId="2">
    <w:abstractNumId w:val="18"/>
  </w:num>
  <w:num w:numId="3">
    <w:abstractNumId w:val="15"/>
  </w:num>
  <w:num w:numId="4">
    <w:abstractNumId w:val="12"/>
  </w:num>
  <w:num w:numId="5">
    <w:abstractNumId w:val="8"/>
  </w:num>
  <w:num w:numId="6">
    <w:abstractNumId w:val="5"/>
  </w:num>
  <w:num w:numId="7">
    <w:abstractNumId w:val="4"/>
  </w:num>
  <w:num w:numId="8">
    <w:abstractNumId w:val="3"/>
  </w:num>
  <w:num w:numId="9">
    <w:abstractNumId w:val="14"/>
  </w:num>
  <w:num w:numId="10">
    <w:abstractNumId w:val="6"/>
  </w:num>
  <w:num w:numId="11">
    <w:abstractNumId w:val="2"/>
  </w:num>
  <w:num w:numId="12">
    <w:abstractNumId w:val="17"/>
  </w:num>
  <w:num w:numId="13">
    <w:abstractNumId w:val="16"/>
  </w:num>
  <w:num w:numId="14">
    <w:abstractNumId w:val="11"/>
  </w:num>
  <w:num w:numId="15">
    <w:abstractNumId w:val="7"/>
  </w:num>
  <w:num w:numId="16">
    <w:abstractNumId w:val="10"/>
  </w:num>
  <w:num w:numId="17">
    <w:abstractNumId w:val="1"/>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350E141-8440-44CB-A285-B0677A713B1A"/>
    <w:docVar w:name="LW_COVERPAGE_TYPE" w:val="1"/>
    <w:docVar w:name="LW_CROSSREFERENCE" w:val="&lt;UNUSED&gt;"/>
    <w:docVar w:name="LW_DocType" w:val="EUROLOOK"/>
    <w:docVar w:name="LW_EMISSION" w:val="22. 2. 2019"/>
    <w:docVar w:name="LW_EMISSION_ISODATE" w:val="2019-02-22"/>
    <w:docVar w:name="LW_EMISSION_LOCATION" w:val="BRX"/>
    <w:docVar w:name="LW_EMISSION_PREFIX" w:val="V Bruseli"/>
    <w:docVar w:name="LW_EMISSION_SUFFIX" w:val=" "/>
    <w:docVar w:name="LW_ID_DOCTYPE_NONLW" w:val="CP-006"/>
    <w:docVar w:name="LW_LANGUE" w:val="SK"/>
    <w:docVar w:name="LW_LEVEL_OF_SENSITIVITY" w:val="Standard treatment"/>
    <w:docVar w:name="LW_NOM.INST" w:val="EURÓPSKA KOMISIA"/>
    <w:docVar w:name="LW_NOM.INST_JOINTDOC" w:val="&lt;EMPTY&gt;"/>
    <w:docVar w:name="LW_PART_NBR" w:val="1"/>
    <w:docVar w:name="LW_PART_NBR_TOTAL" w:val="1"/>
    <w:docVar w:name="LW_REF.INST.NEW" w:val="COM"/>
    <w:docVar w:name="LW_REF.INST.NEW_ADOPTED" w:val="final"/>
    <w:docVar w:name="LW_REF.INST.NEW_TEXT" w:val="(2019) 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 vykonávaní delegovaných právomocí, ktoré boli Komisii udelené pod\u318?a nariadenia Európskeho parlamentu a Rady (EÚ, Euratom) \u269?. 1141/2014 z 22. októbra 2014 o \u353?tatúte a financovaní európskych politických strán a európskych politických nadácií"/>
    <w:docVar w:name="LW_TYPE.DOC.CP" w:val="SPRÁVA KOMISIE EURÓPSKEMU PARLAMENTU A RAD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sk-SK" w:eastAsia="en-GB"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header" w:semiHidden="0"/>
    <w:lsdException w:name="footer" w:semiHidden="0" w:uiPriority="99"/>
    <w:lsdException w:name="caption" w:semiHidden="0"/>
    <w:lsdException w:name="footnote reference" w:uiPriority="99"/>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Strong" w:semiHidden="0" w:unhideWhenUsed="0"/>
    <w:lsdException w:name="Emphasis" w:semiHidden="0" w:unhideWhenUsed="0"/>
    <w:lsdException w:name="Normal Table" w:uiPriority="99"/>
    <w:lsdException w:name="Table Grid" w:semiHidden="0"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2"/>
      </w:numPr>
      <w:spacing w:before="240"/>
      <w:outlineLvl w:val="0"/>
    </w:pPr>
    <w:rPr>
      <w:b/>
      <w:smallCaps/>
    </w:rPr>
  </w:style>
  <w:style w:type="paragraph" w:styleId="Heading2">
    <w:name w:val="heading 2"/>
    <w:basedOn w:val="Normal"/>
    <w:next w:val="Text2"/>
    <w:uiPriority w:val="90"/>
    <w:qFormat/>
    <w:pPr>
      <w:keepNext/>
      <w:numPr>
        <w:ilvl w:val="1"/>
        <w:numId w:val="2"/>
      </w:numPr>
      <w:tabs>
        <w:tab w:val="clear" w:pos="1202"/>
      </w:tabs>
      <w:spacing w:before="240"/>
      <w:ind w:left="709"/>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keepLines/>
      <w:numPr>
        <w:ilvl w:val="2"/>
        <w:numId w:val="1"/>
      </w:numPr>
      <w:jc w:val="left"/>
    </w:pPr>
  </w:style>
  <w:style w:type="paragraph" w:customStyle="1" w:styleId="LegalNumPar2">
    <w:name w:val="LegalNumPar2"/>
    <w:basedOn w:val="Normal"/>
    <w:pPr>
      <w:numPr>
        <w:ilvl w:val="1"/>
        <w:numId w:val="1"/>
      </w:numPr>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ind w:left="5114"/>
      <w:contextualSpacing/>
      <w:jc w:val="left"/>
    </w:pPr>
    <w:rPr>
      <w:i/>
      <w:sz w:val="32"/>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4">
    <w:name w:val="toc 4"/>
    <w:basedOn w:val="Normal"/>
    <w:next w:val="Normal"/>
    <w:semiHidden/>
    <w:pPr>
      <w:tabs>
        <w:tab w:val="right" w:leader="dot" w:pos="8640"/>
      </w:tabs>
      <w:spacing w:before="60" w:after="60"/>
      <w:ind w:left="3844" w:right="720" w:hanging="964"/>
    </w:pPr>
  </w:style>
  <w:style w:type="paragraph" w:styleId="TOC3">
    <w:name w:val="toc 3"/>
    <w:basedOn w:val="Normal"/>
    <w:next w:val="Normal"/>
    <w:semiHidden/>
    <w:pPr>
      <w:tabs>
        <w:tab w:val="right" w:leader="dot" w:pos="8640"/>
      </w:tabs>
      <w:spacing w:before="60" w:after="60"/>
      <w:ind w:left="2755" w:right="720" w:hanging="839"/>
    </w:pPr>
  </w:style>
  <w:style w:type="paragraph" w:styleId="TOC2">
    <w:name w:val="toc 2"/>
    <w:basedOn w:val="Normal"/>
    <w:next w:val="Normal"/>
    <w:semiHidden/>
    <w:pPr>
      <w:tabs>
        <w:tab w:val="right" w:leader="dot" w:pos="8640"/>
      </w:tabs>
      <w:spacing w:before="60" w:after="60"/>
      <w:ind w:left="1672" w:right="720" w:hanging="595"/>
    </w:pPr>
  </w:style>
  <w:style w:type="paragraph" w:styleId="TOC1">
    <w:name w:val="toc 1"/>
    <w:basedOn w:val="Normal"/>
    <w:next w:val="Normal"/>
    <w:semiHidden/>
    <w:pPr>
      <w:tabs>
        <w:tab w:val="right" w:leader="dot" w:pos="8640"/>
      </w:tabs>
      <w:spacing w:before="120" w:after="120"/>
      <w:ind w:left="964" w:right="720" w:hanging="482"/>
    </w:pPr>
    <w:rPr>
      <w:caps/>
    </w:rPr>
  </w:style>
  <w:style w:type="paragraph" w:styleId="TOCHeading">
    <w:name w:val="TOC Heading"/>
    <w:basedOn w:val="Normal"/>
    <w:next w:val="Normal"/>
    <w:semiHidden/>
    <w:pPr>
      <w:keepNext/>
      <w:spacing w:before="240"/>
      <w:jc w:val="center"/>
    </w:pPr>
    <w:rPr>
      <w: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semiHidden/>
    <w:pPr>
      <w:spacing w:after="120"/>
      <w:ind w:left="357" w:hanging="357"/>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Normal"/>
    <w:pPr>
      <w:spacing w:before="240"/>
      <w:contextualSpacing/>
      <w:jc w:val="center"/>
    </w:pPr>
    <w:rPr>
      <w:rFonts w:ascii="Times New Roman Bold" w:hAnsi="Times New Roman Bold"/>
      <w:b/>
      <w:caps/>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Pr>
      <w:rFonts w:ascii="Arial" w:hAnsi="Arial"/>
      <w:sz w:val="16"/>
    </w:rPr>
  </w:style>
  <w:style w:type="character" w:styleId="FootnoteReference">
    <w:name w:val="footnote reference"/>
    <w:basedOn w:val="DefaultParagraphFont"/>
    <w:uiPriority w:val="99"/>
    <w:semiHidden/>
    <w:unhideWhenUsed/>
    <w:lock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sk-SK" w:eastAsia="en-GB"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header" w:semiHidden="0"/>
    <w:lsdException w:name="footer" w:semiHidden="0" w:uiPriority="99"/>
    <w:lsdException w:name="caption" w:semiHidden="0"/>
    <w:lsdException w:name="footnote reference" w:uiPriority="99"/>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Strong" w:semiHidden="0" w:unhideWhenUsed="0"/>
    <w:lsdException w:name="Emphasis" w:semiHidden="0" w:unhideWhenUsed="0"/>
    <w:lsdException w:name="Normal Table" w:uiPriority="99"/>
    <w:lsdException w:name="Table Grid" w:semiHidden="0"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2"/>
      </w:numPr>
      <w:spacing w:before="240"/>
      <w:outlineLvl w:val="0"/>
    </w:pPr>
    <w:rPr>
      <w:b/>
      <w:smallCaps/>
    </w:rPr>
  </w:style>
  <w:style w:type="paragraph" w:styleId="Heading2">
    <w:name w:val="heading 2"/>
    <w:basedOn w:val="Normal"/>
    <w:next w:val="Text2"/>
    <w:uiPriority w:val="90"/>
    <w:qFormat/>
    <w:pPr>
      <w:keepNext/>
      <w:numPr>
        <w:ilvl w:val="1"/>
        <w:numId w:val="2"/>
      </w:numPr>
      <w:tabs>
        <w:tab w:val="clear" w:pos="1202"/>
      </w:tabs>
      <w:spacing w:before="240"/>
      <w:ind w:left="709"/>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keepLines/>
      <w:numPr>
        <w:ilvl w:val="2"/>
        <w:numId w:val="1"/>
      </w:numPr>
      <w:jc w:val="left"/>
    </w:pPr>
  </w:style>
  <w:style w:type="paragraph" w:customStyle="1" w:styleId="LegalNumPar2">
    <w:name w:val="LegalNumPar2"/>
    <w:basedOn w:val="Normal"/>
    <w:pPr>
      <w:numPr>
        <w:ilvl w:val="1"/>
        <w:numId w:val="1"/>
      </w:numPr>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ind w:left="5114"/>
      <w:contextualSpacing/>
      <w:jc w:val="left"/>
    </w:pPr>
    <w:rPr>
      <w:i/>
      <w:sz w:val="32"/>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4">
    <w:name w:val="toc 4"/>
    <w:basedOn w:val="Normal"/>
    <w:next w:val="Normal"/>
    <w:semiHidden/>
    <w:pPr>
      <w:tabs>
        <w:tab w:val="right" w:leader="dot" w:pos="8640"/>
      </w:tabs>
      <w:spacing w:before="60" w:after="60"/>
      <w:ind w:left="3844" w:right="720" w:hanging="964"/>
    </w:pPr>
  </w:style>
  <w:style w:type="paragraph" w:styleId="TOC3">
    <w:name w:val="toc 3"/>
    <w:basedOn w:val="Normal"/>
    <w:next w:val="Normal"/>
    <w:semiHidden/>
    <w:pPr>
      <w:tabs>
        <w:tab w:val="right" w:leader="dot" w:pos="8640"/>
      </w:tabs>
      <w:spacing w:before="60" w:after="60"/>
      <w:ind w:left="2755" w:right="720" w:hanging="839"/>
    </w:pPr>
  </w:style>
  <w:style w:type="paragraph" w:styleId="TOC2">
    <w:name w:val="toc 2"/>
    <w:basedOn w:val="Normal"/>
    <w:next w:val="Normal"/>
    <w:semiHidden/>
    <w:pPr>
      <w:tabs>
        <w:tab w:val="right" w:leader="dot" w:pos="8640"/>
      </w:tabs>
      <w:spacing w:before="60" w:after="60"/>
      <w:ind w:left="1672" w:right="720" w:hanging="595"/>
    </w:pPr>
  </w:style>
  <w:style w:type="paragraph" w:styleId="TOC1">
    <w:name w:val="toc 1"/>
    <w:basedOn w:val="Normal"/>
    <w:next w:val="Normal"/>
    <w:semiHidden/>
    <w:pPr>
      <w:tabs>
        <w:tab w:val="right" w:leader="dot" w:pos="8640"/>
      </w:tabs>
      <w:spacing w:before="120" w:after="120"/>
      <w:ind w:left="964" w:right="720" w:hanging="482"/>
    </w:pPr>
    <w:rPr>
      <w:caps/>
    </w:rPr>
  </w:style>
  <w:style w:type="paragraph" w:styleId="TOCHeading">
    <w:name w:val="TOC Heading"/>
    <w:basedOn w:val="Normal"/>
    <w:next w:val="Normal"/>
    <w:semiHidden/>
    <w:pPr>
      <w:keepNext/>
      <w:spacing w:before="240"/>
      <w:jc w:val="center"/>
    </w:pPr>
    <w:rPr>
      <w: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semiHidden/>
    <w:pPr>
      <w:spacing w:after="120"/>
      <w:ind w:left="357" w:hanging="357"/>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Normal"/>
    <w:pPr>
      <w:spacing w:before="240"/>
      <w:contextualSpacing/>
      <w:jc w:val="center"/>
    </w:pPr>
    <w:rPr>
      <w:rFonts w:ascii="Times New Roman Bold" w:hAnsi="Times New Roman Bold"/>
      <w:b/>
      <w:caps/>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Pr>
      <w:rFonts w:ascii="Arial" w:hAnsi="Arial"/>
      <w:sz w:val="16"/>
    </w:rPr>
  </w:style>
  <w:style w:type="character" w:styleId="FootnoteReference">
    <w:name w:val="footnote reference"/>
    <w:basedOn w:val="DefaultParagraphFont"/>
    <w:uiPriority w:val="99"/>
    <w:semiHidden/>
    <w:unhideWhenUsed/>
    <w:lock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Strategy, Better Regulation &amp; Corporate Governance</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SG.A.1-Policy Priorities &amp; Work Programme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05/096</Office>
  </MainWorkplace>
  <Workplaces>
    <Workplace IsMain="false">
      <AddressId>1264fb81-f6bb-475e-9f9d-a937d3be6ee2</AddressId>
      <Fax/>
      <Phone/>
      <Office/>
    </Workplace>
    <Workplace IsMain="true">
      <AddressId>f03b5801-04c9-4931-aa17-c6d6c70bc579</AddressId>
      <Fax/>
      <Phone>+32 229 84108</Phone>
      <Office>BERL 05/096</Office>
    </Workplace>
  </Workplaces>
</Author>
</file>

<file path=customXml/item2.xml><?xml version="1.0" encoding="utf-8"?>
<Texts>
  <SecurityPersonalData>Personal data</SecurityPersonalData>
  <SecurityLimitedDG>Limited</SecurityLimitedDG>
  <SecurityPharma>Pharma investigations</SecurityPharma>
  <LabelPictureSeq>Picture {SEQ Picture \* ARABIC } – </LabelPictureSeq>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LabelSource>Source</LabelSource>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EurolookProperties>
  <ProductCustomizationId>EC</ProductCustomizationId>
  <Created>
    <Version>10.0.38495.0</Version>
    <Date>2019-02-05T11:54:13</Date>
    <Language>EN</Language>
  </Created>
  <Edited>
    <Version>10.0.38495.0</Version>
    <Date>2019-02-13T14:48:05</Date>
  </Edited>
  <DocumentModel>
    <Id>6cbda13a-4db2-46c6-876a-ef72275827ef</Id>
    <Name>Report</Name>
  </DocumentModel>
  <DocumentDate>2019-02-05T11:54:13</DocumentDate>
  <DocumentVersion>0.1</DocumentVersion>
  <CompatibilityMode>Eurolook10</CompatibilityMode>
  <Address/>
</Eurolook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E044946-5330-43F7-8D16-AA78684F2938}">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66AB8AC6-36AF-4BA1-AC62-249BF42F4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1063</Words>
  <Characters>6502</Characters>
  <Application>Microsoft Office Word</Application>
  <DocSecurity>0</DocSecurity>
  <PresentationFormat>Microsoft Word 14.0</PresentationFormat>
  <Lines>101</Lines>
  <Paragraphs>27</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18</cp:revision>
  <cp:lastPrinted>2019-02-13T15:18:00Z</cp:lastPrinted>
  <dcterms:created xsi:type="dcterms:W3CDTF">2019-02-13T15:32:00Z</dcterms:created>
  <dcterms:modified xsi:type="dcterms:W3CDTF">2019-02-26T08:48:00Z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reated using">
    <vt:lpwstr>LW 6.0.1, Build 20180503</vt:lpwstr>
  </property>
  <property fmtid="{D5CDD505-2E9C-101B-9397-08002B2CF9AE}" pid="9" name="Last edited using">
    <vt:lpwstr>LW 6.0.1, Build 20180503</vt:lpwstr>
  </property>
  <property fmtid="{D5CDD505-2E9C-101B-9397-08002B2CF9AE}" pid="10" name="Formatting">
    <vt:lpwstr>4.1</vt:lpwstr>
  </property>
</Properties>
</file>