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2028E12-2543-401C-BDB4-D303D24B7394"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INTRODUÇÃO</w:t>
      </w:r>
    </w:p>
    <w:p>
      <w:pPr>
        <w:rPr>
          <w:noProof/>
        </w:rPr>
      </w:pPr>
      <w:r>
        <w:rPr>
          <w:noProof/>
        </w:rPr>
        <w:t>O Regulamento (UE, Euratom) n.° 1141/2014, relativo ao estatuto e ao financiamento dos partidos políticos europeus e das fundações políticas europeias</w:t>
      </w:r>
      <w:r>
        <w:rPr>
          <w:noProof/>
          <w:vertAlign w:val="superscript"/>
        </w:rPr>
        <w:footnoteReference w:id="1"/>
      </w:r>
      <w:r>
        <w:rPr>
          <w:noProof/>
        </w:rPr>
        <w:t xml:space="preserve">, a seguir designado «Regulamento Partidos Políticos Europeus», estabelece as condições que regem o estatuto e o financiamento dos partidos políticos e das fundações políticas a nível europeu. À luz deste regulamento, os partidos políticos europeus e as fundações políticas europeias que satisfaçam um conjunto de condições podem tornar-se entidades jurídicas europeias, registando-se a nível europeu e obtendo assim acesso ao apoio financeiro europeu. Estas condições incluem o respeito, no seu programa e nas suas atividades, pelos valores em que assenta a União, enumerados no artigo 2.º do Tratado da União Europeia: respeito pela dignidade humana, liberdade, democracia, igualdade, Estado de Direito e o respeito pelos direitos humanos, incluindo os direitos das pessoas pertencentes a minorias. Foi criada uma autoridade independente para os partidos políticos europeus e as fundações políticas europeias («Autoridade») para efeitos de registo, controlo e, se necessário, aplicação de sanções aos partidos políticos europeus e às fundações políticas europeias, nomeadamente para analisar os casos em que tais entidades não respeitam alegadamente estes valores europeus fundamentais. </w:t>
      </w:r>
    </w:p>
    <w:p>
      <w:pPr>
        <w:rPr>
          <w:noProof/>
        </w:rPr>
      </w:pPr>
      <w:r>
        <w:rPr>
          <w:noProof/>
        </w:rPr>
        <w:t>O Regulamento Partidos Políticos Europeus foi adotado em 22 de outubro de 2014 e entrou em vigor no vigésimo dia seguinte ao da sua publicação no Jornal Oficial, ou seja, em 24 de novembro de 2014. Este regulamento é aplicável, no que respeita à maioria das suas disposições, desde 1 de janeiro de 2017. Contudo, a Comissão foi convidada a adotar os atos delegados referidos no artigo 7.º, n.º 2, e no artigo 8.º, n.º 3, alínea a), até 1 de julho de 2015, o mais tardar.</w:t>
      </w:r>
    </w:p>
    <w:p>
      <w:pPr>
        <w:pStyle w:val="Heading1"/>
        <w:rPr>
          <w:noProof/>
        </w:rPr>
      </w:pPr>
      <w:r>
        <w:rPr>
          <w:noProof/>
        </w:rPr>
        <w:t>BASE JURÍDICA</w:t>
      </w:r>
    </w:p>
    <w:p>
      <w:pPr>
        <w:rPr>
          <w:noProof/>
        </w:rPr>
      </w:pPr>
      <w:r>
        <w:rPr>
          <w:noProof/>
        </w:rPr>
        <w:t xml:space="preserve">O presente relatório é exigido pelo artigo 36.º, n.º 2, do Regulamento Partidos Políticos Europeus. Nos termos do disposto nesse artigo, a delegação é conferida à Comissão por um prazo de cinco anos a partir de 24 de novembro de 2014, devendo a Comissão elaborar um relatório sobre a delegação de poderes o mais tardar nove meses antes do final do prazo de cinco anos, ou seja, antes de 24 de fevereiro de 2019. O mesmo artigo estabelece que a delegação de poderes será tacitamente prorrogada por períodos de igual duração, salvo se o Parlamento Europeu ou o Conselho a tal se opuserem pelo menos três meses antes do final de cada período. </w:t>
      </w:r>
    </w:p>
    <w:p>
      <w:pPr>
        <w:pStyle w:val="Heading1"/>
        <w:rPr>
          <w:noProof/>
        </w:rPr>
      </w:pPr>
      <w:r>
        <w:rPr>
          <w:noProof/>
        </w:rPr>
        <w:t xml:space="preserve">EXERCÍCIO DA DELEGAÇÃO </w:t>
      </w:r>
    </w:p>
    <w:p>
      <w:pPr>
        <w:rPr>
          <w:noProof/>
        </w:rPr>
      </w:pPr>
      <w:r>
        <w:rPr>
          <w:noProof/>
        </w:rPr>
        <w:t xml:space="preserve">De acordo com o Regulamento Partidos Políticos Europeus, a Comissão fica habilitada a adotar atos delegados a fim de: </w:t>
      </w:r>
    </w:p>
    <w:p>
      <w:pPr>
        <w:pStyle w:val="LegalNumPar2"/>
        <w:jc w:val="both"/>
        <w:rPr>
          <w:noProof/>
        </w:rPr>
      </w:pPr>
      <w:r>
        <w:rPr>
          <w:noProof/>
        </w:rPr>
        <w:t>garantir o bom funcionamento do registo dos partidos políticos europeus e das fundações políticas europeias no que respeita a (cf. artigo 7.º, n.º 2, do Regulamento Partidos Políticos Europeus):</w:t>
      </w:r>
    </w:p>
    <w:p>
      <w:pPr>
        <w:pStyle w:val="LegalNumPar3"/>
        <w:jc w:val="both"/>
        <w:rPr>
          <w:noProof/>
        </w:rPr>
      </w:pPr>
      <w:r>
        <w:rPr>
          <w:noProof/>
        </w:rPr>
        <w:t xml:space="preserve">informações e documentos comprovativos na posse da Autoridade de que o registo deva ser repositório competente (em que se incluem os estatutos, quaisquer outros documentos apresentados no âmbito do pedido, documentos recebidos do Estado-Membro da sede, informações sobre a identidade das pessoas que são membros de órgãos ou titulares de cargos com poderes de representação administrativa, financeira ou jurídica); </w:t>
      </w:r>
    </w:p>
    <w:p>
      <w:pPr>
        <w:pStyle w:val="LegalNumPar3"/>
        <w:jc w:val="both"/>
        <w:rPr>
          <w:noProof/>
        </w:rPr>
      </w:pPr>
      <w:r>
        <w:rPr>
          <w:noProof/>
        </w:rPr>
        <w:t xml:space="preserve">materiais cuja certificação da legalidade seja da competência do registo, conforme estabelecido pela Autoridade. </w:t>
      </w:r>
    </w:p>
    <w:p>
      <w:pPr>
        <w:pStyle w:val="LegalNumPar2"/>
        <w:jc w:val="both"/>
        <w:rPr>
          <w:noProof/>
        </w:rPr>
      </w:pPr>
      <w:r>
        <w:rPr>
          <w:noProof/>
        </w:rPr>
        <w:t xml:space="preserve">identificar as informações suplementares ou os documentos comprovativos necessários para permitir à Autoridade assumir plenamente as suas responsabilidades em relação ao funcionamento do registo dos partidos políticos europeus e das fundações políticas europeias (cf. artigo 8.º, n.º 3, alínea a), do Regulamento Partidos Políticos Europeus); </w:t>
      </w:r>
    </w:p>
    <w:p>
      <w:pPr>
        <w:pStyle w:val="LegalNumPar2"/>
        <w:jc w:val="both"/>
        <w:rPr>
          <w:noProof/>
        </w:rPr>
      </w:pPr>
      <w:r>
        <w:rPr>
          <w:noProof/>
        </w:rPr>
        <w:t>alterar o modelo de declaração formal do anexo do Regulamento Partidos Políticos Europeus, no que se refere aos dados a indicar pelo requerente, quando tal seja necessário para assegurar a recolha de informações suficientes relativas ao signatário, ao seu mandato e ao partido político europeu ou fundação política europeia que tenha por mandato representar (artigo 8.º, n.º 3, alínea b), do Regulamento Partidos Políticos Europeus).</w:t>
      </w:r>
    </w:p>
    <w:p>
      <w:pPr>
        <w:rPr>
          <w:noProof/>
        </w:rPr>
      </w:pPr>
      <w:r>
        <w:rPr>
          <w:noProof/>
        </w:rPr>
        <w:t>A Comissão adotou um ato delegado com base no artigo 7.º, n.º 2 e no artigo 8.º, n.º 3, alínea a), supra, ou seja, o Regulamento Delegado (UE, Euratom) n.º 2015/2401 da Comissão, de 2 de outubro de 2015, relativo ao conteúdo e funcionamento do registo dos partidos políticos europeus e das fundações políticas europeias.</w:t>
      </w:r>
      <w:r>
        <w:rPr>
          <w:rStyle w:val="FootnoteReference"/>
          <w:noProof/>
        </w:rPr>
        <w:footnoteReference w:id="2"/>
      </w:r>
    </w:p>
    <w:p>
      <w:pPr>
        <w:rPr>
          <w:noProof/>
        </w:rPr>
      </w:pPr>
      <w:r>
        <w:rPr>
          <w:noProof/>
        </w:rPr>
        <w:t>O exercício desta delegação foi essencial para especificar as informações suplementares e os documentos comprovativos que devem constar do registo.</w:t>
      </w:r>
    </w:p>
    <w:p>
      <w:pPr>
        <w:pStyle w:val="Heading2"/>
        <w:rPr>
          <w:noProof/>
        </w:rPr>
      </w:pPr>
      <w:r>
        <w:rPr>
          <w:noProof/>
        </w:rPr>
        <w:t>ATO DELEGADO QUE COMPLEMENTA O REGULAMENTO PARTIDOS POLÍTICOS EUROPEUS</w:t>
      </w:r>
    </w:p>
    <w:p>
      <w:pPr>
        <w:rPr>
          <w:noProof/>
        </w:rPr>
      </w:pPr>
      <w:r>
        <w:rPr>
          <w:noProof/>
        </w:rPr>
        <w:t xml:space="preserve">Nos termos do artigo 7.º, n.º 1, do Regulamento Partidos Políticos Europeus, a Autoridade deve criar e gerir um registo dos partidos políticos europeus e das fundações políticas europeias (o «Registo»). Este registo é o repositório de dados, informações e documentos apresentados com os pedidos de registo como partido político europeu ou fundação política europeia, bem como de quaisquer eventuais dados, informações e documentos apresentados subsequentemente por um partido político europeu ou uma fundação política europeia nos termos do Regulamento Partidos Políticos Europeus. </w:t>
      </w:r>
    </w:p>
    <w:p>
      <w:pPr>
        <w:rPr>
          <w:noProof/>
        </w:rPr>
      </w:pPr>
      <w:r>
        <w:rPr>
          <w:noProof/>
        </w:rPr>
        <w:t xml:space="preserve">O Regulamento Delegado (UE, Euratom) n.º 2015/2401 foi adotado com base no artigo 7.º, n.º 2 e no artigo 8.º, n.º 3, alínea a), do Regulamento Partidos Políticos Europeus. Estabelece os documentos a apresentar pelos partidos políticos europeus e as fundações políticas europeias ao registo, tais como os estatutos, a o modelo de declaração formal anexa ao Regulamento Partidos Políticos Europeus, uma descrição pormenorizada da estrutura financeira, de governação e de gestão e uma declaração do Estado-Membro certificando que o requerente cumpriu todos os requisitos nacionais pertinentes (se necessário). O Regulamento Delegado também especifica as informações a manter atualizadas no registo, nomeadamente, o tipo de entidade; o número de registo; o nome completo, acrónimo e logótipo; o Estado-Membro em que o partido político europeu ou a fundação política europeia tem a sua sede; o endereço da sede, a data de registo e outros. </w:t>
      </w:r>
    </w:p>
    <w:p>
      <w:pPr>
        <w:rPr>
          <w:noProof/>
        </w:rPr>
      </w:pPr>
      <w:r>
        <w:rPr>
          <w:noProof/>
        </w:rPr>
        <w:t>O Regulamento Delegado (UE, Euratom) n.º 2015/2401 foi adotado em 2 de outubro de 2015 e notificado ao Parlamento Europeu e ao Conselho. Nem o Parlamento Europeu nem o Conselho formularam objeções ao ato delegado no prazo de dois meses previsto no artigo 36.º, n.º 5, do Regulamento Partidos Políticos Europeus. Nenhuma das instituições solicitou a prorrogação do prazo de dois meses por um período adicional de dois meses, em conformidade com a mesma disposição.</w:t>
      </w:r>
    </w:p>
    <w:p>
      <w:pPr>
        <w:rPr>
          <w:noProof/>
        </w:rPr>
      </w:pPr>
      <w:r>
        <w:rPr>
          <w:noProof/>
        </w:rPr>
        <w:t>Aquando do termo do período de dois meses, o Regulamento Delegado (UE, Euratom) n.º 2015/2401 foi publicado no Jornal Oficial</w:t>
      </w:r>
      <w:r>
        <w:rPr>
          <w:noProof/>
          <w:vertAlign w:val="superscript"/>
        </w:rPr>
        <w:footnoteReference w:id="3"/>
      </w:r>
      <w:r>
        <w:rPr>
          <w:noProof/>
        </w:rPr>
        <w:t xml:space="preserve"> e entrou em vigor em 8 de janeiro de 2016.</w:t>
      </w:r>
    </w:p>
    <w:p>
      <w:pPr>
        <w:rPr>
          <w:b/>
          <w:noProof/>
        </w:rPr>
      </w:pPr>
      <w:r>
        <w:rPr>
          <w:noProof/>
        </w:rPr>
        <w:t>A Comissão ainda não adotou atos delegados com base no artigo 8.º, n.º 3, alínea b), do Regulamento Partidos Políticos Europeus com vista a alterar a o modelo de declaração formal anexa uma vez que o modelo de declaração que figura no anexo do Regulamento Partidos Políticos Europeus ainda se encontra em vigor e que é necessária mais experiência na aplicação do regulamento a fim de avaliar a necessidade da sua alteração.</w:t>
      </w:r>
    </w:p>
    <w:p>
      <w:pPr>
        <w:pStyle w:val="Heading1"/>
        <w:rPr>
          <w:noProof/>
        </w:rPr>
      </w:pPr>
      <w:r>
        <w:rPr>
          <w:noProof/>
        </w:rPr>
        <w:t xml:space="preserve">CONCLUSÃO </w:t>
      </w:r>
    </w:p>
    <w:p>
      <w:pPr>
        <w:rPr>
          <w:noProof/>
        </w:rPr>
      </w:pPr>
      <w:r>
        <w:rPr>
          <w:noProof/>
        </w:rPr>
        <w:t>A Comissão exerceu os poderes delegados que lhe são conferidos ao abrigo do artigo 7.º, n.º 2 e do artigo 8.º, n.º 3, alínea a), do Regulamento Partidos Políticos Europeus. A Comissão considera necessário alargar esta delegação, eventualmente a fim de alterar ou especificar mais pormenorizadamente, no futuro, as informações e os documentos comprovativos que devem constar do registo dos partidos políticos europeus e das fundações políticas europeias.</w:t>
      </w:r>
    </w:p>
    <w:p>
      <w:pPr>
        <w:rPr>
          <w:b/>
          <w:noProof/>
        </w:rPr>
      </w:pPr>
      <w:r>
        <w:rPr>
          <w:noProof/>
        </w:rPr>
        <w:t xml:space="preserve">A Comissão considera que os poderes delegados que lhe são atribuídos ao abrigo do artigo 8.º, n.º 3, alínea b), do Regulamento Partidos Políticos Europeus são necessários a fim de alterar o modelo de declaração que figura no anexo . É necessária mais experiência na aplicação do regulamento a fim de avaliar a necessidade de tais medidas. </w:t>
      </w:r>
    </w:p>
    <w:p>
      <w:pPr>
        <w:rPr>
          <w:noProof/>
        </w:rPr>
      </w:pPr>
      <w:r>
        <w:rPr>
          <w:noProof/>
        </w:rPr>
        <w:t xml:space="preserve">Com o presente relatório, a Comissão cumpre a obrigação prevista no artigo 36.º, n.º 2, do Regulamento Partidos Políticos Europeus e convida o Parlamento Europeu e o Conselho a tomar nota do presente relatório. </w:t>
      </w:r>
    </w:p>
    <w:sectPr>
      <w:headerReference w:type="even" r:id="rId19"/>
      <w:headerReference w:type="default" r:id="rId20"/>
      <w:footerReference w:type="even" r:id="rId21"/>
      <w:footerReference w:type="default" r:id="rId22"/>
      <w:headerReference w:type="first" r:id="rId23"/>
      <w:footerReference w:type="first" r:id="rId24"/>
      <w:pgSz w:w="11906" w:h="16838" w:code="9"/>
      <w:pgMar w:top="1021" w:right="1418" w:bottom="1021"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2"/>
        <w:szCs w:val="24"/>
      </w:rPr>
    </w:pPr>
    <w:r>
      <w:rPr>
        <w:rFonts w:ascii="Times New Roman" w:hAnsi="Times New Roman"/>
        <w:sz w:val="22"/>
        <w:szCs w:val="24"/>
      </w:rPr>
      <w:fldChar w:fldCharType="begin"/>
    </w:r>
    <w:r>
      <w:rPr>
        <w:rFonts w:ascii="Times New Roman" w:hAnsi="Times New Roman"/>
        <w:sz w:val="22"/>
        <w:szCs w:val="24"/>
      </w:rPr>
      <w:instrText>PAGE   \* MERGEFORMAT</w:instrText>
    </w:r>
    <w:r>
      <w:rPr>
        <w:rFonts w:ascii="Times New Roman" w:hAnsi="Times New Roman"/>
        <w:sz w:val="22"/>
        <w:szCs w:val="24"/>
      </w:rPr>
      <w:fldChar w:fldCharType="separate"/>
    </w:r>
    <w:r>
      <w:rPr>
        <w:rFonts w:ascii="Times New Roman" w:hAnsi="Times New Roman"/>
        <w:noProof/>
        <w:sz w:val="22"/>
        <w:szCs w:val="24"/>
      </w:rPr>
      <w:t>3</w:t>
    </w:r>
    <w:r>
      <w:rPr>
        <w:rFonts w:ascii="Times New Roman" w:hAnsi="Times New Roman"/>
        <w:sz w:val="22"/>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43185"/>
      <w:docPartObj>
        <w:docPartGallery w:val="Page Numbers (Bottom of Page)"/>
        <w:docPartUnique/>
      </w:docPartObj>
    </w:sdtPr>
    <w:sdtEndPr>
      <w:rPr>
        <w:rFonts w:ascii="Times New Roman" w:hAnsi="Times New Roman"/>
        <w:noProof/>
        <w:sz w:val="22"/>
      </w:rPr>
    </w:sdtEndPr>
    <w:sdtContent>
      <w:p>
        <w:pPr>
          <w:pStyle w:val="Footer"/>
          <w:jc w:val="center"/>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Pr>
            <w:rFonts w:ascii="Times New Roman" w:hAnsi="Times New Roman"/>
            <w:noProof/>
            <w:sz w:val="22"/>
          </w:rPr>
          <w:t>1</w:t>
        </w:r>
        <w:r>
          <w:rPr>
            <w:rFonts w:ascii="Times New Roman" w:hAnsi="Times New Roman"/>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JO L 317 de 4.11.2014, p. 1.</w:t>
      </w:r>
    </w:p>
  </w:footnote>
  <w:footnote w:id="2">
    <w:p>
      <w:pPr>
        <w:pStyle w:val="FootnoteText"/>
      </w:pPr>
      <w:r>
        <w:rPr>
          <w:rStyle w:val="FootnoteReference"/>
        </w:rPr>
        <w:footnoteRef/>
      </w:r>
      <w:r>
        <w:t xml:space="preserve"> </w:t>
      </w:r>
      <w:r>
        <w:tab/>
        <w:t>JO L 333 de 19 de dezembro de 2015, p. 50.</w:t>
      </w:r>
    </w:p>
  </w:footnote>
  <w:footnote w:id="3">
    <w:p>
      <w:pPr>
        <w:pStyle w:val="FootnoteText"/>
      </w:pPr>
      <w:r>
        <w:rPr>
          <w:rStyle w:val="FootnoteReference"/>
        </w:rPr>
        <w:footnoteRef/>
      </w:r>
      <w:r>
        <w:t xml:space="preserve"> </w:t>
      </w:r>
      <w:r>
        <w:tab/>
        <w:t xml:space="preserve">O Regulamento Delegado n.º 2015/2401 foi publicado no Jornal Oficial em 19 de dezembro de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3B4"/>
    <w:multiLevelType w:val="hybridMultilevel"/>
    <w:tmpl w:val="EC5E5F36"/>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900F7"/>
    <w:multiLevelType w:val="multilevel"/>
    <w:tmpl w:val="7E46BB8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32649B1E"/>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EFC299D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000E969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93CC962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176A8FB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EB9AFB7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6A98AD6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273234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6324F1E"/>
    <w:multiLevelType w:val="multilevel"/>
    <w:tmpl w:val="338A9AC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7CB1E1C"/>
    <w:multiLevelType w:val="multilevel"/>
    <w:tmpl w:val="EF18F6A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A7730C4"/>
    <w:multiLevelType w:val="multilevel"/>
    <w:tmpl w:val="6F68424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D33007B"/>
    <w:multiLevelType w:val="hybridMultilevel"/>
    <w:tmpl w:val="F4C85EF4"/>
    <w:lvl w:ilvl="0" w:tplc="22B4C1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29E662A"/>
    <w:multiLevelType w:val="multilevel"/>
    <w:tmpl w:val="8036FD3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E1A982C"/>
    <w:multiLevelType w:val="multilevel"/>
    <w:tmpl w:val="A36A84F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072619B"/>
    <w:multiLevelType w:val="multilevel"/>
    <w:tmpl w:val="57FCF7B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6977472E"/>
    <w:multiLevelType w:val="multilevel"/>
    <w:tmpl w:val="51AE149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7C65145E"/>
    <w:multiLevelType w:val="multilevel"/>
    <w:tmpl w:val="8710DCF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18"/>
  </w:num>
  <w:num w:numId="3">
    <w:abstractNumId w:val="15"/>
  </w:num>
  <w:num w:numId="4">
    <w:abstractNumId w:val="12"/>
  </w:num>
  <w:num w:numId="5">
    <w:abstractNumId w:val="8"/>
  </w:num>
  <w:num w:numId="6">
    <w:abstractNumId w:val="5"/>
  </w:num>
  <w:num w:numId="7">
    <w:abstractNumId w:val="4"/>
  </w:num>
  <w:num w:numId="8">
    <w:abstractNumId w:val="3"/>
  </w:num>
  <w:num w:numId="9">
    <w:abstractNumId w:val="14"/>
  </w:num>
  <w:num w:numId="10">
    <w:abstractNumId w:val="6"/>
  </w:num>
  <w:num w:numId="11">
    <w:abstractNumId w:val="2"/>
  </w:num>
  <w:num w:numId="12">
    <w:abstractNumId w:val="17"/>
  </w:num>
  <w:num w:numId="13">
    <w:abstractNumId w:val="16"/>
  </w:num>
  <w:num w:numId="14">
    <w:abstractNumId w:val="11"/>
  </w:num>
  <w:num w:numId="15">
    <w:abstractNumId w:val="7"/>
  </w:num>
  <w:num w:numId="16">
    <w:abstractNumId w:val="10"/>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2028E12-2543-401C-BDB4-D303D24B7394"/>
    <w:docVar w:name="LW_COVERPAGE_TYPE" w:val="1"/>
    <w:docVar w:name="LW_CROSSREFERENCE" w:val="&lt;UNUSED&gt;"/>
    <w:docVar w:name="LW_DocType" w:val="EUROLOOK"/>
    <w:docVar w:name="LW_EMISSION" w:val="22.2.2019"/>
    <w:docVar w:name="LW_EMISSION_ISODATE" w:val="2019-02-22"/>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obre o exercício da delegação conferida à Comissão em conformidade com o Regulamento (UE, EURATOM) n.º 1141/2014 do Parlamento Europeu e do Conselho de 22 de outubro 2014, relativo ao estatuto e ao financiamento dos partidos políticos europeus e das fundações políticas europeias"/>
    <w:docVar w:name="LW_TYPE.DOC.CP" w:val="RELATÓRIO DA COMISSÃ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pt-PT"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tabs>
        <w:tab w:val="clear" w:pos="1429"/>
        <w:tab w:val="num" w:pos="993"/>
      </w:tabs>
      <w:ind w:left="992" w:hanging="476"/>
      <w:jc w:val="left"/>
    </w:pPr>
  </w:style>
  <w:style w:type="paragraph" w:customStyle="1" w:styleId="LegalNumPar2">
    <w:name w:val="LegalNumPar2"/>
    <w:basedOn w:val="Normal"/>
    <w:pPr>
      <w:numPr>
        <w:ilvl w:val="1"/>
        <w:numId w:val="1"/>
      </w:numPr>
      <w:tabs>
        <w:tab w:val="clear" w:pos="952"/>
        <w:tab w:val="num" w:pos="426"/>
      </w:tabs>
      <w:ind w:left="426"/>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pt-PT"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tabs>
        <w:tab w:val="clear" w:pos="1429"/>
        <w:tab w:val="num" w:pos="993"/>
      </w:tabs>
      <w:ind w:left="992" w:hanging="476"/>
      <w:jc w:val="left"/>
    </w:pPr>
  </w:style>
  <w:style w:type="paragraph" w:customStyle="1" w:styleId="LegalNumPar2">
    <w:name w:val="LegalNumPar2"/>
    <w:basedOn w:val="Normal"/>
    <w:pPr>
      <w:numPr>
        <w:ilvl w:val="1"/>
        <w:numId w:val="1"/>
      </w:numPr>
      <w:tabs>
        <w:tab w:val="clear" w:pos="952"/>
        <w:tab w:val="num" w:pos="426"/>
      </w:tabs>
      <w:ind w:left="426"/>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10.0.38495.0</Version>
    <Date>2019-02-05T11:54:13</Date>
    <Language>EN</Language>
  </Created>
  <Edited>
    <Version>10.0.38495.0</Version>
    <Date>2019-02-13T14:48:05</Date>
  </Edited>
  <DocumentModel>
    <Id>6cbda13a-4db2-46c6-876a-ef72275827ef</Id>
    <Name>Report</Name>
  </DocumentModel>
  <DocumentDate>2019-02-05T11:54:13</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CE215C3F-07B9-4204-9845-8DAAE0C2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1280</Words>
  <Characters>6982</Characters>
  <Application>Microsoft Office Word</Application>
  <DocSecurity>0</DocSecurity>
  <PresentationFormat>Microsoft Word 14.0</PresentationFormat>
  <Lines>109</Lines>
  <Paragraphs>28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2019-02-25T15:27:00Z</cp:lastPrinted>
  <dcterms:created xsi:type="dcterms:W3CDTF">2019-02-13T15:32:00Z</dcterms:created>
  <dcterms:modified xsi:type="dcterms:W3CDTF">2019-02-26T08:48:00Z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y fmtid="{D5CDD505-2E9C-101B-9397-08002B2CF9AE}" pid="10" name="Formatting">
    <vt:lpwstr>4.1</vt:lpwstr>
  </property>
</Properties>
</file>