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86D2C78-DB02-4076-8192-E446CC268DA3" style="width:450.75pt;height:366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 cele wniosku</w:t>
      </w:r>
    </w:p>
    <w:p>
      <w:pPr>
        <w:rPr>
          <w:noProof/>
          <w:sz w:val="16"/>
          <w:szCs w:val="16"/>
        </w:rPr>
      </w:pPr>
      <w:r>
        <w:rPr>
          <w:noProof/>
        </w:rPr>
        <w:t>Art. 54 ust. 3 rozporządzenia Parlamentu Europejskiego i Rady (UE) 2016/1624 z dnia 14 września 2016 r. w sprawie Europejskiej Straży Granicznej i Przybrzeżnej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stanowi, że Europejska Agencja Straży Granicznej i Przybrzeżnej może koordynować współpracę operacyjną między państwami członkowskimi i państwami trzecimi w odniesieniu do zarządzania granicami zewnętrznymi. W związku z powyższym Agencja może realizować działania na granicach zewnętrznych z udziałem jednego lub większej liczby państw członkowskich oraz państwa trzeciego sąsiadującego z co najmniej jednym z tych państw członkowskich, pod warunkiem uzyskania zgody tego sąsiadującego państwa trzeciego, w tym na terytorium tego państwa trzeciego. </w:t>
      </w:r>
    </w:p>
    <w:p>
      <w:pPr>
        <w:rPr>
          <w:noProof/>
          <w:szCs w:val="24"/>
        </w:rPr>
      </w:pPr>
      <w:r>
        <w:rPr>
          <w:noProof/>
        </w:rPr>
        <w:t>Zgodnie z art. 54 ust. 4 rozporządzenia (UE) 2016/1624, jeżeli przewiduje się rozmieszczenie zespołów Europejskiej Straży Granicznej i Przybrzeżnej w państwach trzecich do działań, w ramach których członkom zespołów mają zostać przyznane uprawnienia wykonawcze lub jeżeli jest to wymagane w ramach innych działań w państwach trzecich, Unia zawiera z danym państwem trzecim umowę o statusie. Umowa o statusie obejmuje wszelkie aspekty niezbędne do prowadzenia działań. W szczególności określa ona zakres operacji, zakres odpowiedzialności karnej i cywilnej oraz zadania i uprawnienia członków zespołu. Umowa o statusie zapewnia pełne poszanowanie praw podstawowych w czasie tych operacji.</w:t>
      </w:r>
    </w:p>
    <w:p>
      <w:pPr>
        <w:rPr>
          <w:iCs/>
          <w:noProof/>
          <w:szCs w:val="24"/>
        </w:rPr>
      </w:pPr>
      <w:r>
        <w:rPr>
          <w:noProof/>
        </w:rPr>
        <w:t xml:space="preserve">Na podstawie wytycznych negocjacyjnych przyjętych przez Radę Komisja Europejska wynegocjowała z Bośnią i Hercegowiną umowę dotyczącą działań prowadzonych przez Europejską Agencję Straży Granicznej i Przybrzeżnej w Bośni i Hercegowinie („umowa o statusie”) mającą na celu ustanowienie ram prawnych, które umożliwią natychmiastowe działanie poprzez ustalenie planów operacyjnych w razie potrzeby szybkiej reakcji. Przepływy migracyjne w regionie są o wiele mniejsze w porównaniu z rokiem 2015 i 2016, jednak sieci przestępczości zorganizowanej szybko dostosowują swoje trasy i metody przemytu nielegalnych migrantów do nowych okoliczności. Od początku 2018 r. Bośnia i Hercegowina boryka się ze zwiększonym napływem migrantów. Dzięki umowie o statusie właściwe organy Bośni i Hercegowiny oraz państw członkowskich UE, koordynowane przez Europejską Agencję Straży Granicznej i Przybrzeżnej, znajdą się w dużo lepszej sytuacji, umożliwiającej szybkie reagowanie na takie okoliczności. </w:t>
      </w:r>
    </w:p>
    <w:p>
      <w:pPr>
        <w:rPr>
          <w:iCs/>
          <w:noProof/>
          <w:szCs w:val="24"/>
        </w:rPr>
      </w:pPr>
      <w:r>
        <w:rPr>
          <w:noProof/>
        </w:rPr>
        <w:t xml:space="preserve">Załączony wniosek dotyczący decyzji Rady stanowi instrument prawny umożliwiający podpisanie umowy o statusie między Unią Europejską a Bośnią i Hercegowiną. </w:t>
      </w:r>
    </w:p>
    <w:p>
      <w:pPr>
        <w:rPr>
          <w:noProof/>
        </w:rPr>
      </w:pPr>
      <w:r>
        <w:rPr>
          <w:noProof/>
        </w:rPr>
        <w:t xml:space="preserve">W dniu 16 października 2017 r. Komisja otrzymała od Rady upoważnienie do rozpoczęcia negocjacji z Bośnią i Hercegowiną w sprawie umowy o statusie dotyczącej działań prowadzonych przez Europejską Agencję Straży Granicznej i Przybrzeżnej na terytorium Bośni i Hercegowiny. </w:t>
      </w:r>
    </w:p>
    <w:p>
      <w:pPr>
        <w:rPr>
          <w:iCs/>
          <w:noProof/>
          <w:szCs w:val="24"/>
        </w:rPr>
      </w:pPr>
      <w:r>
        <w:rPr>
          <w:noProof/>
        </w:rPr>
        <w:t xml:space="preserve">Negocjacje w sprawie umowy o statusie rozpoczęto dnia 9 lipca 2018 r., natomiast druga runda miała miejsce dnia 10 października 2018 r. Umowa o statusie została parafowana przez szefów zespołów negocjacyjnych. </w:t>
      </w:r>
    </w:p>
    <w:p>
      <w:pPr>
        <w:rPr>
          <w:iCs/>
          <w:noProof/>
          <w:szCs w:val="24"/>
        </w:rPr>
      </w:pPr>
      <w:r>
        <w:rPr>
          <w:noProof/>
        </w:rPr>
        <w:t xml:space="preserve">Komisja uważa, że osiągnięto cele wyznaczone przez Radę w jej wytycznych negocjacyjnych i że umowa o statusie może zostać przyjęta przez Unię. </w:t>
      </w:r>
    </w:p>
    <w:p>
      <w:pPr>
        <w:spacing w:after="240"/>
        <w:rPr>
          <w:iCs/>
          <w:noProof/>
          <w:szCs w:val="24"/>
        </w:rPr>
      </w:pPr>
      <w:r>
        <w:rPr>
          <w:noProof/>
        </w:rPr>
        <w:lastRenderedPageBreak/>
        <w:t xml:space="preserve">Państwa członkowskie były informowane o przebiegu negocjacji, zasięgano także ich opinii na forum stosownych grup roboczych Rady.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przepisami obowiązującymi w tej dziedzinie polityki</w:t>
      </w:r>
    </w:p>
    <w:p>
      <w:pPr>
        <w:spacing w:after="240"/>
        <w:rPr>
          <w:iCs/>
          <w:noProof/>
          <w:szCs w:val="24"/>
        </w:rPr>
      </w:pPr>
      <w:r>
        <w:rPr>
          <w:noProof/>
        </w:rPr>
        <w:t>Obecnie czternaście państw członkowskich związanych jest umowami dwustronnymi z Bośnią i Hercegowiną: przewidziano w nich szereg wspólnych działań, takich jak kontrole graniczne, nadzór, patrolowanie, powroty itp. Wdrożono już także porozumienie robocze między Ministerstwem Bezpieczeństwa Bośni i Hercegowiny a Europejską Agencją Straży Granicznej i Przybrzeżnej; obejmuje ono w szczególności regularne uczestnictwo przedstawicieli Straży Granicznej Ministerstwa Bezpieczeństwa we wspólnych operacjach koordynowanych przez Europejską Agencję Straży Granicznej i Przybrzeżnej; występują oni w charakterze obserwatorów na terytorium państw członkowskich, za zgodą poszczególnych przyjmujących państw członkowskich.</w:t>
      </w:r>
    </w:p>
    <w:p>
      <w:pPr>
        <w:pStyle w:val="ManualHeading2"/>
        <w:ind w:left="0" w:firstLine="0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innymi politykami Unii</w:t>
      </w:r>
    </w:p>
    <w:p>
      <w:pPr>
        <w:rPr>
          <w:b/>
          <w:noProof/>
          <w:szCs w:val="24"/>
        </w:rPr>
      </w:pPr>
      <w:r>
        <w:rPr>
          <w:noProof/>
        </w:rPr>
        <w:t>Europejski program w zakresie migracji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opiera się na czterech filarach. Jednym z nich jest zarządzanie granicami: obejmuje ono lepsze zarządzanie granicami zewnętrznymi UE, w szczególności w postaci solidarności z państwami członkowskimi usytuowanymi na granicach zewnętrznych oraz zwiększania wydajności przejść granicznych. Wzmocniona kontrola granic Bośni i Hercegowiny wpłynie również pozytywnie na zewnętrzne granice UE, w szczególności na zewnętrzne granice Chorwacji, jak również na granice Bośni i Hercegowiny. Dalsze zwiększanie bezpieczeństwa na granicach zewnętrznych jest ponadto zgodne z Europejską agendą bezpieczeństwa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 xml:space="preserve">Podstawę prawną niniejszego wniosku w sprawie decyzji Rady stanowi art. 77 ust. 2 lit. b) i d) oraz art. 79 ust. 2 lit. c) TFUE w związku z art. 218 ust. 5 TFUE. </w:t>
      </w:r>
    </w:p>
    <w:p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 xml:space="preserve">Zawarcie przez UE umowy o statusie jest wyraźnie przewidziane w art. 54 ust. 4 rozporządzenia (UE) 2016/1624, który stanowi, że jeżeli przewiduje się rozmieszczenie zespołów Europejskiej Straży Granicznej i Przybrzeżnej w państwach trzecich do działań, w ramach których członkom zespołów mają zostać przyznane uprawnienia wykonawcze lub jeżeli jest to wymagane w ramach innych działań w państwach trzecich, Unia zawiera z danym państwem trzecim umowę o statusie. </w:t>
      </w:r>
    </w:p>
    <w:p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 xml:space="preserve">Na podstawie art. 3 ust. 2 TFUE Unia ma m.in. wyłączną kompetencję do zawierania umów międzynarodowych, jeżeli ich zawarcie zostało przewidziane w akcie ustawodawczym Unii. Art. 54 ust. 4 rozporządzenia (UE) 2016/1624 przewiduje zawarcie umowy o statusie między Unią Europejską a danym państwem trzecim. W związku z tym załączona umowa z Bośnią i Hercegowiną należy do wyłącznej kompetencji Unii Europejskiej.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Pomocniczość (w przypadku kompetencji niewyłącznych)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Nie dotyczy.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Proporcjonalność</w:t>
      </w:r>
    </w:p>
    <w:p>
      <w:pPr>
        <w:spacing w:after="240"/>
        <w:rPr>
          <w:noProof/>
          <w:szCs w:val="24"/>
        </w:rPr>
      </w:pPr>
      <w:r>
        <w:rPr>
          <w:noProof/>
        </w:rPr>
        <w:t xml:space="preserve">Mając na uwadze, że sieci przestępczości zorganizowanej szybko dostosowują swoje trasy i metody przemytu nielegalnych migrantów, zaangażowanie UE jest niezbędne w celu poprawy kontroli na granicach Bośni i Hercegowiny. Umowa o statusie jest konieczna, ponieważ umożliwia właściwym organom Bośni i Hercegowiny i państw członkowskich UE, koordynowanym przez Europejską Agencję Straży Granicznej i Przybrzeżnej, szybkie reagowanie na takie ewentualne zmiany sytuacji. Pozwoli ona na rozmieszczenie w Bośni i Hercegowinie zespołów Europejskiej Straży Granicznej i Przybrzeżnej przez Europejską Agencję Straży Granicznej i Przybrzeżnej w przypadku nagłego napływu nielegalnych migrantów.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Wybór instrumentu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Niniejszy wniosek jest zgodny z art. 218 ust. 5 TFUE, który przewiduje, że to Rada przyjmuje decyzje dotyczące umów międzynarodowych. Nie istnieje żaden inny instrument prawny, który mógłby posłużyć do osiągnięcia celu wyrażonego w niniejszym wniosku.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WYNIKI OCEN </w:t>
      </w:r>
      <w:r>
        <w:rPr>
          <w:i/>
          <w:noProof/>
        </w:rPr>
        <w:t>EX POST</w:t>
      </w:r>
      <w:r>
        <w:rPr>
          <w:noProof/>
        </w:rPr>
        <w:t>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Oceny </w:t>
      </w:r>
      <w:r>
        <w:rPr>
          <w:i/>
          <w:noProof/>
        </w:rPr>
        <w:t>ex post</w:t>
      </w:r>
      <w:r>
        <w:rPr>
          <w:noProof/>
        </w:rPr>
        <w:t>/kontrole sprawności obowiązującego prawodawstwa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Nie dotyczy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Konsultacje z zainteresowanymi stronami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Nie dotyczy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Gromadzenie i wykorzystanie wiedzy eksperckiej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Nie dotyczy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Ocena skutków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 xml:space="preserve">Ocena skutków nie była konieczna do negocjacji umowy o statusie.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Sprawność regulacyjna i uproszczenie</w:t>
      </w:r>
    </w:p>
    <w:p>
      <w:pPr>
        <w:pStyle w:val="ManualHeading2"/>
        <w:ind w:left="0" w:firstLine="0"/>
        <w:rPr>
          <w:rFonts w:eastAsia="Arial Unicode MS"/>
          <w:b w:val="0"/>
          <w:noProof/>
          <w:u w:color="000000"/>
          <w:bdr w:val="nil"/>
        </w:rPr>
      </w:pPr>
      <w:r>
        <w:rPr>
          <w:b w:val="0"/>
          <w:noProof/>
        </w:rPr>
        <w:t>Ponieważ będzie to nowa umowa, nie można było przeprowadzić oceny ani kontroli sprawności istniejących instrumentów.</w:t>
      </w:r>
    </w:p>
    <w:p>
      <w:pPr>
        <w:pStyle w:val="ManualHeading2"/>
        <w:ind w:left="0" w:firstLine="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Prawa podstawowe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  <w:szCs w:val="24"/>
        </w:rPr>
      </w:pPr>
      <w:r>
        <w:rPr>
          <w:noProof/>
        </w:rPr>
        <w:t>Umowa o statusie zawiera postanowienia gwarantujące ochronę praw podstawowych osób, których dotyczą działania członków zespołu zaangażowanych w operację koordynowaną przez Europejską Agencję Straży Granicznej i Przybrzeżnej.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Arial Unicode MS"/>
          <w:noProof/>
        </w:rPr>
      </w:pPr>
      <w:r>
        <w:rPr>
          <w:noProof/>
        </w:rPr>
        <w:t xml:space="preserve">Przepisy dotyczące praw podstawowych zostały szczegółowo wyjaśnione w pkt 5 „Elementy fakultatywne”.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autoSpaceDE w:val="0"/>
        <w:autoSpaceDN w:val="0"/>
        <w:rPr>
          <w:iCs/>
          <w:noProof/>
          <w:szCs w:val="24"/>
        </w:rPr>
      </w:pPr>
      <w:r>
        <w:rPr>
          <w:noProof/>
        </w:rPr>
        <w:t xml:space="preserve">Umowa o statusie nie pociąga za sobą skutków finansowych. Koszty generuje rozmieszczenie zespołów Europejskiej Agencji Straży Granicznej i Przybrzeżnej na podstawie planu operacyjnego i odpowiedniej umowy o udzielenie dotacji; są one pokrywane z budżetu Europejskiej Agencji Straży Granicznej i Przybrzeżnej. 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5.</w:t>
      </w:r>
      <w:r>
        <w:rPr>
          <w:noProof/>
        </w:rPr>
        <w:tab/>
        <w:t>ELEMENTY FAKULTATYWNE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Plany wdrożenia i monitorowanie, ocena i sprawozdania</w:t>
      </w:r>
    </w:p>
    <w:p>
      <w:pPr>
        <w:rPr>
          <w:noProof/>
          <w:szCs w:val="24"/>
        </w:rPr>
      </w:pPr>
      <w:r>
        <w:rPr>
          <w:noProof/>
        </w:rPr>
        <w:t xml:space="preserve">Komisja zapewni prawidłowe monitorowanie wdrożenia umowy o statusie. </w:t>
      </w:r>
    </w:p>
    <w:p>
      <w:pPr>
        <w:rPr>
          <w:noProof/>
          <w:szCs w:val="24"/>
        </w:rPr>
      </w:pPr>
      <w:r>
        <w:rPr>
          <w:noProof/>
        </w:rPr>
        <w:t xml:space="preserve">Bośnia i Hercegowina i Europejska Agencja Straży Granicznej i Przybrzeżnej razem przeprowadzają ocenę każdej wspólnej operacji lub szybkiej interwencji na granicy. </w:t>
      </w:r>
    </w:p>
    <w:p>
      <w:pPr>
        <w:spacing w:after="240"/>
        <w:rPr>
          <w:noProof/>
          <w:szCs w:val="24"/>
        </w:rPr>
      </w:pPr>
      <w:r>
        <w:rPr>
          <w:noProof/>
        </w:rPr>
        <w:t xml:space="preserve">W szczególności Europejska Agencja Straży Granicznej i Przybrzeżnej, Bośnia i Hercegowina oraz państwa członkowskie uczestniczące w konkretnym działaniu sporządzają sprawozdanie na temat stosowania postanowień umowy, w tym na temat przetwarzania danych osobowych, po zakończeniu każdego z działań.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Dokumenty wyjaśniające (w przypadku dyrektyw)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Nie dotyczy. </w:t>
      </w:r>
    </w:p>
    <w:p>
      <w:pPr>
        <w:pStyle w:val="ManualHeading2"/>
        <w:spacing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Szczegółowe objaśnienia poszczególnych przepisów wniosku</w:t>
      </w:r>
    </w:p>
    <w:p>
      <w:pPr>
        <w:rPr>
          <w:i/>
          <w:noProof/>
        </w:rPr>
      </w:pPr>
      <w:r>
        <w:rPr>
          <w:i/>
          <w:noProof/>
        </w:rPr>
        <w:t>Zakres umowy</w:t>
      </w:r>
    </w:p>
    <w:p>
      <w:pPr>
        <w:rPr>
          <w:rFonts w:eastAsia="Times New Roman"/>
          <w:noProof/>
        </w:rPr>
      </w:pPr>
      <w:r>
        <w:rPr>
          <w:noProof/>
        </w:rPr>
        <w:t>Na mocy przedmiotowej umowy Europejska Agencja Straży Granicznej i Przybrzeżnej może rozmieścić zespoły Europejskiej Straży Granicznej i Przybrzeżnej wyposażone w uprawnienia wykonawcze na terytorium Bośni i Hercegowiny celem przeprowadzenia wspólnych operacji lub szybkich interwencji na granicy. Umowa nie rozszerza wprawdzie zakresu obowiązywania Umowy między Wspólnotą Europejską a Bośnią i Hercegowiną o readmisji osób przebywających nielegalnie („umowa o readmisji między WE a Bośnią i Hercegowiną”)</w:t>
      </w:r>
      <w:r>
        <w:rPr>
          <w:rStyle w:val="FootnoteReference"/>
          <w:noProof/>
        </w:rPr>
        <w:footnoteReference w:id="4"/>
      </w:r>
      <w:r>
        <w:rPr>
          <w:noProof/>
        </w:rPr>
        <w:t>, jednak zespoły Europejskiej Straży Granicznej i Przybrzeżnej są także uprawnione, w ramach konkretnych operacji powrotowych, do wspierania Bośni i Hercegowiny w identyfikowaniu osób kierowanych do readmisji do Bośni i Hercegowiny, zgodnie z umową o readmisji między WE a Bośnią i Hercegowiną</w:t>
      </w:r>
      <w:r>
        <w:rPr>
          <w:rStyle w:val="Hyperlink"/>
          <w:noProof/>
        </w:rPr>
        <w:t>.</w:t>
      </w:r>
    </w:p>
    <w:p>
      <w:pPr>
        <w:spacing w:after="240"/>
        <w:rPr>
          <w:rFonts w:eastAsia="Times New Roman"/>
          <w:noProof/>
        </w:rPr>
      </w:pPr>
      <w:r>
        <w:rPr>
          <w:noProof/>
        </w:rPr>
        <w:t>Zespoły Europejskiej Straży Granicznej i Przybrzeżnej mogą być rozmieszczane na terytorium Bośni i Hercegowiny wyłącznie w regionach graniczących z granicami zewnętrznymi UE, a członkowie zespołów dysponują uprawnieniami wykonawczymi na tych obszarach Bośni i Hercegowiny, zgodnie z ustaleniami zawartymi w planie operacyjnym.</w:t>
      </w:r>
    </w:p>
    <w:p>
      <w:r>
        <w:rPr>
          <w:i/>
          <w:noProof/>
        </w:rPr>
        <w:t>Plan operacyjny</w:t>
      </w:r>
      <w:r>
        <w:rPr>
          <w:noProof/>
        </w:rPr>
        <w:t xml:space="preserve"> </w:t>
      </w:r>
    </w:p>
    <w:p>
      <w:pPr>
        <w:rPr>
          <w:rFonts w:eastAsia="Times New Roman"/>
          <w:noProof/>
        </w:rPr>
      </w:pPr>
      <w:r>
        <w:rPr>
          <w:noProof/>
        </w:rPr>
        <w:t xml:space="preserve">Przed każdą wspólną operacją lub szybką interwencją na granicy konieczne jest uzgodnienie planu operacyjnego między Agencją a Bośnią i Hercegowiną. Plan operacyjny musi także zostać zatwierdzony przez państwo członkowskie lub państwa członkowskie graniczące z obszarem operacyjnym. </w:t>
      </w:r>
    </w:p>
    <w:p>
      <w:pPr>
        <w:spacing w:after="240"/>
        <w:rPr>
          <w:rFonts w:eastAsia="Times New Roman"/>
          <w:noProof/>
        </w:rPr>
      </w:pPr>
      <w:r>
        <w:rPr>
          <w:noProof/>
        </w:rPr>
        <w:t xml:space="preserve">Plan ten określa szczegółowo organizacyjne i proceduralne aspekty wspólnej operacji lub szybkiej interwencji na granicy, w tym opis i ocenę sytuacji, operacyjne cele i zadania, rodzaj wyposażenia technicznego, które ma zostać wykorzystane, plan realizacji, współpracę z innymi państwami trzecimi, innymi agencjami i organami Unii lub organizacjami międzynarodowymi, przepisy dotyczące praw podstawowych, w tym ochrony danych osobowych, koordynację, dowodzenie, kontrolę, komunikację i strukturę sprawozdawczości, ustalenia organizacyjne i logistykę, ocenę i finansowe aspekty wspólnej operacji lub szybkiej interwencji na granicy. </w:t>
      </w:r>
    </w:p>
    <w:p>
      <w:pPr>
        <w:rPr>
          <w:rFonts w:eastAsia="Times New Roman"/>
          <w:i/>
          <w:noProof/>
        </w:rPr>
      </w:pPr>
      <w:r>
        <w:rPr>
          <w:i/>
          <w:noProof/>
        </w:rPr>
        <w:lastRenderedPageBreak/>
        <w:t>Zadania i uprawnienia członków zespołu</w:t>
      </w:r>
    </w:p>
    <w:p>
      <w:pPr>
        <w:rPr>
          <w:rFonts w:eastAsia="Times New Roman"/>
          <w:noProof/>
        </w:rPr>
      </w:pPr>
      <w:r>
        <w:rPr>
          <w:noProof/>
        </w:rPr>
        <w:t>Zasadniczo zespoły mają prawo do wykonywania zadań i dysponowania uprawnieniami wykonawczymi niezbędnymi do przeprowadzania kontroli granicznej i operacji powrotowych. Przestrzegają przy tym prawodawstwa krajowego Bośni i Hercegowiny.</w:t>
      </w:r>
    </w:p>
    <w:p>
      <w:pPr>
        <w:rPr>
          <w:noProof/>
        </w:rPr>
      </w:pPr>
      <w:r>
        <w:rPr>
          <w:noProof/>
        </w:rPr>
        <w:t>Zespoły działają na terytorium Bośni i Hercegowiny jedynie na polecenie i w obecności funkcjonariuszy Straży Granicznej lub innych funkcjonariuszy Policji Bośni i Hercegowiny.</w:t>
      </w:r>
    </w:p>
    <w:p>
      <w:pPr>
        <w:rPr>
          <w:rFonts w:eastAsia="Times New Roman"/>
          <w:noProof/>
        </w:rPr>
      </w:pPr>
      <w:r>
        <w:rPr>
          <w:noProof/>
        </w:rPr>
        <w:t>Członkowie zespołu noszą, w stosownych przypadkach, własne umundurowanie, a na nim widoczny identyfikator oraz niebieską opaskę z insygniami Unii Europejskiej i Agencji. Ponadto posiadają przy sobie dokument akredytacyjny w celu ułatwienia jednoznacznej identyfikacji przez organy krajowe Bośni i Hercegowiny.</w:t>
      </w:r>
    </w:p>
    <w:p>
      <w:pPr>
        <w:rPr>
          <w:rFonts w:eastAsia="Times New Roman"/>
          <w:noProof/>
        </w:rPr>
      </w:pPr>
      <w:r>
        <w:rPr>
          <w:noProof/>
        </w:rPr>
        <w:t xml:space="preserve">Członkowie zespołu mogą nosić broń służbową, amunicję i sprzęt w zakresie, w jakim są do tego upoważnieni na mocy przepisów krajowych swojego państwa oraz przepisów Bośni i Hercegowiny. Straż Graniczna Bośni i Hercegowiny informuje wcześniej Agencję o dopuszczalnych rodzajach broni służbowej, amunicji i sprzętu oraz o warunkach ich użycia. Agencja przekazuje wcześniej Straży Granicznej Bośni i Hercegowiny wykaz broni służbowej członków zespołu (rodzaj i numer seryjny broni; rodzaj i ilości amunicji). </w:t>
      </w:r>
    </w:p>
    <w:p>
      <w:pPr>
        <w:rPr>
          <w:rFonts w:eastAsia="Times New Roman"/>
          <w:noProof/>
        </w:rPr>
      </w:pPr>
      <w:r>
        <w:rPr>
          <w:noProof/>
        </w:rPr>
        <w:t xml:space="preserve">Członkowie zespołu mogą używać siły, w tym broni służbowej, amunicji i sprzętu, za zgodą swojego państwa oraz Straży Granicznej Bośni i Hercegowiny, w obecności funkcjonariuszy Straży Granicznej lub innych właściwych funkcjonariuszy Bośni i Hercegowiny oraz zgodnie z prawem krajowym Bośni i Hercegowiny. Straż Graniczna Bośni i Hercegowiny może upoważnić członków zespołu do użycia siły również w przypadku nieobecności jej funkcjonariuszy. </w:t>
      </w:r>
    </w:p>
    <w:p>
      <w:pPr>
        <w:spacing w:after="240"/>
        <w:rPr>
          <w:rFonts w:eastAsia="Times New Roman"/>
          <w:iCs/>
          <w:noProof/>
        </w:rPr>
      </w:pPr>
      <w:r>
        <w:rPr>
          <w:noProof/>
        </w:rPr>
        <w:t xml:space="preserve">Bośnia i Hercegowina może na wniosek członków zespołu przekazywać im istotne informacje znajdujące się w krajowych bazach danych, jeżeli jest to konieczne do osiągnięcia celów operacyjnych. </w:t>
      </w:r>
    </w:p>
    <w:p>
      <w:pPr>
        <w:spacing w:line="288" w:lineRule="auto"/>
        <w:rPr>
          <w:rFonts w:eastAsia="Times New Roman"/>
          <w:i/>
          <w:noProof/>
          <w:color w:val="000000"/>
          <w:szCs w:val="24"/>
        </w:rPr>
      </w:pPr>
      <w:r>
        <w:rPr>
          <w:i/>
          <w:noProof/>
          <w:color w:val="000000"/>
        </w:rPr>
        <w:t>Przywileje i immunitety członków zespołu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</w:rPr>
        <w:t>Członkowie zespołu korzystają z immunitetu od jurysdykcji karnej Bośni i Hercegowiny w odniesieniu do wszystkich działań wykonywanych podczas pełnienia obowiązków służbowych („na służbie”); immunitet ten nie obejmuje natomiast czynów popełnionych „poza służbą”.</w:t>
      </w:r>
      <w:r>
        <w:rPr>
          <w:noProof/>
          <w:color w:val="000000"/>
        </w:rPr>
        <w:t xml:space="preserve"> 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</w:rPr>
        <w:t>W planie operacyjnym określa się dokładnie działania wyłączone spod jurysdykcji karnej Bośni i Hercegowiny.</w:t>
      </w:r>
      <w:r>
        <w:rPr>
          <w:noProof/>
          <w:color w:val="000000"/>
        </w:rPr>
        <w:t xml:space="preserve"> 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 xml:space="preserve">W przypadku zarzutu popełnienia przestępstwa przez członka zespołu Dyrektor Wykonawczy Agencji, przed wszczęciem postępowania sądowego, wydaje w trybie pilnym dokument poświadczający, czy działanie, o którym mowa, zostało podjęte podczas pełnienia obowiązków służbowych. </w:t>
      </w:r>
      <w:r>
        <w:rPr>
          <w:noProof/>
        </w:rPr>
        <w:t>Dyrektor Wykonawczy Agencji podejmuje decyzję w tej sprawie po dokładnym rozważeniu wszelkich oświadczeń złożonych przez właściwy organ państwa członkowskiego, który wysłał funkcjonariusza straży granicznej lub innego właściwego członka personelu, oraz przez właściwe organy Bośni i Hercegowiny.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</w:rPr>
        <w:t>Przywileje przyznane członkom zespołu i immunitet od jurysdykcji karnej Bośni i Hercegowiny nie wyłączają ich spod jurysdykcji rodzimego państwa członkowskiego.</w:t>
      </w:r>
      <w:r>
        <w:rPr>
          <w:noProof/>
          <w:color w:val="000000"/>
        </w:rPr>
        <w:t xml:space="preserve"> 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 xml:space="preserve">Podobny system ma zastosowanie do ustalenia odpowiedzialności cywilnej lub administracyjnej członków zespołu. 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</w:rPr>
        <w:lastRenderedPageBreak/>
        <w:t>Immunitet członków zespołu od jurysdykcji Bośni i Hercegowiny może zostać uchylony przez państwo członkowskie, które wysłało danego funkcjonariusza straży granicznej lub innego właściwego członka personelu.</w:t>
      </w:r>
      <w:r>
        <w:rPr>
          <w:noProof/>
          <w:color w:val="000000"/>
        </w:rPr>
        <w:t xml:space="preserve"> Uchylenie takie musi zawsze być jednoznacznie wyrażone.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 xml:space="preserve">Umowa przewiduje mechanizm pozwalający na kompensację szkód. Mechanizm odszkodowawczy opiera się na art. 42 rozporządzenia (UE) 2016/1624 w sprawie Europejskiej Straży Granicznej i Przybrzeżnej. </w:t>
      </w:r>
      <w:r>
        <w:rPr>
          <w:noProof/>
        </w:rPr>
        <w:t>Jeżeli szkoda została wyrządzona przez członka zespołu „na służbie”, odpowiedzialność ponosi Bośnia i Hercegowina.</w:t>
      </w:r>
      <w:r>
        <w:rPr>
          <w:noProof/>
          <w:color w:val="000000"/>
        </w:rPr>
        <w:t xml:space="preserve"> </w:t>
      </w:r>
      <w:r>
        <w:rPr>
          <w:noProof/>
        </w:rPr>
        <w:t>Jeżeli szkoda została wyrządzona „na służbie” przez członka zespołu z uczestniczącego państwa członkowskiego wskutek rażącego niedbalstwa lub umyślnego naruszenia przepisów lub jeżeli czyn został popełniony „poza służbą”, Bośnia i Hercegowina może zażądać za pośrednictwem Dyrektora Wykonawczego Agencji wypłacenia odszkodowania przez dane uczestniczące państwo członkowskie.</w:t>
      </w:r>
      <w:r>
        <w:rPr>
          <w:noProof/>
          <w:color w:val="000000"/>
        </w:rPr>
        <w:t xml:space="preserve"> </w:t>
      </w:r>
      <w:r>
        <w:rPr>
          <w:noProof/>
        </w:rPr>
        <w:t>Jeżeli szkodę wyrządza pracownik Agencji, Bośnia i Hercegowina może wystąpić o wypłacenie odszkodowania przez Agencję.</w:t>
      </w:r>
      <w:r>
        <w:rPr>
          <w:noProof/>
          <w:color w:val="000000"/>
        </w:rPr>
        <w:t xml:space="preserve"> 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>W stosunku do członków zespołu nie mogą być przedsięwzięte żadne środki egzekucyjne z wyjątkiem przypadków, w których wszczęto przeciwko nim postępowanie karne lub cywilne niepowiązane z ich obowiązkami służbowymi.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>Mienie członków zespołu niezbędne do wykonywania obowiązków służbowych nie podlega zajęciu. W postępowaniu cywilnym członkowie zespołu nie podlegają ograniczeniu wolności osobistej ani innym środkom przymusu.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</w:rPr>
        <w:t>Członkowie zespołu są zwolnieni z podlegania przepisom dotyczącym zabezpieczenia społecznego obowiązującym w Bośni i Hercegowinie w odniesieniu do usług świadczonych na rzecz Agencji.</w:t>
      </w:r>
      <w:r>
        <w:rPr>
          <w:noProof/>
          <w:color w:val="000000"/>
        </w:rPr>
        <w:t xml:space="preserve"> </w:t>
      </w:r>
      <w:r>
        <w:rPr>
          <w:noProof/>
        </w:rPr>
        <w:t>Są oni ponadto zwolnieni w Bośni i Hercegowinie z wszelkich form opodatkowania dochodów i wynagrodzenia wypłacanych im przez Agencję lub ich państwa członkowskie, a także wszelkich innych dochodów pochodzących spoza Bośni i Hercegowiny.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</w:rPr>
        <w:t>Organy Bośni i Hercegowiny zezwalają na przywóz i wywóz przedmiotów przeznaczonych do osobistego użytku członków zespołu i przyznają zwolnienie z wszelkich ceł, podatków oraz innych opłat i należności (z wyjątkiem należności za przechowywanie, przewóz i podobne usługi) w odniesieniu do takich przedmiotów.</w:t>
      </w:r>
      <w:r>
        <w:rPr>
          <w:noProof/>
          <w:color w:val="000000"/>
        </w:rPr>
        <w:t xml:space="preserve"> </w:t>
      </w:r>
    </w:p>
    <w:p>
      <w:pPr>
        <w:spacing w:after="0"/>
        <w:rPr>
          <w:rFonts w:eastAsia="Times New Roman"/>
          <w:noProof/>
          <w:color w:val="000000"/>
          <w:szCs w:val="24"/>
        </w:rPr>
      </w:pPr>
      <w:r>
        <w:rPr>
          <w:noProof/>
        </w:rPr>
        <w:t>Osobisty bagaż członków zespołu podlega kontroli tylko w przypadku uzasadnionego podejrzenia, że zawiera on przedmioty, które nie są przeznaczone do osobistego użytku członków zespołu, lub przedmioty, których przywóz lub wywóz jest zabroniony na podstawie przepisów Bośni i Hercegowiny lub które podlegają jej przepisom w zakresie kwarantanny.</w:t>
      </w:r>
      <w:r>
        <w:rPr>
          <w:noProof/>
          <w:color w:val="000000"/>
        </w:rPr>
        <w:t xml:space="preserve"> Kontrola takiego bagażu osobistego jest przeprowadzana jedynie w obecności zainteresowanego członka / zainteresowanych członków zespołu lub upoważnionego przedstawiciela Agencji.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 xml:space="preserve">Dokumenty, korespondencja i mienie członków zespołu są nietykalne, z wyjątkiem sytuacji przedsięwzięcia środków egzekucyjnych. </w:t>
      </w:r>
    </w:p>
    <w:p>
      <w:pPr>
        <w:spacing w:after="240"/>
        <w:rPr>
          <w:rFonts w:eastAsia="Times New Roman"/>
          <w:noProof/>
          <w:color w:val="000000"/>
          <w:szCs w:val="24"/>
        </w:rPr>
      </w:pPr>
      <w:r>
        <w:rPr>
          <w:noProof/>
        </w:rPr>
        <w:t xml:space="preserve">Właściwe organy Bośni mogą zobowiązać członków zespołu występujących w charakterze świadków do przedstawienia dowodów, z pełnym poszanowaniem postanowień dotyczących immunitetu od jurysdykcji karnej, cywilnej i administracyjnej. </w:t>
      </w:r>
    </w:p>
    <w:p>
      <w:pPr>
        <w:rPr>
          <w:i/>
          <w:noProof/>
        </w:rPr>
      </w:pPr>
      <w:r>
        <w:rPr>
          <w:i/>
          <w:noProof/>
        </w:rPr>
        <w:t xml:space="preserve">Dokument akredytacyjny </w:t>
      </w:r>
    </w:p>
    <w:p>
      <w:pPr>
        <w:spacing w:after="240"/>
        <w:rPr>
          <w:rFonts w:eastAsia="Times New Roman"/>
          <w:noProof/>
          <w:color w:val="000000"/>
          <w:szCs w:val="24"/>
        </w:rPr>
      </w:pPr>
      <w:r>
        <w:rPr>
          <w:noProof/>
        </w:rPr>
        <w:t xml:space="preserve">Agencja, we współpracy z Bośnią i Hercegowiną wystawia członkom zespołu dokument akredytacyjny, który umożliwia organom Bośni i Hercegowiny stwierdzenie ich tożsamości i stanowi dowód, że posiadacz dokumentu jest uprawniony do wykonywania zadań </w:t>
      </w:r>
      <w:r>
        <w:rPr>
          <w:noProof/>
        </w:rPr>
        <w:lastRenderedPageBreak/>
        <w:t>i korzystania z uprawnień, o których mowa w umowie oraz w planie operacyjnym.</w:t>
      </w:r>
      <w:r>
        <w:rPr>
          <w:noProof/>
          <w:color w:val="000000"/>
        </w:rPr>
        <w:t xml:space="preserve"> </w:t>
      </w:r>
      <w:r>
        <w:rPr>
          <w:noProof/>
        </w:rPr>
        <w:t>Dokument akredytacyjny, w połączeniu z ważnym dokumentem podróży, umożliwia danemu członkowi zespołu wjazd do Bośni i Hercegowiny, bez konieczności posiadania wizy lub wcześniejszego zezwolenia;</w:t>
      </w:r>
      <w:r>
        <w:rPr>
          <w:noProof/>
          <w:color w:val="000000"/>
        </w:rPr>
        <w:t xml:space="preserve"> dokument akredytacyjny jest zwracany Agencji po zakończeniu działania. </w:t>
      </w:r>
    </w:p>
    <w:p>
      <w:pPr>
        <w:rPr>
          <w:rFonts w:eastAsia="Times New Roman"/>
          <w:i/>
          <w:noProof/>
          <w:color w:val="000000"/>
          <w:szCs w:val="24"/>
        </w:rPr>
      </w:pPr>
      <w:r>
        <w:rPr>
          <w:i/>
          <w:noProof/>
          <w:color w:val="000000"/>
        </w:rPr>
        <w:t>Prawa podstawowe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 xml:space="preserve">Wykonując swoje zadania i korzystając ze swoich uprawnień, członkowie zespołu w pełni respektują podstawowe prawa i wolności, w tym prawo dostępu do procedur azylowych, godność człowieka, zakaz tortur i nieludzkiego lub poniżającego traktowania, prawo do wolności, zasadę </w:t>
      </w:r>
      <w:r>
        <w:rPr>
          <w:i/>
          <w:noProof/>
          <w:color w:val="000000"/>
        </w:rPr>
        <w:t>non-refoulement</w:t>
      </w:r>
      <w:r>
        <w:rPr>
          <w:noProof/>
          <w:color w:val="000000"/>
        </w:rPr>
        <w:t xml:space="preserve"> i zakaz wydaleń zbiorowych, prawa dziecka i prawo do poszanowania życia prywatnego i rodzinnego. Nie mogą oni dyskryminować osób z żadnych względów, w tym ze względu na płeć, rasę lub pochodzenie etniczne, religię lub światopogląd, niepełnosprawność, wiek lub orientację seksualną. Wszelkie działania godzące w podstawowe prawa i wolności muszą być proporcjonalne do celu takich działań i szanować istotę tych podstawowych praw i wolności.</w:t>
      </w:r>
    </w:p>
    <w:p>
      <w:pPr>
        <w:spacing w:after="240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 xml:space="preserve">Każda ze Stron musi posiadać mechanizm skargowy służący do rozpatrywania zarzutów dotyczących naruszenia praw podstawowych przez jej personel. Agencja ustanowiła mechanizm skargowy, o którym mowa w art. 72 rozporządzenia (UE) 2016/1624 w sprawie Europejskiej Straży Granicznej i Przybrzeżnej, spełniając w związku z tym ten obowiązek. </w:t>
      </w:r>
      <w:r>
        <w:rPr>
          <w:noProof/>
        </w:rPr>
        <w:t>Rzecznicy Praw Obywatelskich Bośni i Hercegowiny („Instytucja Rzecznika Praw Obywatelskich Bośni i Hercegowiny”) mogą zająć się takimi zarzutami, z wyjątkiem sytuacji, gdy Bośnia i Hercegowina zdecyduje o ustanowieniu mechanizmu specjalnie powołanego do rozpatrywania skarg złożonych na mocy przedmiotowej umowy.</w:t>
      </w:r>
      <w:r>
        <w:rPr>
          <w:noProof/>
          <w:color w:val="000000"/>
        </w:rPr>
        <w:t xml:space="preserve"> </w:t>
      </w:r>
    </w:p>
    <w:p>
      <w:pPr>
        <w:rPr>
          <w:rFonts w:eastAsia="Times New Roman"/>
          <w:i/>
          <w:noProof/>
          <w:color w:val="000000"/>
          <w:szCs w:val="24"/>
        </w:rPr>
      </w:pPr>
      <w:r>
        <w:rPr>
          <w:i/>
          <w:noProof/>
          <w:color w:val="000000"/>
        </w:rPr>
        <w:t>Przetwarzanie danych osobowych</w:t>
      </w:r>
    </w:p>
    <w:p>
      <w:pPr>
        <w:rPr>
          <w:rFonts w:eastAsia="Times New Roman"/>
          <w:i/>
          <w:noProof/>
          <w:color w:val="000000"/>
          <w:szCs w:val="24"/>
        </w:rPr>
      </w:pPr>
      <w:r>
        <w:rPr>
          <w:noProof/>
          <w:color w:val="000000"/>
        </w:rPr>
        <w:t xml:space="preserve">Członkowie zespołu przetwarzają dane osobowe w razie konieczności i w sposób proporcjonalny, zgodnie z przepisami mającymi zastosowanie do Agencji i państw członkowskich UE. </w:t>
      </w:r>
      <w:r>
        <w:rPr>
          <w:noProof/>
        </w:rPr>
        <w:t>Przetwarzanie danych osobowych przez organy Bośni i Hercegowiny podlega przepisom jej prawa krajowego.</w:t>
      </w:r>
    </w:p>
    <w:p>
      <w:pPr>
        <w:spacing w:after="240"/>
        <w:rPr>
          <w:rFonts w:eastAsia="Times New Roman"/>
          <w:i/>
          <w:noProof/>
          <w:color w:val="000000"/>
          <w:szCs w:val="24"/>
        </w:rPr>
      </w:pPr>
      <w:r>
        <w:rPr>
          <w:noProof/>
        </w:rPr>
        <w:t>Agencja, uczestniczące państwa członkowskie oraz organy Bośni i Hercegowiny sporządzają wspólne sprawozdanie na temat przetwarzania danych osobowych przez członków zespołu po zakończeniu każdego działania.</w:t>
      </w:r>
      <w:r>
        <w:rPr>
          <w:noProof/>
          <w:color w:val="000000"/>
        </w:rPr>
        <w:t xml:space="preserve"> </w:t>
      </w:r>
      <w:r>
        <w:rPr>
          <w:noProof/>
        </w:rPr>
        <w:t>Sprawozdanie to przekazywane jest urzędnikowi ds. praw podstawowych i inspektorowi ochrony danych Agencji, a także właściwym organom Bośni i Hercegowiny.</w:t>
      </w:r>
      <w:r>
        <w:rPr>
          <w:noProof/>
          <w:color w:val="000000"/>
        </w:rPr>
        <w:t xml:space="preserve"> Urzędnik ds. praw podstawowych i inspektor ochrony danych Agencji podlegają Dyrektorowi Wykonawczemu Agencji.</w:t>
      </w:r>
    </w:p>
    <w:p>
      <w:pPr>
        <w:rPr>
          <w:i/>
          <w:noProof/>
        </w:rPr>
      </w:pPr>
      <w:r>
        <w:rPr>
          <w:i/>
          <w:noProof/>
        </w:rPr>
        <w:t>Zawieszenie i zakończenie działania</w:t>
      </w:r>
    </w:p>
    <w:p>
      <w:pPr>
        <w:spacing w:after="240"/>
        <w:rPr>
          <w:rFonts w:eastAsia="Times New Roman"/>
          <w:noProof/>
        </w:rPr>
      </w:pPr>
      <w:r>
        <w:rPr>
          <w:noProof/>
        </w:rPr>
        <w:t xml:space="preserve">Zarówno Agencja, jak i Straż Graniczna Bośni i Hercegowiny mogą zawiesić lub zakończyć działanie, jeżeli uznają, że postanowienia umowy lub planu operacyjnego nie są przestrzegane przez drugą stronę. </w:t>
      </w:r>
    </w:p>
    <w:p>
      <w:pPr>
        <w:rPr>
          <w:rFonts w:eastAsia="Times New Roman"/>
          <w:i/>
          <w:noProof/>
          <w:color w:val="000000"/>
          <w:szCs w:val="24"/>
        </w:rPr>
      </w:pPr>
      <w:r>
        <w:rPr>
          <w:i/>
          <w:noProof/>
          <w:color w:val="000000"/>
        </w:rPr>
        <w:t>Spory i interpretacja</w:t>
      </w:r>
    </w:p>
    <w:p>
      <w:pPr>
        <w:spacing w:before="0"/>
        <w:rPr>
          <w:rFonts w:eastAsia="Times New Roman"/>
          <w:noProof/>
          <w:color w:val="000000"/>
          <w:szCs w:val="24"/>
        </w:rPr>
      </w:pPr>
      <w:r>
        <w:rPr>
          <w:noProof/>
        </w:rPr>
        <w:t>Wszystkie kwestie zaistniałe w związku ze stosowaniem niniejszego porozumienia są rozpatrywane wspólnie przez przedstawicieli Straży Granicznej Bośni i Hercegowiny oraz przedstawicieli Agencji, którzy konsultują się z państwem członkowskim lub państwami członkowskimi sąsiadującymi z Bośnią i Hercegowiną.</w:t>
      </w:r>
      <w:r>
        <w:rPr>
          <w:noProof/>
          <w:color w:val="000000"/>
        </w:rPr>
        <w:t xml:space="preserve"> </w:t>
      </w:r>
    </w:p>
    <w:p>
      <w:pPr>
        <w:spacing w:before="0"/>
        <w:rPr>
          <w:rFonts w:eastAsia="Times New Roman"/>
          <w:iCs/>
          <w:noProof/>
        </w:rPr>
      </w:pPr>
      <w:r>
        <w:rPr>
          <w:noProof/>
        </w:rPr>
        <w:t xml:space="preserve">W przypadku braku wcześniejszego rozstrzygnięcia spory dotyczące wykładni lub stosowania przedmiotowej umowy rozstrzygane są wyłącznie w drodze negocjacji pomiędzy Bośnią </w:t>
      </w:r>
      <w:r>
        <w:rPr>
          <w:noProof/>
        </w:rPr>
        <w:lastRenderedPageBreak/>
        <w:t>i Hercegowiną a Komisją Europejską, która zasięga opinii wszystkich państw członkowskich sąsiadujących z Bośnią i Hercegowiną.</w:t>
      </w:r>
    </w:p>
    <w:p>
      <w:pPr>
        <w:rPr>
          <w:rFonts w:eastAsia="Times New Roman"/>
          <w:i/>
          <w:noProof/>
          <w:color w:val="000000"/>
          <w:szCs w:val="24"/>
        </w:rPr>
      </w:pPr>
      <w:r>
        <w:rPr>
          <w:i/>
          <w:noProof/>
          <w:color w:val="000000"/>
        </w:rPr>
        <w:t>Wspólne deklaracje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</w:rPr>
        <w:t>Obie strony przyjmują do wiadomości, że Europejska Agencja Straży Granicznej i Przybrzeżnej będzie wspierać Bośnię i Hercegowinę w skutecznej kontroli jej granic z każdym państwem niebędącym członkiem Unii Europejskiej za pomocą innych środków niż w drodze oddelegowania zespołów Europejskiej Straży Granicznej i Przybrzeżnej wyposażonych w uprawnienia wykonawcze.</w:t>
      </w:r>
    </w:p>
    <w:p>
      <w:pPr>
        <w:rPr>
          <w:noProof/>
          <w:szCs w:val="24"/>
        </w:rPr>
      </w:pPr>
      <w:r>
        <w:rPr>
          <w:noProof/>
        </w:rPr>
        <w:t>We wspólnej deklaracji do umowy uwzględniono fakt włączenia Norwegii, Islandii, Szwajcarii i Liechtensteinu we wprowadzanie w życie, stosowanie i rozwijanie dorobku Schengen.</w:t>
      </w:r>
    </w:p>
    <w:p>
      <w:pPr>
        <w:spacing w:after="240" w:line="360" w:lineRule="auto"/>
        <w:jc w:val="center"/>
        <w:rPr>
          <w:rFonts w:eastAsia="Times New Roman"/>
          <w:noProof/>
          <w:color w:val="000000"/>
          <w:szCs w:val="24"/>
        </w:rPr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2019/0057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>w sprawie podpisania, w imieniu Unii, Umowy między Unią Europejską a Bośnią i Hercegowiną dotyczącej działań prowadzonych przez Europejską Agencję Straży Granicznej i Przybrzeżnej na terytorium Bośni i Hercegowiny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77 ust. 2 lit. b) i d) oraz art. 79 ust. 2 lit. c), w związku z art. 218 ust. 5,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Art. 54 ust. 4 rozporządzenia Parlamentu Europejskiego i Rady (UE) 2016/1624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stanowi, że jeżeli przewiduje się rozmieszczenie zespołów Europejskiej Straży Granicznej i Przybrzeżnej w państwach trzecich celem przeprowadzania działań, na potrzeby których członkowie zespołów dysponują uprawnieniami wykonawczymi lub jeżeli jest to wymagane w ramach innych działań w państwach trzecich, Unia zawiera z danym państwem trzecim umowę o statusie. Umowa ta powinna objąć wszelkie aspekty niezbędne do przeprowadzenia działań.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W dniu 16 października 2017 r. Komisja otrzymała od Rady upoważnienie do rozpoczęcia rokowań z Bośnią i Hercegowiną w sprawie umowy dotyczącej działań prowadzonych przez Europejską Agencję Straży Granicznej i Przybrzeżnej na terytorium Bośni i Hercegowiny („umowa”).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Rokowania zostały pomyślnie zakończone parafowaniem umowy. 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Niniejsza decyzja stanowi rozwinięcie przepisów dorobku Schengen, które nie mają zastosowania do Zjednoczonego Królestwa zgodnie z decyzją Rady 2000/365/WE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; Zjednoczone Królestwo nie uczestniczy w związku z tym w jej przyjęciu i nie jest nią związane ani jej nie stosuje. </w:t>
      </w:r>
    </w:p>
    <w:p>
      <w:pPr>
        <w:pStyle w:val="ManualConsidrant"/>
        <w:rPr>
          <w:noProof/>
          <w:szCs w:val="24"/>
        </w:rPr>
      </w:pPr>
      <w:r>
        <w:t>(5)</w:t>
      </w:r>
      <w:r>
        <w:tab/>
      </w:r>
      <w:r>
        <w:rPr>
          <w:noProof/>
        </w:rPr>
        <w:t>Niniejsza decyzja stanowi rozwinięcie przepisów dorobku Schengen, które nie mają zastosowania do Irlandii zgodnie z decyzją Rady 2002/192/WE</w:t>
      </w:r>
      <w:r>
        <w:rPr>
          <w:rStyle w:val="FootnoteReference"/>
          <w:noProof/>
        </w:rPr>
        <w:footnoteReference w:id="7"/>
      </w:r>
      <w:r>
        <w:rPr>
          <w:noProof/>
        </w:rPr>
        <w:t>; Irlandia nie uczestniczy w związku z tym w przyjęciu niniejszej decyzji, nie jest nią związana ani jej nie stosuje.</w:t>
      </w:r>
    </w:p>
    <w:p>
      <w:pPr>
        <w:pStyle w:val="ManualConsidrant"/>
        <w:rPr>
          <w:noProof/>
          <w:szCs w:val="24"/>
        </w:rPr>
      </w:pPr>
      <w:r>
        <w:lastRenderedPageBreak/>
        <w:t>(6)</w:t>
      </w:r>
      <w:r>
        <w:tab/>
      </w:r>
      <w:r>
        <w:rPr>
          <w:noProof/>
        </w:rPr>
        <w:t>Zgodnie z art. 1 i 2 Protokołu nr 22 w sprawie stanowiska Danii, załączonego do Traktatu o Unii Europejskiej i do Traktatu o funkcjonowaniu Unii Europejskiej, Dania nie uczestniczy w przyjęciu niniejszej decyzji i nie jest nią związana ani jej nie stosuje.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Należy zatem podpisać umowę w imieniu Unii, z zastrzeżeniem jej zawarcia w późniejszym terminie, oraz zatwierdzić dołączone do niej deklaracje, </w:t>
      </w:r>
    </w:p>
    <w:p>
      <w:pPr>
        <w:pStyle w:val="Formuledadoption"/>
        <w:rPr>
          <w:noProof/>
        </w:rPr>
      </w:pPr>
      <w:r>
        <w:rPr>
          <w:noProof/>
        </w:rPr>
        <w:t xml:space="preserve">PRZYJMUJE NINIEJSZĄ DECYZJĘ: 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>Niniejszym zatwierdza się, w imieniu Unii Europejskiej, podpisanie Umowy między Unią Europejską a Bośnią i Hercegowiną dotyczącej działań prowadzonych przez Europejską Agencję Straży Granicznej i Przybrzeżnej na terytorium Bośni i Hercegowiny („umowa”), z zastrzeżeniem jej zawarcia w późniejszym terminie.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 xml:space="preserve">W imieniu Unii Europejskiej zatwierdza się deklaracje załączone do niniejszej decyzji. </w:t>
      </w:r>
    </w:p>
    <w:p>
      <w:pPr>
        <w:pStyle w:val="Titrearticle"/>
        <w:rPr>
          <w:noProof/>
        </w:rPr>
      </w:pPr>
      <w:r>
        <w:rPr>
          <w:noProof/>
        </w:rPr>
        <w:t xml:space="preserve">Artykuł 3 </w:t>
      </w:r>
    </w:p>
    <w:p>
      <w:pPr>
        <w:rPr>
          <w:noProof/>
        </w:rPr>
      </w:pPr>
      <w:r>
        <w:rPr>
          <w:noProof/>
        </w:rPr>
        <w:t>Sekretariat Generalny Rady ustanawia instrument pełnomocnictwa do podpisania umowy, z zastrzeżeniem jej zawarcia, dla osoby wskazanej (osób wskazanych) przez negocjatora umowy.</w:t>
      </w:r>
    </w:p>
    <w:p>
      <w:pPr>
        <w:pStyle w:val="Titrearticle"/>
        <w:rPr>
          <w:noProof/>
        </w:rPr>
      </w:pPr>
      <w:r>
        <w:rPr>
          <w:noProof/>
        </w:rPr>
        <w:t>Artykuł 4</w:t>
      </w:r>
    </w:p>
    <w:p>
      <w:pPr>
        <w:keepLines/>
        <w:rPr>
          <w:noProof/>
        </w:rPr>
      </w:pPr>
      <w:r>
        <w:rPr>
          <w:noProof/>
        </w:rPr>
        <w:t xml:space="preserve">Niniejsza decyzja wchodzi w życie z dniem jej przyjęcia. 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Dz.U. L 251 z 16.9.2016, s. 1.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COM(2015) 240 final.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COM(2015) 185 final.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Dz.U. L 334 z 19.12.2007, s. 66.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2016/1624 z dnia 14 września 2016 r. w sprawie Europejskiej Straży Granicznej i Przybrzeżnej oraz zmieniające rozporządzenie Parlamentu Europejskiego i Rady (UE) 2016/399 i uchylające rozporządzenie (WE) nr 863/2007 Parlamentu Europejskiego i Rady, rozporządzenie Rady (WE) nr 2007/2004 i decyzję Rady 2005/267/WE (Dz.U. L 251 z 16.9.2016, s. 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Decyzja Rady 2000/365/WE z dnia 29 maja 2000 r. dotycząca wniosku Zjednoczonego Królestwa Wielkiej Brytanii i Irlandii Północnej o zastosowaniu wobec niego niektórych przepisów dorobku Schengen (Dz.U. L 131 z 1.6.2000, s. 43).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Decyzja Rady 2002/192/WE z dnia 28 lutego 2002 r. dotycząca wniosku Irlandii o zastosowanie wobec niej niektórych przepisów dorobku Schengen (Dz.U. L 64 z 7.3.2002, s. 20).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E12C5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04060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898D7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E36A2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BDE4A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4347F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A8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E0A9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19 17:32:0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86D2C78-DB02-4076-8192-E446CC268DA3"/>
    <w:docVar w:name="LW_COVERPAGE_TYPE" w:val="1"/>
    <w:docVar w:name="LW_CROSSREFERENCE" w:val="&lt;UNUSED&gt;"/>
    <w:docVar w:name="LW_DocType" w:val="COM"/>
    <w:docVar w:name="LW_EMISSION" w:val="28.2.2019"/>
    <w:docVar w:name="LW_EMISSION_ISODATE" w:val="2019-02-28"/>
    <w:docVar w:name="LW_EMISSION_LOCATION" w:val="BRX"/>
    <w:docVar w:name="LW_EMISSION_PREFIX" w:val="Bruksela, dnia "/>
    <w:docVar w:name="LW_EMISSION_SUFFIX" w:val=" r.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57"/>
    <w:docVar w:name="LW_REF.II.NEW.CP_YEAR" w:val="2019"/>
    <w:docVar w:name="LW_REF.INST.NEW" w:val="COM"/>
    <w:docVar w:name="LW_REF.INST.NEW_ADOPTED" w:val="final"/>
    <w:docVar w:name="LW_REF.INST.NEW_TEXT" w:val="(2019) 10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sprawie podpisania, w imieniu Unii, Umowy mi\u281?dzy Uni\u261? Europejsk\u261? a Bo\u347?ni\u261? i Hercegowin\u261? dotycz\u261?cej dzia\u322?a\u324? prowadzonych przez Europejsk\u261? Agencj\u281? Stra\u380?y Granicznej i Przybrze\u380?nej na terytorium Bo\u347?ni i Hercegowiny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uiPriority w:val="99"/>
    <w:unhideWhenUsed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uiPriority w:val="99"/>
    <w:unhideWhenUsed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11</Pages>
  <Words>3202</Words>
  <Characters>21328</Characters>
  <Application>Microsoft Office Word</Application>
  <DocSecurity>0</DocSecurity>
  <Lines>361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18</cp:revision>
  <dcterms:created xsi:type="dcterms:W3CDTF">2019-02-18T14:57:00Z</dcterms:created>
  <dcterms:modified xsi:type="dcterms:W3CDTF">2019-02-19T16:32:00Z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