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163BBE8-0D1E-4D73-B78B-2A08052BA3F8"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sz w:val="16"/>
          <w:szCs w:val="16"/>
        </w:rPr>
      </w:pPr>
      <w:r>
        <w:rPr>
          <w:noProof/>
        </w:rPr>
        <w:t>Euroopa Parlamendi ja nõukogu 14. septembri 2016. aasta määruse (EL) 2016/1624 (mis käsitleb Euroopa piiri- ja rannikuvalvet)</w:t>
      </w:r>
      <w:r>
        <w:rPr>
          <w:rStyle w:val="FootnoteReference"/>
          <w:noProof/>
        </w:rPr>
        <w:footnoteReference w:id="1"/>
      </w:r>
      <w:r>
        <w:rPr>
          <w:noProof/>
        </w:rPr>
        <w:t xml:space="preserve"> artikli 54 lõikes 3 on sätestatud, et Euroopa Piiri- ja Rannikuvalve Amet võib koordineerida liikmesriikide ja kolmandate riikide vahelist operatiivkoostööd välispiiride halduse valdkonnas. Sellega seoses võib amet viia välispiiridel ellu tegevusi, milles osalevad üks või mitu liikmesriiki ja vähemalt üks asjaomase liikmesriigi naabruses paiknev kolmas riik, kes on selleks oma nõusoleku andnud, ning mida võidakse teostada kolmanda riigi territooriumil. </w:t>
      </w:r>
    </w:p>
    <w:p>
      <w:pPr>
        <w:rPr>
          <w:noProof/>
          <w:szCs w:val="24"/>
        </w:rPr>
      </w:pPr>
      <w:r>
        <w:rPr>
          <w:noProof/>
        </w:rPr>
        <w:t>Vastavalt määruse (EL) 2016/1624 artikli 54 lõikele 4 sõlmib liit asjaomase kolmanda riigiga staatust käsitleva kokkuleppe, kui vastavalt kavandatule lähetatakse Euroopa piiri- ja rannikuvalve rühmad kolmandasse riiki tegevuseks, mis kätkeb endas täidesaatva võimu teostamist, või kui kokkulepe on nõutav muude kolmandas riigis läbiviidavate tegevuste jaoks. Staatust käsitlev kokkulepe hõlmab kõiki tegevuseks vajalikke aspekte, eelkõige operatsiooni ulatuse kirjeldust, tsiviil- ja kriminaalvastutust ning rühma liikmete ülesandeid ja õigusi. Staatust käsitleva kokkuleppega tagatakse, et operatsioonide käigus austatakse täielikult põhiõigusi.</w:t>
      </w:r>
    </w:p>
    <w:p>
      <w:pPr>
        <w:rPr>
          <w:iCs/>
          <w:noProof/>
          <w:szCs w:val="24"/>
        </w:rPr>
      </w:pPr>
      <w:r>
        <w:rPr>
          <w:noProof/>
        </w:rPr>
        <w:t xml:space="preserve">Nõukogu läbirääkimisjuhistele toetudes on Euroopa Komisjon pidanud Bosnia ja Hertsegoviinaga läbirääkimisi staatust käsitleva kokkuleppe üle (edaspidi „staatust käsitlev kokkulepe“), eesmärgiga kehtestada õiguslik raamistik, mis võimaldab operatsiooniplaanide alusel kohest tegutsemist juhtudel, mil on vaja kiiresti reageerida. Piirkonna rändevood on küll palju väiksemad kui 2015. ja 2016. aastal, kuid organiseeritud kuritegevuse võrgustikud kohandavad rändajate ebaseadusliku üle piiri toimetamise marsruute ja meetodeid kiiresti mistahes uute tingimustega. Alates 2018. aasta algusest on Bosnia ja Hertsegoviina pidanud hakkama saama rändajate suurenenud sissevooluga. Pärast staatust käsitleva kokkuleppe sõlmimist suudavad Bosnia ja Hertsegoviina vastutavad ametiasutused ja ELi liikmesriigid, kelle tegevust koordineerib Euroopa Piiri- ja Rannikuvalve Amet, sellistele võimalikele arengutele palju paremini kiire vastuse anda. </w:t>
      </w:r>
    </w:p>
    <w:p>
      <w:pPr>
        <w:rPr>
          <w:iCs/>
          <w:noProof/>
          <w:szCs w:val="24"/>
        </w:rPr>
      </w:pPr>
      <w:r>
        <w:rPr>
          <w:noProof/>
        </w:rPr>
        <w:t xml:space="preserve">Lisatud nõukogu otsuse ettepanek on õiguslik vahend Euroopa Liidu ning Bosnia ja Hertsegoviina vahelise staatust käsitleva kokkuleppe allkirjastamiseks. </w:t>
      </w:r>
    </w:p>
    <w:p>
      <w:pPr>
        <w:rPr>
          <w:noProof/>
        </w:rPr>
      </w:pPr>
      <w:r>
        <w:rPr>
          <w:noProof/>
        </w:rPr>
        <w:t xml:space="preserve">16. oktoobril 2017 sai komisjon nõukogult volituse alustada läbirääkimisi Bosnia ja Hertsegoviina staatust käsitleva kokkuleppe üle, mis käsitleb Euroopa Piiri- ja Rannikuvalve Ameti tegevust Bosnias ja Hertsegoviinas. </w:t>
      </w:r>
    </w:p>
    <w:p>
      <w:pPr>
        <w:rPr>
          <w:iCs/>
          <w:noProof/>
          <w:szCs w:val="24"/>
        </w:rPr>
      </w:pPr>
      <w:r>
        <w:rPr>
          <w:noProof/>
        </w:rPr>
        <w:t xml:space="preserve">Läbirääkimisi staatust käsitleva kokkuleppe üle alustati 9. juulil 2018 ja teine voor toimus 10. oktoobril 2018. Staatust käsitleva kokkuleppe parafeerisid läbirääkimisrühmade juhid. </w:t>
      </w:r>
    </w:p>
    <w:p>
      <w:pPr>
        <w:rPr>
          <w:iCs/>
          <w:noProof/>
          <w:szCs w:val="24"/>
        </w:rPr>
      </w:pPr>
      <w:r>
        <w:rPr>
          <w:noProof/>
        </w:rPr>
        <w:t xml:space="preserve">Komisjon on seisukohal, et nõukogu läbirääkimisjuhistega seatud eesmärgid on saavutatud ja kokkulepe on liidule vastuvõetav. </w:t>
      </w:r>
    </w:p>
    <w:p>
      <w:pPr>
        <w:spacing w:after="240"/>
        <w:rPr>
          <w:iCs/>
          <w:noProof/>
          <w:szCs w:val="24"/>
        </w:rPr>
      </w:pPr>
      <w:r>
        <w:rPr>
          <w:noProof/>
        </w:rPr>
        <w:t xml:space="preserve">Liikmesriike teavitati ja nendega konsulteeriti asjaomases nõukogu töörühmas.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kehtivate õigusnormidega</w:t>
      </w:r>
    </w:p>
    <w:p>
      <w:pPr>
        <w:spacing w:after="240"/>
        <w:rPr>
          <w:iCs/>
          <w:noProof/>
          <w:szCs w:val="24"/>
        </w:rPr>
      </w:pPr>
      <w:r>
        <w:rPr>
          <w:noProof/>
        </w:rPr>
        <w:t>Bosnia ja Hertsegoviinaga on praeguse seisuga sõlminud kahepoolse kokkuleppe neliteist liikmesriiki. Nendes kokkulepetes on käsitletud mitmeid ühismeetmeid, nagu piirikontroll ja -valve, patrullimine, tagasisaatmine jms. Bosnia ja Hertsegoviina kaitseministeeriumi ning Euroopa Piiri- ja Rannikuvalve Ameti koostöö toimub vastavalt nende kokkuleppele, mis hõlmab eelkõige Bosnia ja Hertsegoviina kaitseministeeriumi piiripolitsei esindajate korrapärast osalemist Euroopa Piiri- ja Rannikuvalve Ameti koordineeritavates ühisoperatsioonides, kus nad kokkuleppel vastuvõtva liikmesriigiga tegutsevad selle territooriumil vaatlejatena.</w:t>
      </w:r>
    </w:p>
    <w:p>
      <w:pPr>
        <w:pStyle w:val="ManualHeading2"/>
        <w:ind w:left="0" w:firstLine="0"/>
        <w:rPr>
          <w:rFonts w:eastAsia="Arial Unicode MS"/>
          <w:noProof/>
        </w:rPr>
      </w:pPr>
      <w:r>
        <w:rPr>
          <w:noProof/>
          <w:color w:val="000000"/>
          <w:u w:color="000000"/>
          <w:bdr w:val="nil"/>
        </w:rPr>
        <w:t>•</w:t>
      </w:r>
      <w:r>
        <w:rPr>
          <w:noProof/>
        </w:rPr>
        <w:tab/>
        <w:t>Kooskõla muude liidu tegevuspõhimõtetega</w:t>
      </w:r>
    </w:p>
    <w:p>
      <w:pPr>
        <w:rPr>
          <w:b/>
          <w:noProof/>
          <w:szCs w:val="24"/>
        </w:rPr>
      </w:pPr>
      <w:r>
        <w:rPr>
          <w:noProof/>
        </w:rPr>
        <w:t>Euroopa rände tegevuskaval</w:t>
      </w:r>
      <w:r>
        <w:rPr>
          <w:rStyle w:val="FootnoteReference"/>
          <w:noProof/>
        </w:rPr>
        <w:footnoteReference w:id="2"/>
      </w:r>
      <w:r>
        <w:rPr>
          <w:noProof/>
        </w:rPr>
        <w:t xml:space="preserve"> on neli peamist tegevussuunda. Üks neist on piirihaldus, mis hõlmab ELi välispiiri paremat haldamist, eelkõige solidaarsuse kaudu nende liikmesriikidega, mis paiknevad välispiiridel, ning piiriületuspunktide tõhususe suurendamist. Kontrolli tugevdamine Bosnia ja Hertsegoviina piiridel avaldab positiivset mõju ka ELi välispiirile, eelkõige Horvaatia välispiiridele, samuti Bosnia ja Hertsegoviina piiridele. Julgeoleku jätkuv tugevdamine välispiiridel on kooskõlas ka Euroopa julgeoleku tegevuskavaga</w:t>
      </w:r>
      <w:r>
        <w:rPr>
          <w:rStyle w:val="FootnoteReference"/>
          <w:noProof/>
        </w:rPr>
        <w:footnoteReference w:id="3"/>
      </w:r>
      <w:r>
        <w:rPr>
          <w:noProof/>
        </w:rPr>
        <w:t xml:space="preserve">.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autoSpaceDE w:val="0"/>
        <w:autoSpaceDN w:val="0"/>
        <w:adjustRightInd w:val="0"/>
        <w:rPr>
          <w:noProof/>
          <w:szCs w:val="24"/>
        </w:rPr>
      </w:pPr>
      <w:r>
        <w:rPr>
          <w:noProof/>
        </w:rPr>
        <w:t xml:space="preserve">Käesoleva nõukogu otsuse ettepaneku õiguslik alus on Euroopa Liidu toimimise lepingu artikli 77 lõike 2 punktid b ja d ning artikli 79 lõike 2 punkt c koostoimes Euroopa Liidu toimimise lepingu artikli 218 lõike 5 punktiga a. </w:t>
      </w:r>
    </w:p>
    <w:p>
      <w:pPr>
        <w:autoSpaceDE w:val="0"/>
        <w:autoSpaceDN w:val="0"/>
        <w:adjustRightInd w:val="0"/>
        <w:rPr>
          <w:noProof/>
          <w:szCs w:val="24"/>
        </w:rPr>
      </w:pPr>
      <w:r>
        <w:rPr>
          <w:noProof/>
        </w:rPr>
        <w:t xml:space="preserve">Staatust käsitleva kokkuleppe sõlmimine Euroopa Liidu poolt on sõnaselgelt ette nähtud määruse (EL) 2016/1624 artikli 54 lõikega 4, kus on sätestatud, et liit sõlmib asjaomase kolmanda riigiga staatust käsitleva kokkuleppe, kui vastavalt kavandatule lähetatakse Euroopa piiri- ja rannikuvalve rühmad kolmandasse riiki tegevuseks, mis kätkeb endas täidesaatva võimu teostamist, või kui kokkulepe on nõutav muude kolmandas riigis läbiviidavate tegevuste jaoks. </w:t>
      </w:r>
    </w:p>
    <w:p>
      <w:pPr>
        <w:autoSpaceDE w:val="0"/>
        <w:autoSpaceDN w:val="0"/>
        <w:adjustRightInd w:val="0"/>
        <w:rPr>
          <w:noProof/>
          <w:szCs w:val="24"/>
        </w:rPr>
      </w:pPr>
      <w:r>
        <w:rPr>
          <w:noProof/>
        </w:rPr>
        <w:t xml:space="preserve">Euroopa Liidu toimimise lepingu artikli 3 lõikes 2 on sätestatud, et liidu ainupädevusse kuulub muu hulgas rahvusvahelise kokkuleppe sõlmimine, kui selle sõlmimise näeb ette liidu seadusandlik akt. Määruse (EL) 2016/1624 artikli 54 lõikes 4 on sätestatud staatust käsitleva kokkuleppe sõlmimine Euroopa Liidu poolt asjaomase kolmanda riigiga. Seega kuulub käesolevale dokumendile lisatud Bosnia ja Hertsegoviinaga sõlmitud kokkulepe Euroopa Liidu ainupädevusse. </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noProof/>
        </w:rPr>
      </w:pPr>
      <w:r>
        <w:rPr>
          <w:noProof/>
        </w:rPr>
        <w:t xml:space="preserve">Ei kohaldata. </w:t>
      </w:r>
    </w:p>
    <w:p>
      <w:pPr>
        <w:pStyle w:val="ManualHeading2"/>
        <w:rPr>
          <w:rFonts w:eastAsia="Arial Unicode MS"/>
          <w:noProof/>
          <w:u w:color="000000"/>
          <w:bdr w:val="nil"/>
        </w:rPr>
      </w:pPr>
      <w:r>
        <w:rPr>
          <w:noProof/>
        </w:rPr>
        <w:t>•</w:t>
      </w:r>
      <w:r>
        <w:rPr>
          <w:noProof/>
        </w:rPr>
        <w:tab/>
        <w:t>Proportsionaalsus</w:t>
      </w:r>
    </w:p>
    <w:p>
      <w:pPr>
        <w:spacing w:after="240"/>
        <w:rPr>
          <w:noProof/>
          <w:szCs w:val="24"/>
        </w:rPr>
      </w:pPr>
      <w:r>
        <w:rPr>
          <w:noProof/>
        </w:rPr>
        <w:t xml:space="preserve">Võttes arvesse, et organiseeritud kuritegevuse võrgustikud kohandavad rändajate ebaseadusliku üle piiri toimetamise marsruute ja meetodeid kiiresti, peaks Bosnia ja Hertsegoviina piirikontrolli täiustamises osalema ka EL. Staatust käsitlev kokkulepe on vajalik selleks, et Bosnia ja Hertsegoviina vastutavad ametiasutused ja ELi liikmesriigid, kelle tegevust koordineerib Euroopa Piiri- ja Rannikuvalve Amet, suudaksid sellistele võimalikele arengutele kiiresti reageerida. Kokkulepe annab ootamatu ebaseaduslike rändajate sissevoolu korral Euroopa Piiri- ja Rannikuvalve Ametile võimaluse lähetada Bosniasse ja Hertsegoviinasse Euroopa piiri- ja rannikuvalverühmi. </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noProof/>
        </w:rPr>
      </w:pPr>
      <w:r>
        <w:rPr>
          <w:noProof/>
        </w:rPr>
        <w:t xml:space="preserve">Käesolev ettepanek on kooskõlas ELi toimimise lepingu artikli 218 lõikega 5, milles nähakse ette, et otsused rahvusvaheliste kokkulepete kohta võtab vastu nõukogu. Ettepanekus esitatud eesmärgi saavutamiseks ei ole võimalik kasutada muud õiguslikku vahendit.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rPr>
        <w:t xml:space="preserve">Ei kohaldata </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 xml:space="preserve">Ei kohaldata </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 xml:space="preserve">Ei kohaldata </w:t>
      </w:r>
    </w:p>
    <w:p>
      <w:pPr>
        <w:pStyle w:val="ManualHeading2"/>
        <w:rPr>
          <w:rFonts w:eastAsia="Arial Unicode MS"/>
          <w:noProof/>
          <w:u w:color="000000"/>
          <w:bdr w:val="nil"/>
        </w:rPr>
      </w:pPr>
      <w:r>
        <w:rPr>
          <w:noProof/>
        </w:rPr>
        <w:t>•</w:t>
      </w:r>
      <w:r>
        <w:rPr>
          <w:noProof/>
        </w:rPr>
        <w:tab/>
        <w:t>Mõju hindamine</w:t>
      </w:r>
    </w:p>
    <w:p>
      <w:pPr>
        <w:pBdr>
          <w:top w:val="nil"/>
          <w:left w:val="nil"/>
          <w:bottom w:val="nil"/>
          <w:right w:val="nil"/>
          <w:between w:val="nil"/>
          <w:bar w:val="nil"/>
        </w:pBdr>
        <w:spacing w:before="0" w:after="240"/>
        <w:rPr>
          <w:noProof/>
          <w:szCs w:val="24"/>
        </w:rPr>
      </w:pPr>
      <w:r>
        <w:rPr>
          <w:noProof/>
        </w:rPr>
        <w:t xml:space="preserve">Staatust käsitleva kokkuleppe üle läbirääkimisteks ei ole mõju hindamine vajalik. </w:t>
      </w:r>
    </w:p>
    <w:p>
      <w:pPr>
        <w:pStyle w:val="ManualHeading2"/>
        <w:rPr>
          <w:rFonts w:eastAsia="Arial Unicode MS"/>
          <w:noProof/>
          <w:u w:color="000000"/>
          <w:bdr w:val="nil"/>
        </w:rPr>
      </w:pPr>
      <w:r>
        <w:rPr>
          <w:noProof/>
        </w:rPr>
        <w:t>•</w:t>
      </w:r>
      <w:r>
        <w:rPr>
          <w:noProof/>
        </w:rPr>
        <w:tab/>
        <w:t>Õigusnormide toimivus ja lihtsustamine</w:t>
      </w:r>
    </w:p>
    <w:p>
      <w:pPr>
        <w:pStyle w:val="ManualHeading2"/>
        <w:ind w:left="0" w:firstLine="0"/>
        <w:rPr>
          <w:rFonts w:eastAsia="Arial Unicode MS"/>
          <w:b w:val="0"/>
          <w:noProof/>
          <w:u w:color="000000"/>
          <w:bdr w:val="nil"/>
        </w:rPr>
      </w:pPr>
      <w:r>
        <w:rPr>
          <w:b w:val="0"/>
          <w:noProof/>
        </w:rPr>
        <w:t>Kuna tegemist on uue kokkuleppega, ei olnud võimalik olemasolevaid õigusakte hinnata ega nende toimivust kontrollida.</w:t>
      </w:r>
    </w:p>
    <w:p>
      <w:pPr>
        <w:pStyle w:val="ManualHeading2"/>
        <w:ind w:left="0" w:firstLine="0"/>
        <w:rPr>
          <w:rFonts w:eastAsia="Arial Unicode MS"/>
          <w:noProof/>
          <w:u w:color="000000"/>
          <w:bdr w:val="nil"/>
        </w:rPr>
      </w:pPr>
      <w:r>
        <w:rPr>
          <w:noProof/>
        </w:rPr>
        <w:t>•</w:t>
      </w:r>
      <w:r>
        <w:rPr>
          <w:noProof/>
        </w:rPr>
        <w:tab/>
        <w:t>Põhiõigused</w:t>
      </w:r>
    </w:p>
    <w:p>
      <w:pPr>
        <w:pBdr>
          <w:top w:val="nil"/>
          <w:left w:val="nil"/>
          <w:bottom w:val="nil"/>
          <w:right w:val="nil"/>
          <w:between w:val="nil"/>
          <w:bar w:val="nil"/>
        </w:pBdr>
        <w:rPr>
          <w:noProof/>
          <w:szCs w:val="24"/>
        </w:rPr>
      </w:pPr>
      <w:r>
        <w:rPr>
          <w:noProof/>
        </w:rPr>
        <w:t>Staatust käsitlev kokkulepe sisaldab sätteid, millega tagatakse nende isikute kaitse, keda mõjutab Euroopa Piiri- ja Rannikuvalve Ameti koordineeritavates tegevustes osalevate rühmaliikmete tegevus.</w:t>
      </w:r>
    </w:p>
    <w:p>
      <w:pPr>
        <w:pBdr>
          <w:top w:val="nil"/>
          <w:left w:val="nil"/>
          <w:bottom w:val="nil"/>
          <w:right w:val="nil"/>
          <w:between w:val="nil"/>
          <w:bar w:val="nil"/>
        </w:pBdr>
        <w:spacing w:after="240"/>
        <w:rPr>
          <w:rFonts w:eastAsia="Arial Unicode MS"/>
          <w:noProof/>
        </w:rPr>
      </w:pPr>
      <w:r>
        <w:rPr>
          <w:noProof/>
        </w:rPr>
        <w:t xml:space="preserve">Põhiõigusi käsitlevaid sätteid on põhjalikumalt selgitatud punktis 5 „Muu teave“. </w:t>
      </w:r>
    </w:p>
    <w:p>
      <w:pPr>
        <w:pStyle w:val="ManualHeading1"/>
        <w:rPr>
          <w:noProof/>
        </w:rPr>
      </w:pPr>
      <w:r>
        <w:rPr>
          <w:noProof/>
        </w:rPr>
        <w:t>4.</w:t>
      </w:r>
      <w:r>
        <w:rPr>
          <w:noProof/>
        </w:rPr>
        <w:tab/>
        <w:t>MÕJU EELARVELE</w:t>
      </w:r>
    </w:p>
    <w:p>
      <w:pPr>
        <w:autoSpaceDE w:val="0"/>
        <w:autoSpaceDN w:val="0"/>
        <w:rPr>
          <w:iCs/>
          <w:noProof/>
          <w:szCs w:val="24"/>
        </w:rPr>
      </w:pPr>
      <w:r>
        <w:rPr>
          <w:noProof/>
        </w:rPr>
        <w:t xml:space="preserve">Staatust käsitleval kokkuleppel puudub finantsmõju. Tegelik operatsiooniplaani ja asjaomase toetuslepingu alusel toimuv Euroopa Piiri- ja Rannikuvalve Ameti rühmade lähetamine hõlmab kulutusi Euroopa Piiri- ja Rannikuvalve Ameti eelarvest. </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rPr>
          <w:noProof/>
          <w:szCs w:val="24"/>
        </w:rPr>
      </w:pPr>
      <w:r>
        <w:rPr>
          <w:noProof/>
        </w:rPr>
        <w:t xml:space="preserve">Komisjon tagab nõuetekohase järelevalve staatust käsitleva kokkuleppe rakendamise üle. </w:t>
      </w:r>
    </w:p>
    <w:p>
      <w:pPr>
        <w:rPr>
          <w:noProof/>
          <w:szCs w:val="24"/>
        </w:rPr>
      </w:pPr>
      <w:r>
        <w:rPr>
          <w:noProof/>
        </w:rPr>
        <w:t xml:space="preserve">Iga ühis- või piirivalve kiirreageerimisoperatsiooni hindavad Bosnia ja Hertsegoviina ning Euroopa Piiri- ja Rannikuvalve Amet ühiselt. </w:t>
      </w:r>
    </w:p>
    <w:p>
      <w:pPr>
        <w:spacing w:after="240"/>
        <w:rPr>
          <w:noProof/>
          <w:szCs w:val="24"/>
        </w:rPr>
      </w:pPr>
      <w:r>
        <w:rPr>
          <w:noProof/>
        </w:rPr>
        <w:t xml:space="preserve">Eelkõige koostavad Euroopa Piiri- ja Rannikuvalve Amet, Bosnia ja Hertsegoviina ning konkreetses meetmes osalevad liikmesriigid iga meetme lõppedes kokkuleppe sätete kohaldamise kohta aruande, mis hõlmab ka isikuandmete töötlemist. </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rFonts w:eastAsia="Arial Unicode MS"/>
          <w:noProof/>
        </w:rPr>
      </w:pPr>
      <w:r>
        <w:rPr>
          <w:noProof/>
        </w:rPr>
        <w:t xml:space="preserve">Ei kohaldata. </w:t>
      </w:r>
    </w:p>
    <w:p>
      <w:pPr>
        <w:pStyle w:val="ManualHeading2"/>
        <w:spacing w:after="240"/>
        <w:rPr>
          <w:rFonts w:eastAsia="Arial Unicode MS"/>
          <w:noProof/>
          <w:u w:color="000000"/>
          <w:bdr w:val="nil"/>
        </w:rPr>
      </w:pPr>
      <w:r>
        <w:rPr>
          <w:noProof/>
        </w:rPr>
        <w:t>•</w:t>
      </w:r>
      <w:r>
        <w:rPr>
          <w:noProof/>
        </w:rPr>
        <w:tab/>
        <w:t>Ettepaneku sätete üksikasjalik selgitus</w:t>
      </w:r>
    </w:p>
    <w:p>
      <w:pPr>
        <w:rPr>
          <w:i/>
          <w:noProof/>
        </w:rPr>
      </w:pPr>
      <w:r>
        <w:rPr>
          <w:i/>
          <w:noProof/>
        </w:rPr>
        <w:t>Kokkuleppe kohaldamisala</w:t>
      </w:r>
    </w:p>
    <w:p>
      <w:pPr>
        <w:rPr>
          <w:rFonts w:eastAsia="Times New Roman"/>
          <w:noProof/>
        </w:rPr>
      </w:pPr>
      <w:r>
        <w:rPr>
          <w:noProof/>
        </w:rPr>
        <w:t>Käesoleva kokkuleppe kohaselt võib Euroopa Piiri- ja Rannikuvalve Amet Bosnia ja Hertsegoviina ühis- ja piirivalve kiirreageerimisoperatsioonideks lähetada täitevvolitustega Euroopa piiri- ja rannikuvalverühmi. Käesolev kokkulepe ei laienda Euroopa Ühenduse ning Bosnia ja Hertsegoviina vahelise riigis ebaseaduslikult elavate isikute tagasivõtmise lepingu (edaspidi „EÜ ning Bosnia ja Hertsegoviina vaheline tagasivõtuleping“)</w:t>
      </w:r>
      <w:r>
        <w:rPr>
          <w:rStyle w:val="FootnoteReference"/>
          <w:noProof/>
        </w:rPr>
        <w:footnoteReference w:id="4"/>
      </w:r>
      <w:r>
        <w:rPr>
          <w:noProof/>
        </w:rPr>
        <w:t xml:space="preserve"> kohaldamisala, kuid Euroopa piiri- ja rannikuvalve rühmadel on konkreetse tagasisaatmisoperatsiooni käigus lubatud aidata Bosniat ja Hertsegoviinat sinna tagasivõetavate isikute tuvastamisel vastavalt Euroopa Ühenduse ning Bosnia ja Hertsegoviina vahelisele tagasivõtulepingule</w:t>
      </w:r>
      <w:r>
        <w:rPr>
          <w:rStyle w:val="Hyperlink"/>
          <w:noProof/>
        </w:rPr>
        <w:t>.</w:t>
      </w:r>
    </w:p>
    <w:p>
      <w:pPr>
        <w:spacing w:after="240"/>
        <w:rPr>
          <w:rFonts w:eastAsia="Times New Roman"/>
          <w:noProof/>
        </w:rPr>
      </w:pPr>
      <w:r>
        <w:rPr>
          <w:noProof/>
        </w:rPr>
        <w:t>Euroopa piiri- ja rannikuvalverühmi võib lähetada ainult Bosnia ja Hertsegoviina ELi välispiiridega piirnevatesse piirkondadesse ja rühma liikmetel on neis Bosnia ja Hertsegoviina piirkondades operatsiooniplaaniga ettenähtud täitevvolitused.</w:t>
      </w:r>
    </w:p>
    <w:p>
      <w:r>
        <w:rPr>
          <w:i/>
          <w:noProof/>
        </w:rPr>
        <w:t>Operatsiooniplaan</w:t>
      </w:r>
      <w:r>
        <w:rPr>
          <w:noProof/>
        </w:rPr>
        <w:t xml:space="preserve"> </w:t>
      </w:r>
    </w:p>
    <w:p>
      <w:pPr>
        <w:rPr>
          <w:rFonts w:eastAsia="Times New Roman"/>
          <w:noProof/>
        </w:rPr>
      </w:pPr>
      <w:r>
        <w:rPr>
          <w:noProof/>
        </w:rPr>
        <w:t xml:space="preserve">Enne iga ühis- või piirivalve kiirreageerimisoperatsiooni peavad amet ning Bosnia ja Hertsegoviina kokku leppima operatsiooniplaani. Operatsiooniplaaniga peavad nõustuma ka operatiivpiirkonnaga piirnevad liikmesriigid. </w:t>
      </w:r>
    </w:p>
    <w:p>
      <w:pPr>
        <w:spacing w:after="240"/>
        <w:rPr>
          <w:rFonts w:eastAsia="Times New Roman"/>
          <w:noProof/>
        </w:rPr>
      </w:pPr>
      <w:r>
        <w:rPr>
          <w:noProof/>
        </w:rPr>
        <w:t xml:space="preserve">Operatsiooniplaaniga nähakse üksikasjalikult ette ühis- või piirivalve kiirreageerimisoperatsiooni korralduslikud ja menetluslikud aspektid, sealhulgas esitatakse olukorra kirjeldus ja analüüs, operatsiooni eesmärk ja sihtmärgid, kasutatavate tehniliste seadmete liik, rakenduskava, koostöö kolmandate riikide, muude liidu ametite ja asutuste või rahvusvaheliste organisatsioonidega, põhiõiguste kaitset, sealhulgas isikuandmete kaitset käsitlevad sätted, koordineerimis-, juhtimis-, kontrolli-, teabevahetus- ja aruandlusstruktuur, organisatsiooniline korraldus ja logistika, ühis- või piirivalve kiirreageerimisoperatsiooni hindamine ja finantsaspektid. </w:t>
      </w:r>
    </w:p>
    <w:p>
      <w:pPr>
        <w:rPr>
          <w:rFonts w:eastAsia="Times New Roman"/>
          <w:i/>
          <w:noProof/>
        </w:rPr>
      </w:pPr>
      <w:r>
        <w:rPr>
          <w:i/>
          <w:noProof/>
        </w:rPr>
        <w:t>Rühma liikmete ülesanded ja volitused</w:t>
      </w:r>
    </w:p>
    <w:p>
      <w:pPr>
        <w:rPr>
          <w:rFonts w:eastAsia="Times New Roman"/>
          <w:noProof/>
        </w:rPr>
      </w:pPr>
      <w:r>
        <w:rPr>
          <w:noProof/>
        </w:rPr>
        <w:t>Reeglina on rühmadel volitused täita ülesandeid ja teostada täitevvõimu, mis on vajalikud piirikontrolli ja tagasisaatmisoperatsioonide elluviimiseks. Nad järgivad Bosnia ja Hertsegoviina siseriiklikku õigust.</w:t>
      </w:r>
    </w:p>
    <w:p>
      <w:pPr>
        <w:rPr>
          <w:noProof/>
        </w:rPr>
      </w:pPr>
      <w:r>
        <w:rPr>
          <w:noProof/>
        </w:rPr>
        <w:t>Rühmad tegutsevad Bosnia ja Hertsegoviina territooriumil üksnes Bosnia ja Hertsegoviina piirivalveametnikelt või politseiametnikelt saadud korralduste alusel ning nende juuresolekul.</w:t>
      </w:r>
    </w:p>
    <w:p>
      <w:pPr>
        <w:rPr>
          <w:rFonts w:eastAsia="Times New Roman"/>
          <w:noProof/>
        </w:rPr>
      </w:pPr>
      <w:r>
        <w:rPr>
          <w:noProof/>
        </w:rPr>
        <w:t>Rühma liikmed kannavad asjakohastel juhtudel vormiriietust, nähtavat isiklikku identifitseerimistunnust ning sinist Euroopa Liidu ja ameti sümboolikaga käesidet. Lisaks peab neil kaasas olema akrediteerimisdokument, et Bosnia ja Hertsegoviina ametivõimud neid selgelt tuvastada saaks.</w:t>
      </w:r>
    </w:p>
    <w:p>
      <w:pPr>
        <w:rPr>
          <w:rFonts w:eastAsia="Times New Roman"/>
          <w:noProof/>
        </w:rPr>
      </w:pPr>
      <w:r>
        <w:rPr>
          <w:noProof/>
        </w:rPr>
        <w:t xml:space="preserve">Rühma liikmed võivad kanda päritoluliikmesriigi ja Bosnia ja Hertsegoviina õiguse kohaselt lubatud teenistusrelvi, laskemoona ja varustust. Bosnia ja Hertsegoviina piiripolitsei teatab ametile eelnevalt, millised teenistusrelvad, laskemoon ja varustus on lubatud ning millised on nende kasutamise tingimused. Amet esitab Bosnia ja Hertsegoviina piiripolitseile eelnevalt rühma liikmete teenistusrelvade loendi, milles on märgitud relva liik ja seerianumber ning laskemoona liik ja kogus. </w:t>
      </w:r>
    </w:p>
    <w:p>
      <w:pPr>
        <w:rPr>
          <w:rFonts w:eastAsia="Times New Roman"/>
          <w:noProof/>
        </w:rPr>
      </w:pPr>
      <w:r>
        <w:rPr>
          <w:noProof/>
        </w:rPr>
        <w:t xml:space="preserve">Rühma liikmed võivad kasutada jõudu, sealhulgas teenistusrelvi, laskemoona ja varustust, päritoluliikmesriigi ning Bosnia ja Hertsegoviina piiripolitsei nõusolekul, Bosnia ja Hertsegoviina piirivalveametnike või muude asjaomaste töötajate juuresolekul ning kooskõlas Bosnia ja Hertsegoviina siseriikliku õigusega. Bosnia ja Hertsegoviina piiripolitsei võib lubada rühma liikmetel kasutada jõudu ka ilma oma politseiametnike juuresolekuta. </w:t>
      </w:r>
    </w:p>
    <w:p>
      <w:pPr>
        <w:spacing w:after="240"/>
        <w:rPr>
          <w:rFonts w:eastAsia="Times New Roman"/>
          <w:iCs/>
          <w:noProof/>
        </w:rPr>
      </w:pPr>
      <w:r>
        <w:rPr>
          <w:noProof/>
        </w:rPr>
        <w:t xml:space="preserve">Bosnia ja Hertsegoviina võib edastada rühma liikmetele nende nõudmisel riiklikes andmebaasides leiduvat asjakohast teavet, kui see on vajalik operatsioonidega seotud eesmärkide saavutamiseks. </w:t>
      </w:r>
    </w:p>
    <w:p>
      <w:pPr>
        <w:spacing w:line="288" w:lineRule="auto"/>
        <w:rPr>
          <w:rFonts w:eastAsia="Times New Roman"/>
          <w:i/>
          <w:noProof/>
          <w:color w:val="000000"/>
          <w:szCs w:val="24"/>
        </w:rPr>
      </w:pPr>
      <w:r>
        <w:rPr>
          <w:i/>
          <w:noProof/>
          <w:color w:val="000000"/>
        </w:rPr>
        <w:t>Rühma liikmete privileegid ja immuniteedid</w:t>
      </w:r>
    </w:p>
    <w:p>
      <w:pPr>
        <w:rPr>
          <w:rFonts w:eastAsia="Times New Roman"/>
          <w:noProof/>
          <w:color w:val="000000"/>
          <w:szCs w:val="24"/>
        </w:rPr>
      </w:pPr>
      <w:r>
        <w:rPr>
          <w:noProof/>
        </w:rPr>
        <w:t>Rühma liikmetel on Bosnias ja Hertsegoviinas ametiülesannete täitmisel sooritatud tegude suhtes kriminaalkohtulik puutumatus, kuid teenistusvälisel ajal sooritatud tegude suhtes see puudub.</w:t>
      </w:r>
      <w:r>
        <w:rPr>
          <w:noProof/>
          <w:color w:val="000000"/>
        </w:rPr>
        <w:t xml:space="preserve"> </w:t>
      </w:r>
    </w:p>
    <w:p>
      <w:pPr>
        <w:rPr>
          <w:rFonts w:eastAsia="Times New Roman"/>
          <w:noProof/>
          <w:color w:val="000000"/>
          <w:szCs w:val="24"/>
        </w:rPr>
      </w:pPr>
      <w:r>
        <w:rPr>
          <w:noProof/>
        </w:rPr>
        <w:t>Operatsiooniplaanis on üksikasjalikult sätestatud tegevused, mille suhtes kehtib Bosnias ja Hertsegoviinas kriminaalõiguslik puutumatus.</w:t>
      </w:r>
      <w:r>
        <w:rPr>
          <w:noProof/>
          <w:color w:val="000000"/>
        </w:rPr>
        <w:t xml:space="preserve"> </w:t>
      </w:r>
    </w:p>
    <w:p>
      <w:pPr>
        <w:rPr>
          <w:rFonts w:eastAsia="Times New Roman"/>
          <w:noProof/>
          <w:color w:val="000000"/>
          <w:szCs w:val="24"/>
        </w:rPr>
      </w:pPr>
      <w:r>
        <w:rPr>
          <w:noProof/>
          <w:color w:val="000000"/>
        </w:rPr>
        <w:t xml:space="preserve">Kui rühma liiget süüdistatakse kuriteos, tõendab ameti tegevdirektor kiiresti enne kohtumenetluse algatamist kohtule, kas rühma liige pani kõnealuse teo toime oma ametiülesannete täitmisel. </w:t>
      </w:r>
      <w:r>
        <w:rPr>
          <w:noProof/>
        </w:rPr>
        <w:t>Ameti tegevdirektor võtab otsuse vastu pärast piirivalveametniku või muu asjaomase töötaja lähetanud liikmesriigi ning Bosnia ja Hertsegoviina pädevate asutuste kõigi esildiste hoolikat arvessevõtmist.</w:t>
      </w:r>
    </w:p>
    <w:p>
      <w:pPr>
        <w:rPr>
          <w:rFonts w:eastAsia="Times New Roman"/>
          <w:noProof/>
          <w:color w:val="000000"/>
          <w:szCs w:val="24"/>
        </w:rPr>
      </w:pPr>
      <w:r>
        <w:rPr>
          <w:noProof/>
        </w:rPr>
        <w:t>Rühma liikmetele antud privileegid ja kriminaalkohtulik puutumatus Bosnias ja Hertsegoviinas ei vabasta neid päritoluliikmesriigi jurisdiktsiooni alt.</w:t>
      </w:r>
      <w:r>
        <w:rPr>
          <w:noProof/>
          <w:color w:val="000000"/>
        </w:rPr>
        <w:t xml:space="preserve"> </w:t>
      </w:r>
    </w:p>
    <w:p>
      <w:pPr>
        <w:rPr>
          <w:rFonts w:eastAsia="Times New Roman"/>
          <w:noProof/>
          <w:color w:val="000000"/>
          <w:szCs w:val="24"/>
        </w:rPr>
      </w:pPr>
      <w:r>
        <w:rPr>
          <w:noProof/>
          <w:color w:val="000000"/>
        </w:rPr>
        <w:t xml:space="preserve">Sarnane kord kehtib ka rühma liikmete tsiviil- ja haldusvastutuse puhul. </w:t>
      </w:r>
    </w:p>
    <w:p>
      <w:pPr>
        <w:rPr>
          <w:rFonts w:eastAsia="Times New Roman"/>
          <w:noProof/>
          <w:color w:val="000000"/>
          <w:szCs w:val="24"/>
        </w:rPr>
      </w:pPr>
      <w:r>
        <w:rPr>
          <w:noProof/>
        </w:rPr>
        <w:t>Rühma liikmete kohtulikust immuniteedist Bosnias ja Hertsegoviinas saab loobuda liikmesriik, kes on asjaomase piirivalveametniku või muu asjaomase töötaja lähetanud.</w:t>
      </w:r>
      <w:r>
        <w:rPr>
          <w:noProof/>
          <w:color w:val="000000"/>
        </w:rPr>
        <w:t xml:space="preserve"> Selline loobumine peab alati olema selgelt väljendatud.</w:t>
      </w:r>
    </w:p>
    <w:p>
      <w:pPr>
        <w:rPr>
          <w:rFonts w:eastAsia="Times New Roman"/>
          <w:noProof/>
          <w:color w:val="000000"/>
          <w:szCs w:val="24"/>
        </w:rPr>
      </w:pPr>
      <w:r>
        <w:rPr>
          <w:noProof/>
          <w:color w:val="000000"/>
        </w:rPr>
        <w:t xml:space="preserve">Kokkuleppes on sätestatud mehhanism kahjude kompenseerimiseks. Kompensatsioonimehhanism põhineb Euroopa piiri- ja rannikuvalvet käsitleva määruse (EL) 2016/1624 artiklil 42. </w:t>
      </w:r>
      <w:r>
        <w:rPr>
          <w:noProof/>
        </w:rPr>
        <w:t>Kui kahju on tekitanud rühma liige ametiülesannete täitmisel, vastutab Bosnia ja Hertsegoviina.</w:t>
      </w:r>
      <w:r>
        <w:rPr>
          <w:noProof/>
          <w:color w:val="000000"/>
        </w:rPr>
        <w:t xml:space="preserve"> </w:t>
      </w:r>
      <w:r>
        <w:rPr>
          <w:noProof/>
        </w:rPr>
        <w:t>Kui kahju on tekitanud osaleva liikmesriigi rühmaliige ametiülesannete täitmisel raske hooletuse või tahtliku väärkäitumise tagajärjel või teenistusvälisel ajal, võib Bosnia ja Hertsegoviina ameti tegevdirektori kaudu taotleda, et kompensatsiooni maksaks asjaomane osalev liikmesriik.</w:t>
      </w:r>
      <w:r>
        <w:rPr>
          <w:noProof/>
          <w:color w:val="000000"/>
        </w:rPr>
        <w:t xml:space="preserve"> </w:t>
      </w:r>
      <w:r>
        <w:rPr>
          <w:noProof/>
        </w:rPr>
        <w:t>Kui kahju on tekitanud ameti töötajad, võib Bosnia ja Hertsegoviina taotleda, et kompensatsiooni maksaks amet.</w:t>
      </w:r>
      <w:r>
        <w:rPr>
          <w:noProof/>
          <w:color w:val="000000"/>
        </w:rPr>
        <w:t xml:space="preserve"> </w:t>
      </w:r>
    </w:p>
    <w:p>
      <w:pPr>
        <w:rPr>
          <w:rFonts w:eastAsia="Times New Roman"/>
          <w:noProof/>
          <w:color w:val="000000"/>
          <w:szCs w:val="24"/>
        </w:rPr>
      </w:pPr>
      <w:r>
        <w:rPr>
          <w:noProof/>
          <w:color w:val="000000"/>
        </w:rPr>
        <w:t>Rühma liikmete suhtes ei tohi kohaldada täitemenetlust, välja arvatud juhul, kui nende vastu on algatatud kriminaal- või tsiviilkohtumenetlus, mis ei ole seotud nende ametiülesannete täitmisega.</w:t>
      </w:r>
    </w:p>
    <w:p>
      <w:pPr>
        <w:rPr>
          <w:rFonts w:eastAsia="Times New Roman"/>
          <w:noProof/>
          <w:color w:val="000000"/>
          <w:szCs w:val="24"/>
        </w:rPr>
      </w:pPr>
      <w:r>
        <w:rPr>
          <w:noProof/>
          <w:color w:val="000000"/>
        </w:rPr>
        <w:t>Rühma liikmete varustust, mis on vajalik nende ametiülesannete täitmiseks, ei saa arestida. Tsiviilkohtumenetluse puhul ei rakendata rühma liikmete suhtes isikuvabaduse piiranguid ega muid piiravaid meetmeid.</w:t>
      </w:r>
    </w:p>
    <w:p>
      <w:pPr>
        <w:rPr>
          <w:rFonts w:eastAsia="Times New Roman"/>
          <w:noProof/>
          <w:color w:val="000000"/>
          <w:szCs w:val="24"/>
        </w:rPr>
      </w:pPr>
      <w:r>
        <w:rPr>
          <w:noProof/>
        </w:rPr>
        <w:t>Rühma liikmete suhtes ei kehti seoses ametile osutatud teenustega Bosnias ja Hertsegoviinas kehtivad võimalikud sotsiaalkindlustust käsitlevad sätted.</w:t>
      </w:r>
      <w:r>
        <w:rPr>
          <w:noProof/>
          <w:color w:val="000000"/>
        </w:rPr>
        <w:t xml:space="preserve"> </w:t>
      </w:r>
      <w:r>
        <w:rPr>
          <w:noProof/>
        </w:rPr>
        <w:t>Nad on vabastatud ka ameti või liikmesriikide poolt makstava palga ja tasude ning samuti väljaspool Bosniat ja Hertsegoviinat saadud tulude mis tahes vormis maksustamisest Bosnias ja Hertsegoviinas.</w:t>
      </w:r>
    </w:p>
    <w:p>
      <w:pPr>
        <w:rPr>
          <w:rFonts w:eastAsia="Times New Roman"/>
          <w:noProof/>
          <w:color w:val="000000"/>
          <w:szCs w:val="24"/>
        </w:rPr>
      </w:pPr>
      <w:r>
        <w:rPr>
          <w:noProof/>
        </w:rPr>
        <w:t>Bosnia ja Hertsegoviina ametiasutused lubavad tuua riiki ja sealt välja viia rühma liikmete isiklikuks kasutamiseks mõeldud esemeid ning vabastavad need kõikidest tollimaksudest, lõivudest ja muudest maksudest ja tasudest, välja arvatud tasudest, mis on seotud ladustamise, veo ja muude sarnaste teenustega.</w:t>
      </w:r>
      <w:r>
        <w:rPr>
          <w:noProof/>
          <w:color w:val="000000"/>
        </w:rPr>
        <w:t xml:space="preserve"> </w:t>
      </w:r>
    </w:p>
    <w:p>
      <w:pPr>
        <w:spacing w:after="0"/>
        <w:rPr>
          <w:rFonts w:eastAsia="Times New Roman"/>
          <w:noProof/>
          <w:color w:val="000000"/>
          <w:szCs w:val="24"/>
        </w:rPr>
      </w:pPr>
      <w:r>
        <w:rPr>
          <w:noProof/>
        </w:rPr>
        <w:t>Rühma liikmete isiklikku pagasit võib kontrollida üksnes juhul, kui on põhjendatult alust arvata, et pagasis on esemeid, mis ei ole mõeldud rühma liikmete isiklikuks kasutamiseks, või kaupu, mille import või eksport on Bosnia ja Hertsegoviina õigusega keelatud või mille suhtes kohaldatakse Bosnia ja Hertsegoviina karantiinieeskirju.</w:t>
      </w:r>
      <w:r>
        <w:rPr>
          <w:noProof/>
          <w:color w:val="000000"/>
        </w:rPr>
        <w:t xml:space="preserve"> Isiklikku pagasit võib kontrollida üksnes asjaomas(t)e rühma liikme(te) või ameti volitatud esindaja juuresolekul.</w:t>
      </w:r>
    </w:p>
    <w:p>
      <w:pPr>
        <w:rPr>
          <w:rFonts w:eastAsia="Times New Roman"/>
          <w:noProof/>
          <w:color w:val="000000"/>
          <w:szCs w:val="24"/>
        </w:rPr>
      </w:pPr>
      <w:r>
        <w:rPr>
          <w:noProof/>
          <w:color w:val="000000"/>
        </w:rPr>
        <w:t xml:space="preserve">Rühma liikmete dokumendid, kirjavahetus ja asjad on puutumatud, välja arvatud täitemenetluse puhul. </w:t>
      </w:r>
    </w:p>
    <w:p>
      <w:pPr>
        <w:spacing w:after="240"/>
        <w:rPr>
          <w:rFonts w:eastAsia="Times New Roman"/>
          <w:noProof/>
          <w:color w:val="000000"/>
          <w:szCs w:val="24"/>
        </w:rPr>
      </w:pPr>
      <w:r>
        <w:rPr>
          <w:noProof/>
        </w:rPr>
        <w:t xml:space="preserve">Bosnia ja Hertsegoviina pädevad asutused võivad kohustada rühma liikmeid, kes on tunnistajad, andma ütlusi kooskõlas kriminaal-, tsiviil- ja halduskohtuliku immuniteediga. </w:t>
      </w:r>
    </w:p>
    <w:p>
      <w:pPr>
        <w:rPr>
          <w:i/>
          <w:noProof/>
        </w:rPr>
      </w:pPr>
      <w:r>
        <w:rPr>
          <w:i/>
          <w:noProof/>
        </w:rPr>
        <w:t xml:space="preserve">Akrediteerimisdokument </w:t>
      </w:r>
    </w:p>
    <w:p>
      <w:pPr>
        <w:spacing w:after="240"/>
        <w:rPr>
          <w:rFonts w:eastAsia="Times New Roman"/>
          <w:noProof/>
          <w:color w:val="000000"/>
          <w:szCs w:val="24"/>
        </w:rPr>
      </w:pPr>
      <w:r>
        <w:rPr>
          <w:noProof/>
        </w:rPr>
        <w:t>Amet väljastab koostöös Bosnia ja Hertsegoviinaga igale rühma liikmele akrediteerimisdokumendi, mis võimaldab Bosnia ja Hertsegoviina ametiasutustel tuvastada rühma liikme isikut ning tõendab selle omaniku õigust täita käesolevas kokkuleppes ja operatsiooniplaanis osutatud ülesandeid ja kasutada neis osutatud volitusi.</w:t>
      </w:r>
      <w:r>
        <w:rPr>
          <w:noProof/>
          <w:color w:val="000000"/>
        </w:rPr>
        <w:t xml:space="preserve"> </w:t>
      </w:r>
      <w:r>
        <w:rPr>
          <w:noProof/>
        </w:rPr>
        <w:t>Akrediteerimisdokument koos kehtiva reisidokumendiga annab rühma liikmele õiguse siseneda Bosniasse ja Hertsegoviinasse, vajamata selleks viisat või eelnevat luba.</w:t>
      </w:r>
      <w:r>
        <w:rPr>
          <w:noProof/>
          <w:color w:val="000000"/>
        </w:rPr>
        <w:t xml:space="preserve"> Tegevuse lõppedes tuleb akrediteerimisdokument ametile tagastada. </w:t>
      </w:r>
    </w:p>
    <w:p>
      <w:pPr>
        <w:rPr>
          <w:rFonts w:eastAsia="Times New Roman"/>
          <w:i/>
          <w:noProof/>
          <w:color w:val="000000"/>
          <w:szCs w:val="24"/>
        </w:rPr>
      </w:pPr>
      <w:r>
        <w:rPr>
          <w:i/>
          <w:noProof/>
          <w:color w:val="000000"/>
        </w:rPr>
        <w:t>Põhiõigused</w:t>
      </w:r>
    </w:p>
    <w:p>
      <w:pPr>
        <w:rPr>
          <w:rFonts w:eastAsia="Times New Roman"/>
          <w:noProof/>
          <w:color w:val="000000"/>
          <w:szCs w:val="24"/>
        </w:rPr>
      </w:pPr>
      <w:r>
        <w:rPr>
          <w:noProof/>
          <w:color w:val="000000"/>
        </w:rPr>
        <w:t>Rühma liikmed austavad oma ülesannete täitmisel ja volituste kasutamisel alati täielikult põhiõigusi ja -vabadusi, sealhulgas juurdepääsu varjupaigamenetlustele, inimväärikust, piinamise ning ebainimliku ja alandava kohtlemise keeldu, õigust vabadusele, tagasisaatmise lubamatust ja kollektiivse väljasaatmise keeldu, lapse õigusi ning õigust era- ja perekonnaelule. Nad ei diskrimineeri kedagi soo, rassilise või etnilise päritolu, usutunnistuse või veendumuste, puude, vanuse ega seksuaalse sättumuse alusel. Kõik meetmed, mis riivavad põhiõiguseid ja -vabadusi, peavad olema proportsionaalsed nende abil taotletavate eesmärkidega ja arvestama nende põhiõiguste ja -vabaduste põhiolemusega.</w:t>
      </w:r>
    </w:p>
    <w:p>
      <w:pPr>
        <w:spacing w:after="240"/>
        <w:rPr>
          <w:rFonts w:eastAsia="Times New Roman"/>
          <w:noProof/>
          <w:color w:val="000000"/>
          <w:szCs w:val="24"/>
        </w:rPr>
      </w:pPr>
      <w:r>
        <w:rPr>
          <w:noProof/>
          <w:color w:val="000000"/>
        </w:rPr>
        <w:t xml:space="preserve">Igal kokkuleppeosalisel peab olema kaebuste lahendamise kord liikmete poolt toime pandud väidetavate põhiõiguste rikkumiste käsitlemiseks. Amet on kehtestanud Euroopa piiri- ja rannikuvalvet käsitleva määruse (EL) 2016/1624 artiklis 72 osutatud kaebuste lahendamise korra ning seega on nimetatud kohustus täidetud. </w:t>
      </w:r>
      <w:r>
        <w:rPr>
          <w:noProof/>
        </w:rPr>
        <w:t>Selliste väidetavate rikkumistega võiks tegeleda Bosnia ja Hertsegoviina ombudsmanid (Bosnia ja Hertsegoviina inimõiguste ombudsmani amet), välja arvatud juhul, kui Bosnia ja Hertsegoviina otsustab luua mehhanismi spetsiaalselt käesoleva kokkuleppe alusel esitatud kaebuste tarvis.</w:t>
      </w:r>
      <w:r>
        <w:rPr>
          <w:noProof/>
          <w:color w:val="000000"/>
        </w:rPr>
        <w:t xml:space="preserve"> </w:t>
      </w:r>
    </w:p>
    <w:p>
      <w:pPr>
        <w:rPr>
          <w:rFonts w:eastAsia="Times New Roman"/>
          <w:i/>
          <w:noProof/>
          <w:color w:val="000000"/>
          <w:szCs w:val="24"/>
        </w:rPr>
      </w:pPr>
      <w:r>
        <w:rPr>
          <w:i/>
          <w:noProof/>
          <w:color w:val="000000"/>
        </w:rPr>
        <w:t>Isikuandmete töötlemine</w:t>
      </w:r>
    </w:p>
    <w:p>
      <w:pPr>
        <w:rPr>
          <w:rFonts w:eastAsia="Times New Roman"/>
          <w:i/>
          <w:noProof/>
          <w:color w:val="000000"/>
          <w:szCs w:val="24"/>
        </w:rPr>
      </w:pPr>
      <w:r>
        <w:rPr>
          <w:noProof/>
          <w:color w:val="000000"/>
        </w:rPr>
        <w:t xml:space="preserve">Rühma liikmed töötlevad isikuandmeid siis, kui see on vajalik ja proportsionaalne vastavalt ameti ja ELi liikmesriikide suhtes kohaldatavatele õigusnormidele. </w:t>
      </w:r>
      <w:r>
        <w:rPr>
          <w:noProof/>
        </w:rPr>
        <w:t>Bosnia ja Hertsegoviina ametiasutused töötlevad isikuandmeid oma riigi õigusnormide kohaselt.</w:t>
      </w:r>
    </w:p>
    <w:p>
      <w:pPr>
        <w:spacing w:after="240"/>
        <w:rPr>
          <w:rFonts w:eastAsia="Times New Roman"/>
          <w:i/>
          <w:noProof/>
          <w:color w:val="000000"/>
          <w:szCs w:val="24"/>
        </w:rPr>
      </w:pPr>
      <w:r>
        <w:rPr>
          <w:noProof/>
        </w:rPr>
        <w:t>Pärast iga tegevuse lõpuleviimist koostavad amet, osalevad liikmesriigid ning Bosnia ja Hertsegoviina ühisaruande, mis käsitleb isikuandmete töötlemist rühma liikmete poolt.</w:t>
      </w:r>
      <w:r>
        <w:rPr>
          <w:noProof/>
          <w:color w:val="000000"/>
        </w:rPr>
        <w:t xml:space="preserve"> </w:t>
      </w:r>
      <w:r>
        <w:rPr>
          <w:noProof/>
        </w:rPr>
        <w:t>Kõnealune aruanne saadetakse ameti põhiõiguste ametnikule ja isikuandmete kaitse ametnikule ning Bosnia ja Hertsegoviina pädevale isikuandmete kaitse asutusele.</w:t>
      </w:r>
      <w:r>
        <w:rPr>
          <w:noProof/>
          <w:color w:val="000000"/>
        </w:rPr>
        <w:t xml:space="preserve"> Ameti põhiõiguste ametnik ja isikuandmete kaitse ametnik annavad aru ameti tegevdirektorile.</w:t>
      </w:r>
    </w:p>
    <w:p>
      <w:pPr>
        <w:rPr>
          <w:i/>
          <w:noProof/>
        </w:rPr>
      </w:pPr>
      <w:r>
        <w:rPr>
          <w:i/>
          <w:noProof/>
        </w:rPr>
        <w:t>Tegevuse peatamine ja lõpetamine</w:t>
      </w:r>
    </w:p>
    <w:p>
      <w:pPr>
        <w:spacing w:after="240"/>
        <w:rPr>
          <w:rFonts w:eastAsia="Times New Roman"/>
          <w:noProof/>
        </w:rPr>
      </w:pPr>
      <w:r>
        <w:rPr>
          <w:noProof/>
        </w:rPr>
        <w:t xml:space="preserve">Nii amet kui ka Bosnia ja Hertsegoviina ametiasutused võivad tegevuse peatada või lõpetada, kui neile tundub, et teine osapool ei järgi kokkulepet või operatsiooniplaani. </w:t>
      </w:r>
    </w:p>
    <w:p>
      <w:pPr>
        <w:rPr>
          <w:rFonts w:eastAsia="Times New Roman"/>
          <w:i/>
          <w:noProof/>
          <w:color w:val="000000"/>
          <w:szCs w:val="24"/>
        </w:rPr>
      </w:pPr>
      <w:r>
        <w:rPr>
          <w:i/>
          <w:noProof/>
          <w:color w:val="000000"/>
        </w:rPr>
        <w:t>Vaidlused ja tõlgendamine</w:t>
      </w:r>
    </w:p>
    <w:p>
      <w:pPr>
        <w:spacing w:before="0"/>
        <w:rPr>
          <w:rFonts w:eastAsia="Times New Roman"/>
          <w:noProof/>
          <w:color w:val="000000"/>
          <w:szCs w:val="24"/>
        </w:rPr>
      </w:pPr>
      <w:r>
        <w:rPr>
          <w:noProof/>
        </w:rPr>
        <w:t>Kõiki käesoleva kokkuleppe tõlgendamise või kohaldamisega seoses tekkivaid küsimusi uurivad Bosnia ja Hertsegoviina piiripolitsei ning ameti esindajad ühiselt. Ameti esindajad konsulteerivad Bosnia ja Hertsegoviina naabruses paiknevate liikmesriikidega.</w:t>
      </w:r>
      <w:r>
        <w:rPr>
          <w:noProof/>
          <w:color w:val="000000"/>
        </w:rPr>
        <w:t xml:space="preserve"> </w:t>
      </w:r>
    </w:p>
    <w:p>
      <w:pPr>
        <w:spacing w:before="0"/>
        <w:rPr>
          <w:rFonts w:eastAsia="Times New Roman"/>
          <w:iCs/>
          <w:noProof/>
        </w:rPr>
      </w:pPr>
      <w:r>
        <w:rPr>
          <w:noProof/>
        </w:rPr>
        <w:t>Varasema lahenduse puudumise korral lahendatakse käesoleva kokkuleppe tõlgendamist või kohaldamist käsitlevad vaidlused Bosnia ja Hertsegoviina ning Euroopa Komisjoni vahel eranditult läbirääkimiste teel. Vajaduse korral konsulteerib komisjon mõne Bosnia ja Hertsegoviina naabruses paikneva liikmesriigiga.</w:t>
      </w:r>
    </w:p>
    <w:p>
      <w:pPr>
        <w:rPr>
          <w:rFonts w:eastAsia="Times New Roman"/>
          <w:i/>
          <w:noProof/>
          <w:color w:val="000000"/>
          <w:szCs w:val="24"/>
        </w:rPr>
      </w:pPr>
      <w:r>
        <w:rPr>
          <w:i/>
          <w:noProof/>
          <w:color w:val="000000"/>
        </w:rPr>
        <w:t>Ühisdeklaratsioonid</w:t>
      </w:r>
    </w:p>
    <w:p>
      <w:pPr>
        <w:rPr>
          <w:rFonts w:eastAsia="Times New Roman"/>
          <w:noProof/>
          <w:color w:val="000000"/>
          <w:szCs w:val="24"/>
        </w:rPr>
      </w:pPr>
      <w:r>
        <w:rPr>
          <w:noProof/>
        </w:rPr>
        <w:t>Mõlemad kokkuleppeosalised võtavad arvesse, et Euroopa Piiri- ja Rannikuvalve Amet toetab Bosniat ja Hertsegoviinat, et tõhusalt kontrollida oma piiri mis tahes riigiga, mis ei ole Euroopa Liidu liige, muude vahenditega kui täitevvolitustega Euroopa Piiri- ja Rannikuvalve Ameti rühmade lähetamine.</w:t>
      </w:r>
    </w:p>
    <w:p>
      <w:pPr>
        <w:rPr>
          <w:noProof/>
          <w:szCs w:val="24"/>
        </w:rPr>
      </w:pPr>
      <w:r>
        <w:rPr>
          <w:noProof/>
        </w:rPr>
        <w:t xml:space="preserve">Kokkuleppele on lisatud ka ühisdeklaratsioon, milles kajastatakse Norra, Islandi, Šveitsi ja Liechtensteini tihedat seost Schengeni </w:t>
      </w:r>
      <w:r>
        <w:rPr>
          <w:i/>
          <w:noProof/>
        </w:rPr>
        <w:t>acquis</w:t>
      </w:r>
      <w:r>
        <w:rPr>
          <w:noProof/>
        </w:rPr>
        <w:t>’ rakendamise, kohaldamise ja edasiarendamisega.</w:t>
      </w:r>
    </w:p>
    <w:p>
      <w:pPr>
        <w:spacing w:after="240" w:line="360" w:lineRule="auto"/>
        <w:jc w:val="center"/>
        <w:rPr>
          <w:rFonts w:eastAsia="Times New Roman"/>
          <w:noProof/>
          <w:color w:val="000000"/>
          <w:szCs w:val="24"/>
        </w:rPr>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2019/0057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Euroopa Piiri- ja Rannikuvalve Ameti tegevust Bosnias ja Hertsegoviinas käsitleva Euroopa Liidu ning Bosnia ja Hertsegoviina vahelise staatust käsitleva kokkuleppe allkirjastamise kohta</w:t>
      </w:r>
    </w:p>
    <w:p>
      <w:pPr>
        <w:pStyle w:val="Institutionquiagit"/>
        <w:rPr>
          <w:noProof/>
        </w:rPr>
      </w:pPr>
      <w:r>
        <w:rPr>
          <w:noProof/>
        </w:rPr>
        <w:t>EUROOPA LIIDU NÕUKOGU,</w:t>
      </w:r>
    </w:p>
    <w:p>
      <w:pPr>
        <w:rPr>
          <w:noProof/>
        </w:rPr>
      </w:pPr>
      <w:r>
        <w:rPr>
          <w:noProof/>
        </w:rPr>
        <w:t>võttes arvesse Euroopa Liidu toimimise lepingut, eriti selle artikli 77 lõike 2 punkte b ja d ning artikli 79 lõike 2 punkti c koostoimes artikli 218 lõikega 5,</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Vastavalt Euroopa Parlamendi ja nõukogu määruse (EL) 2016/1624</w:t>
      </w:r>
      <w:r>
        <w:rPr>
          <w:rStyle w:val="FootnoteReference"/>
          <w:noProof/>
        </w:rPr>
        <w:footnoteReference w:id="5"/>
      </w:r>
      <w:r>
        <w:rPr>
          <w:noProof/>
        </w:rPr>
        <w:t xml:space="preserve"> artikli 54 lõikele 4 sõlmib liit asjaomase kolmanda riigiga staatust käsitleva kokkuleppe, kui vastavalt kavandatule lähetatakse Euroopa piiri- ja rannikuvalve rühmad kolmandasse riiki tegevuseks, mis kätkeb endas täidesaatva võimu teostamist, või kui kokkulepe on nõutav muude kolmandas riigis läbiviidavate tegevuste jaoks. Staatust käsitlev kokkulepe peaks hõlmama kõiki tegevuseks vajalikke aspekte.</w:t>
      </w:r>
    </w:p>
    <w:p>
      <w:pPr>
        <w:pStyle w:val="ManualConsidrant"/>
        <w:rPr>
          <w:noProof/>
        </w:rPr>
      </w:pPr>
      <w:r>
        <w:t>(2)</w:t>
      </w:r>
      <w:r>
        <w:tab/>
      </w:r>
      <w:r>
        <w:rPr>
          <w:noProof/>
        </w:rPr>
        <w:t xml:space="preserve">16. oktoobril 2017 sai komisjon nõukogult volituse alustada läbirääkimisi Bosnia ja Hertsegoviina staatust käsitleva kokkuleppe üle, mis käsitleb Euroopa Piiri- ja Rannikuvalve Ameti tegevust Bosnias ja Hertsegoviinas (edaspidi „kokkulepe“). </w:t>
      </w:r>
    </w:p>
    <w:p>
      <w:pPr>
        <w:pStyle w:val="ManualConsidrant"/>
        <w:rPr>
          <w:noProof/>
        </w:rPr>
      </w:pPr>
      <w:r>
        <w:t>(3)</w:t>
      </w:r>
      <w:r>
        <w:tab/>
      </w:r>
      <w:r>
        <w:rPr>
          <w:noProof/>
        </w:rPr>
        <w:t xml:space="preserve">Läbirääkimised viidi edukalt lõpule lepingu parafeerimisega. </w:t>
      </w:r>
    </w:p>
    <w:p>
      <w:pPr>
        <w:pStyle w:val="ManualConsidrant"/>
        <w:rPr>
          <w:noProof/>
          <w:szCs w:val="24"/>
        </w:rPr>
      </w:pPr>
      <w:r>
        <w:t>(4)</w:t>
      </w:r>
      <w:r>
        <w:tab/>
      </w:r>
      <w:r>
        <w:rPr>
          <w:noProof/>
        </w:rPr>
        <w:t xml:space="preserve">Käesolev otsus kujutab endast nende Schengeni </w:t>
      </w:r>
      <w:r>
        <w:rPr>
          <w:i/>
          <w:noProof/>
        </w:rPr>
        <w:t>acquis’</w:t>
      </w:r>
      <w:r>
        <w:rPr>
          <w:noProof/>
        </w:rPr>
        <w:t xml:space="preserve"> sätete edasiarendamist, milles Ühendkuningriik ei osale vastavalt nõukogu otsusele 2000/365/EÜ</w:t>
      </w:r>
      <w:r>
        <w:rPr>
          <w:rStyle w:val="FootnoteReference"/>
          <w:noProof/>
        </w:rPr>
        <w:footnoteReference w:id="6"/>
      </w:r>
      <w:r>
        <w:rPr>
          <w:noProof/>
        </w:rPr>
        <w:t xml:space="preserve">; seetõttu ei osale Ühendkuningriik käesoleva otsuse vastuvõtmisel ning see ei ole tema suhtes siduv ega kohaldatav. </w:t>
      </w:r>
    </w:p>
    <w:p>
      <w:pPr>
        <w:pStyle w:val="ManualConsidrant"/>
        <w:rPr>
          <w:noProof/>
          <w:szCs w:val="24"/>
        </w:rPr>
      </w:pPr>
      <w:r>
        <w:t>(5)</w:t>
      </w:r>
      <w:r>
        <w:tab/>
      </w:r>
      <w:r>
        <w:rPr>
          <w:noProof/>
        </w:rPr>
        <w:t xml:space="preserve">Käesolev otsus kujutab endast nende Schengeni </w:t>
      </w:r>
      <w:r>
        <w:rPr>
          <w:i/>
          <w:noProof/>
        </w:rPr>
        <w:t>acquis’</w:t>
      </w:r>
      <w:r>
        <w:rPr>
          <w:noProof/>
        </w:rPr>
        <w:t xml:space="preserve"> sätete edasiarendamist, milles Iirimaa ei osale vastavalt nõukogu otsusele 2002/192/EÜ</w:t>
      </w:r>
      <w:r>
        <w:rPr>
          <w:rStyle w:val="FootnoteReference"/>
          <w:noProof/>
        </w:rPr>
        <w:footnoteReference w:id="7"/>
      </w:r>
      <w:r>
        <w:rPr>
          <w:noProof/>
        </w:rPr>
        <w:t>; seetõttu ei osale Iirimaa käesoleva otsuse vastuvõtmisel ning see ei ole tema suhtes siduv ega kohaldatav.</w:t>
      </w:r>
    </w:p>
    <w:p>
      <w:pPr>
        <w:pStyle w:val="ManualConsidrant"/>
        <w:rPr>
          <w:noProof/>
          <w:szCs w:val="24"/>
        </w:rPr>
      </w:pPr>
      <w:r>
        <w:t>(6)</w:t>
      </w:r>
      <w:r>
        <w:tab/>
      </w:r>
      <w:r>
        <w:rPr>
          <w:noProof/>
        </w:rPr>
        <w:t>Euroopa Liidu lepingule ja Euroopa Liidu toimimise lepingule lisatud protokolli nr 22 (Taani seisukoha kohta) artiklite 1 ja 2 kohaselt ei osale Taani käesoleva otsuse vastuvõtmisel ning see ei ole tema suhtes siduv ega kohaldatav.</w:t>
      </w:r>
    </w:p>
    <w:p>
      <w:pPr>
        <w:pStyle w:val="ManualConsidrant"/>
        <w:rPr>
          <w:noProof/>
        </w:rPr>
      </w:pPr>
      <w:r>
        <w:t>(7)</w:t>
      </w:r>
      <w:r>
        <w:tab/>
      </w:r>
      <w:r>
        <w:rPr>
          <w:noProof/>
        </w:rPr>
        <w:t xml:space="preserve">Seepärast tuleks kokkulepe liidu nimel allkirjastada, eeldusel et see hiljem sõlmitakse, ja sellele lisatud deklaratsioonid heaks kiita, </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Euroopa Piiri- ja Rannikuvalve Ameti tegevust Bosnias ja Hertsegoviinas käsitleva Euroopa Liidu ning Bosnia ja Hertsegoviina vahelise kokkuleppe (edaspidi „kokkulepe“) allkirjastamine kiidetakse käesolevaga liidu nimel heaks, tingimusel et nimetatud kokkulepe hiljem sõlmitakse.</w:t>
      </w:r>
    </w:p>
    <w:p>
      <w:pPr>
        <w:pStyle w:val="Titrearticle"/>
        <w:rPr>
          <w:noProof/>
        </w:rPr>
      </w:pPr>
      <w:r>
        <w:rPr>
          <w:noProof/>
        </w:rPr>
        <w:t>Artikkel 2</w:t>
      </w:r>
    </w:p>
    <w:p>
      <w:pPr>
        <w:rPr>
          <w:noProof/>
        </w:rPr>
      </w:pPr>
      <w:r>
        <w:rPr>
          <w:noProof/>
        </w:rPr>
        <w:t xml:space="preserve">Liidu nimel kiidetakse heaks käesolevale otsusele lisatud deklaratsioonid. </w:t>
      </w:r>
    </w:p>
    <w:p>
      <w:pPr>
        <w:pStyle w:val="Titrearticle"/>
        <w:rPr>
          <w:noProof/>
        </w:rPr>
      </w:pPr>
      <w:r>
        <w:rPr>
          <w:noProof/>
        </w:rPr>
        <w:t xml:space="preserve">Artikkel 3 </w:t>
      </w:r>
    </w:p>
    <w:p>
      <w:pPr>
        <w:rPr>
          <w:noProof/>
        </w:rPr>
      </w:pPr>
      <w:r>
        <w:rPr>
          <w:noProof/>
        </w:rPr>
        <w:t>Nõukogu peasekretariaat annab kokkuleppe allkirjastamise täielikud volitused isiku(te)le, kelle on määranud kokkuleppe läbirääkija, tingimusel et kokkulepe hiljem sõlmitakse.</w:t>
      </w:r>
    </w:p>
    <w:p>
      <w:pPr>
        <w:pStyle w:val="Titrearticle"/>
        <w:rPr>
          <w:noProof/>
        </w:rPr>
      </w:pPr>
      <w:r>
        <w:rPr>
          <w:noProof/>
        </w:rPr>
        <w:t>Artikkel 4</w:t>
      </w:r>
    </w:p>
    <w:p>
      <w:pPr>
        <w:keepLines/>
        <w:rPr>
          <w:noProof/>
        </w:rPr>
      </w:pPr>
      <w:r>
        <w:rPr>
          <w:noProof/>
        </w:rPr>
        <w:t xml:space="preserve">Käesolev otsus jõustub selle vastuvõtmise päeval. </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 xml:space="preserve">ELT L 251, 16.9.2016, lk 1. </w:t>
      </w:r>
    </w:p>
  </w:footnote>
  <w:footnote w:id="2">
    <w:p>
      <w:pPr>
        <w:pStyle w:val="FootnoteText"/>
        <w:rPr>
          <w:lang w:val="pt-PT"/>
        </w:rPr>
      </w:pPr>
      <w:r>
        <w:rPr>
          <w:rStyle w:val="FootnoteReference"/>
        </w:rPr>
        <w:footnoteRef/>
      </w:r>
      <w:r>
        <w:tab/>
        <w:t xml:space="preserve">COM(2015) 240 (final). </w:t>
      </w:r>
    </w:p>
  </w:footnote>
  <w:footnote w:id="3">
    <w:p>
      <w:pPr>
        <w:pStyle w:val="FootnoteText"/>
        <w:rPr>
          <w:lang w:val="pt-PT"/>
        </w:rPr>
      </w:pPr>
      <w:r>
        <w:rPr>
          <w:rStyle w:val="FootnoteReference"/>
        </w:rPr>
        <w:footnoteRef/>
      </w:r>
      <w:r>
        <w:tab/>
        <w:t xml:space="preserve">COM(2015) 185 (final). </w:t>
      </w:r>
    </w:p>
  </w:footnote>
  <w:footnote w:id="4">
    <w:p>
      <w:pPr>
        <w:pStyle w:val="FootnoteText"/>
        <w:rPr>
          <w:lang w:val="pt-PT"/>
        </w:rPr>
      </w:pPr>
      <w:r>
        <w:rPr>
          <w:rStyle w:val="FootnoteReference"/>
        </w:rPr>
        <w:footnoteRef/>
      </w:r>
      <w:r>
        <w:tab/>
        <w:t>ELT L 334, 19.12.2007, lk 66.</w:t>
      </w:r>
    </w:p>
  </w:footnote>
  <w:footnote w:id="5">
    <w:p>
      <w:pPr>
        <w:pStyle w:val="FootnoteText"/>
      </w:pPr>
      <w:r>
        <w:rPr>
          <w:rStyle w:val="FootnoteReference"/>
        </w:rPr>
        <w:footnoteRef/>
      </w:r>
      <w:r>
        <w:tab/>
        <w:t>Euroopa Parlamendi ja nõukogu 14. septembri 2016. aasta määrus (EL) 2016/1624, mis käsitleb Euroopa piiri- ja rannikuvalvet ning millega muudetakse Euroopa Parlamendi ja nõukogu määrust (EL) 2016/399 ning tunnistatakse kehtetuks Euroopa Parlamendi ja nõukogu määrus (EÜ) nr 863/2007, nõukogu määrus (EÜ) nr 2007/2004 ning nõukogu otsus 2005/267/EÜ (ELT L 251, 16.9.2016, lk 1).</w:t>
      </w:r>
    </w:p>
  </w:footnote>
  <w:footnote w:id="6">
    <w:p>
      <w:pPr>
        <w:pStyle w:val="FootnoteText"/>
      </w:pPr>
      <w:r>
        <w:rPr>
          <w:rStyle w:val="FootnoteReference"/>
        </w:rPr>
        <w:footnoteRef/>
      </w:r>
      <w:r>
        <w:tab/>
        <w:t xml:space="preserve">Nõukogu 29. mai 2000. aasta otsus 2000/365/EÜ Suurbritannia ja Põhja-Iiri Ühendkuningriigi taotluse kohta osaleda teatavates Schengeni </w:t>
      </w:r>
      <w:r>
        <w:rPr>
          <w:i/>
        </w:rPr>
        <w:t>acquis’</w:t>
      </w:r>
      <w:r>
        <w:t xml:space="preserve"> sätetes (EÜT L 131, 1.6.2000, lk 43).</w:t>
      </w:r>
    </w:p>
  </w:footnote>
  <w:footnote w:id="7">
    <w:p>
      <w:pPr>
        <w:pStyle w:val="FootnoteText"/>
      </w:pPr>
      <w:r>
        <w:rPr>
          <w:rStyle w:val="FootnoteReference"/>
        </w:rPr>
        <w:footnoteRef/>
      </w:r>
      <w:r>
        <w:tab/>
        <w:t xml:space="preserve">Nõukogu 28. veebruari 2002. aasta otsus 2002/192/EÜ Iirimaa taotluse kohta osaleda teatavates Schengeni </w:t>
      </w:r>
      <w:r>
        <w:rPr>
          <w:i/>
        </w:rPr>
        <w:t>acquis</w:t>
      </w:r>
      <w:r>
        <w:t>’ sätetes (EÜT L 64, 7.3.2002, lk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12C5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06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898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36A2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DE4A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347F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A84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2E0A9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3: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163BBE8-0D1E-4D73-B78B-2A08052BA3F8"/>
    <w:docVar w:name="LW_COVERPAGE_TYPE" w:val="1"/>
    <w:docVar w:name="LW_CROSSREFERENCE" w:val="&lt;UNUSED&gt;"/>
    <w:docVar w:name="LW_DocType" w:val="COM"/>
    <w:docVar w:name="LW_EMISSION" w:val="28.2.2019"/>
    <w:docVar w:name="LW_EMISSION_ISODATE" w:val="2019-02-28"/>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57"/>
    <w:docVar w:name="LW_REF.II.NEW.CP_YEAR" w:val="2019"/>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Euroopa Piiri- ja Rannikuvalve Ameti tegevust Bosnias ja Hertsegoviinas käsitleva Euroopa Liidu ning Bosnia ja Hertsegoviina vahelise staatust käsitleva kokkuleppe allkirjasta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10</Pages>
  <Words>2622</Words>
  <Characters>19744</Characters>
  <Application>Microsoft Office Word</Application>
  <DocSecurity>0</DocSecurity>
  <Lines>323</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2019-02-18T14:16:00Z</dcterms:created>
  <dcterms:modified xsi:type="dcterms:W3CDTF">2019-02-19T16:33:00Z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