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87A9F99-E13F-49FD-81F9-E908B7F228FA"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sz w:val="16"/>
          <w:szCs w:val="16"/>
        </w:rPr>
      </w:pPr>
      <w:r>
        <w:rPr>
          <w:noProof/>
        </w:rPr>
        <w:t>Artikel 54 Absatz 3 der Verordnung (EU) 2016/1624 des Europäischen Parlaments und des Rates vom 14. September 2016 über die Europäische Grenz- und Küstenwache</w:t>
      </w:r>
      <w:r>
        <w:rPr>
          <w:rStyle w:val="FootnoteReference"/>
          <w:noProof/>
        </w:rPr>
        <w:footnoteReference w:id="1"/>
      </w:r>
      <w:r>
        <w:rPr>
          <w:noProof/>
        </w:rPr>
        <w:t xml:space="preserve"> sieht vor, dass die Europäische Agentur für die Grenz- und Küstenwache die operative Zusammenarbeit zwischen den Mitgliedstaaten und Drittstaaten im Hinblick auf den Schutz der Außengrenzen koordinieren kann. Sie kann dazu Aktionen an den Außengrenzen durchführen, an denen ein oder mehrere Mitgliedstaaten und ein benachbarter Drittstaat mindestens eines dieser Mitgliedstaaten vorbehaltlich der Zustimmung dieses benachbarten Drittstaats teilnehmen, unter anderem auch im Hoheitsgebiet dieses Drittstaats. </w:t>
      </w:r>
    </w:p>
    <w:p>
      <w:pPr>
        <w:rPr>
          <w:noProof/>
          <w:szCs w:val="24"/>
        </w:rPr>
      </w:pPr>
      <w:r>
        <w:rPr>
          <w:noProof/>
        </w:rPr>
        <w:t>Artikel 54 Absatz 4 der Verordnung (EU) 2016/1624 schreibt vor, dass, wenn es vorgesehen ist, dass europäische Grenz- und Küstenwacheteams in einem Drittland zum Einsatz zu Aktionen kommen, bei denen die Teammitglieder exekutive Befugnisse haben, oder wenn andere Aktionen in Drittländern dies erfordern, zwischen der EU und dem betreffenden Drittstaat eine Statusvereinbarung geschlossen wird. Die Statusvereinbarung umfasst alle Aspekte, die zur Durchführung der Aktionen erforderlich sind. Sie legt insbesondere den Umfang der Aktion, die zivil- und strafrechtliche Haftung sowie die Aufgaben und Befugnisse der Teammitglieder fest. Die Statusvereinbarung stellt die uneingeschränkte Wahrung der Grundrechte während dieser Aktionen sicher.</w:t>
      </w:r>
    </w:p>
    <w:p>
      <w:pPr>
        <w:rPr>
          <w:iCs/>
          <w:noProof/>
          <w:szCs w:val="24"/>
        </w:rPr>
      </w:pPr>
      <w:r>
        <w:rPr>
          <w:noProof/>
        </w:rPr>
        <w:t xml:space="preserve">Auf der Grundlage der vom Rat angenommenen Verhandlungsrichtlinien hat die Europäische Kommission mit Bosnien und Herzegowina eine Vereinbarung über die Durchführung von Aktionen durch die Europäische Agentur für die Grenz- und Küstenwache in Bosnien und Herzegowina („Statusvereinbarung“) mit dem Ziel der Schaffung des rechtlichen Rahmens ausgehandelt, der sofortiges Handeln im Rahmen von Einsatzplänen ermöglicht, wenn schnelle Reaktionen erforderlich sind. Auch wenn die Migrationsströme in der Region wesentlich geringer sind als in den Jahren 2015 und 2016, passen organisierte kriminelle Netze ihre Routen und Methoden für die Schleusung irregulärer Migranten rasch an neue Umstände an. Seit Anfang 2018 sieht sich Bosnien und Herzegowina einem verstärkten Zustrom von Migranten gegenüber. Mit der geltenden Statusvereinbarung werden die zuständigen Behörden von Bosnien und Herzegowina und die EU-Mitgliedstaaten – unter der Koordination der Europäischen Agentur für die Grenz- und Küstenwache – wesentlich besser in der Lage sein, schnell auf diese Entwicklungen zu reagieren. </w:t>
      </w:r>
    </w:p>
    <w:p>
      <w:pPr>
        <w:rPr>
          <w:iCs/>
          <w:noProof/>
          <w:szCs w:val="24"/>
        </w:rPr>
      </w:pPr>
      <w:r>
        <w:rPr>
          <w:noProof/>
        </w:rPr>
        <w:t xml:space="preserve">Der beigefügte Vorschlag für einen Beschluss des Rates stellt das Rechtsinstrument für die Unterzeichnung der Statusvereinbarung zwischen der Europäischen Union und Bosnien und Herzegowina dar. </w:t>
      </w:r>
    </w:p>
    <w:p>
      <w:pPr>
        <w:rPr>
          <w:noProof/>
        </w:rPr>
      </w:pPr>
      <w:r>
        <w:rPr>
          <w:noProof/>
        </w:rPr>
        <w:t xml:space="preserve">Am 16. Oktober 2017 erhielt die Kommission die Ermächtigung des Rates zur Aufnahme von Verhandlungen mit Bosnien und Herzegowina im Hinblick auf eine Statusvereinbarung über die Durchführung von Aktionen durch die Europäische Agentur für die Grenz- und Küstenwache in Bosnien und Herzegowina. </w:t>
      </w:r>
    </w:p>
    <w:p>
      <w:pPr>
        <w:rPr>
          <w:iCs/>
          <w:noProof/>
          <w:szCs w:val="24"/>
        </w:rPr>
      </w:pPr>
      <w:r>
        <w:rPr>
          <w:noProof/>
        </w:rPr>
        <w:t xml:space="preserve">Die Verhandlungen über die Statusvereinbarung wurden am 9. Juli 2018 eröffnet, und ein zweites Treffen fand am 10. Oktober 2018 statt. Die Statusvereinbarung wurde von den Leitern der Verhandlungsdelegationen paraphiert. </w:t>
      </w:r>
    </w:p>
    <w:p>
      <w:pPr>
        <w:rPr>
          <w:iCs/>
          <w:noProof/>
          <w:szCs w:val="24"/>
        </w:rPr>
      </w:pPr>
      <w:r>
        <w:rPr>
          <w:noProof/>
        </w:rPr>
        <w:lastRenderedPageBreak/>
        <w:t xml:space="preserve">Die Kommission ist der Auffassung, dass die vom Rat in seinen Verhandlungsrichtlinien vorgegebenen Ziele erreicht worden sind und dass die Statusvereinbarung für die Union annehmbar ist. </w:t>
      </w:r>
    </w:p>
    <w:p>
      <w:pPr>
        <w:spacing w:after="240"/>
        <w:rPr>
          <w:iCs/>
          <w:noProof/>
          <w:szCs w:val="24"/>
        </w:rPr>
      </w:pPr>
      <w:r>
        <w:rPr>
          <w:noProof/>
        </w:rPr>
        <w:t xml:space="preserve">Die Mitgliedstaaten wurden in den zuständigen Arbeitsgruppen des Rates informiert und konsultiert. </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spacing w:after="240"/>
        <w:rPr>
          <w:iCs/>
          <w:noProof/>
          <w:szCs w:val="24"/>
        </w:rPr>
      </w:pPr>
      <w:r>
        <w:rPr>
          <w:noProof/>
        </w:rPr>
        <w:t>Vierzehn Mitgliedstaaten haben derzeit bilaterale Vereinbarungen mit Bosnien und Herzegowina, die eine Reihe gemeinsamer Maßnahmen wie etwa Grenzübertrittskontrollen, Überwachung, Patrouillen, Rückführungen usw. betreffen. Außerdem besteht bereits eine Arbeitsvereinbarung zwischen dem Sicherheitsministerium von Bosnien und Herzegowina und der Europäischen Agentur für die Grenz- und Küstenwache, die insbesondere die regelmäßige Teilnahme von Vertretern der Grenzpolizei des Sicherheitsministeriums an von der Europäischen Agentur für die Grenz- und Küstenwache koordinierten gemeinsamen Aktionen – mit Zustimmung des Einsatzmitgliedstaats – als Beobachter im Hoheitsgebiet der einzelnen Mitgliedstaaten beinhaltet.</w:t>
      </w:r>
    </w:p>
    <w:p>
      <w:pPr>
        <w:pStyle w:val="ManualHeading2"/>
        <w:ind w:left="0" w:firstLine="0"/>
        <w:rPr>
          <w:rFonts w:eastAsia="Arial Unicode MS"/>
          <w:noProof/>
        </w:rPr>
      </w:pPr>
      <w:r>
        <w:rPr>
          <w:noProof/>
          <w:color w:val="000000"/>
          <w:u w:color="000000"/>
          <w:bdr w:val="nil"/>
        </w:rPr>
        <w:t>•</w:t>
      </w:r>
      <w:r>
        <w:rPr>
          <w:noProof/>
        </w:rPr>
        <w:tab/>
        <w:t>Kohärenz mit der Politik der Union in anderen Bereichen</w:t>
      </w:r>
    </w:p>
    <w:p>
      <w:pPr>
        <w:rPr>
          <w:b/>
          <w:noProof/>
          <w:szCs w:val="24"/>
        </w:rPr>
      </w:pPr>
      <w:r>
        <w:rPr>
          <w:noProof/>
        </w:rPr>
        <w:t>Die Europäische Migrationsagenda</w:t>
      </w:r>
      <w:r>
        <w:rPr>
          <w:rStyle w:val="FootnoteReference"/>
          <w:noProof/>
        </w:rPr>
        <w:footnoteReference w:id="2"/>
      </w:r>
      <w:r>
        <w:rPr>
          <w:noProof/>
        </w:rPr>
        <w:t xml:space="preserve"> stützt sich auf vier Säulen. Eine davon ist die Grenzverwaltung: Ziel ist eine bessere Verwaltung der Außengrenzen der EU, insbesondere durch Solidarität gegenüber den Mitgliedstaaten an den Außengrenzen, und eine effizientere Abfertigung an den Grenzübergängen. Eine verstärkte Kontrolle der Grenzen von Bosnien und Herzegowina wird sich nicht nur positiv auf diese Grenzen selbst, sondern auch positiv auf die Außengrenzen der EU, insbesondere auf die Außengrenzen Kroatiens auswirken. Eine weitere Stärkung der Sicherheit an den Außengrenzen steht zudem im Einklang mit der Europäischen Sicherheitsagenda</w:t>
      </w:r>
      <w:r>
        <w:rPr>
          <w:rStyle w:val="FootnoteReference"/>
          <w:noProof/>
        </w:rPr>
        <w:footnoteReference w:id="3"/>
      </w:r>
      <w:r>
        <w:rPr>
          <w:noProof/>
        </w:rPr>
        <w:t xml:space="preserve">. </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autoSpaceDE w:val="0"/>
        <w:autoSpaceDN w:val="0"/>
        <w:adjustRightInd w:val="0"/>
        <w:rPr>
          <w:noProof/>
          <w:szCs w:val="24"/>
        </w:rPr>
      </w:pPr>
      <w:r>
        <w:rPr>
          <w:noProof/>
        </w:rPr>
        <w:t xml:space="preserve">Die Rechtsgrundlage für diesen Vorschlag für einen Beschluss des Rates bilden Artikel 77 Absatz 2 Buchstaben b und d sowie Artikel 79 Absatz 2 Buchstabe c AEUV in Verbindung mit Artikel 218 Absatz 5 AEUV. </w:t>
      </w:r>
    </w:p>
    <w:p>
      <w:pPr>
        <w:autoSpaceDE w:val="0"/>
        <w:autoSpaceDN w:val="0"/>
        <w:adjustRightInd w:val="0"/>
        <w:rPr>
          <w:noProof/>
          <w:szCs w:val="24"/>
        </w:rPr>
      </w:pPr>
      <w:r>
        <w:rPr>
          <w:noProof/>
        </w:rPr>
        <w:t xml:space="preserve">Der Abschluss von Statusvereinbarungen durch die EU ist ausdrücklich in Artikel 54 Absatz 4 der Verordnung (EU) 2016/1624 festgelegt, der vorschreibt, dass, wenn es vorgesehen ist, dass europäische Grenz- und Küstenwacheteams in einem Drittland zum Einsatz zu Aktionen kommen, bei denen die Teammitglieder exekutive Befugnisse haben, oder wenn andere Aktionen in Drittländern dies erfordern, zwischen der EU und dem betreffenden Drittstaat eine Statusvereinbarung geschlossen wird. </w:t>
      </w:r>
    </w:p>
    <w:p>
      <w:pPr>
        <w:autoSpaceDE w:val="0"/>
        <w:autoSpaceDN w:val="0"/>
        <w:adjustRightInd w:val="0"/>
        <w:rPr>
          <w:noProof/>
          <w:szCs w:val="24"/>
        </w:rPr>
      </w:pPr>
      <w:r>
        <w:rPr>
          <w:noProof/>
        </w:rPr>
        <w:t xml:space="preserve">Nach Artikel 3 Absatz 2 AEUV hat die Union die ausschließliche Zuständigkeit für den Abschluss internationaler Übereinkünfte, wenn der Abschluss einer solchen Übereinkunft in einem Gesetzgebungsakt der Union vorgesehen ist. Artikel 54 Absatz 4 der Verordnung (EU) 2016/1624 sieht den Abschluss einer Statusvereinbarung zwischen der Europäischen Union und dem betreffenden Drittstaat vor. Folglich fällt die beigefügte Vereinbarung mit Bosnien und Herzegowina in die ausschließliche Zuständigkeit der Europäischen Union. </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pBdr>
          <w:top w:val="nil"/>
          <w:left w:val="nil"/>
          <w:bottom w:val="nil"/>
          <w:right w:val="nil"/>
          <w:between w:val="nil"/>
          <w:bar w:val="nil"/>
        </w:pBdr>
        <w:spacing w:before="0" w:after="240"/>
        <w:rPr>
          <w:noProof/>
        </w:rPr>
      </w:pPr>
      <w:r>
        <w:rPr>
          <w:noProof/>
        </w:rPr>
        <w:t xml:space="preserve">Entfällt. </w:t>
      </w:r>
    </w:p>
    <w:p>
      <w:pPr>
        <w:pStyle w:val="ManualHeading2"/>
        <w:rPr>
          <w:rFonts w:eastAsia="Arial Unicode MS"/>
          <w:noProof/>
          <w:u w:color="000000"/>
          <w:bdr w:val="nil"/>
        </w:rPr>
      </w:pPr>
      <w:r>
        <w:rPr>
          <w:noProof/>
        </w:rPr>
        <w:t>•</w:t>
      </w:r>
      <w:r>
        <w:rPr>
          <w:noProof/>
        </w:rPr>
        <w:tab/>
        <w:t>Verhältnismäßigkeit</w:t>
      </w:r>
    </w:p>
    <w:p>
      <w:pPr>
        <w:spacing w:after="240"/>
        <w:rPr>
          <w:noProof/>
          <w:szCs w:val="24"/>
        </w:rPr>
      </w:pPr>
      <w:r>
        <w:rPr>
          <w:noProof/>
        </w:rPr>
        <w:t xml:space="preserve">Da organisierte kriminelle Netze ihre Routen und Methoden für die Schleusung irregulärer Migranten rasch anpassen, sind Maßnahmen der Europäischen Union erforderlich, um die Kontrollen an den Grenzen von Bosnien und Herzegowina zu verbessern. Eine gültige Statusvereinbarung ist erforderlich, um die zuständigen Behörden von Bosnien und Herzegowina und die EU-Mitgliedstaaten – unter der Koordination der Europäischen Agentur für die Grenz- und Küstenwache – in die Lage zu versetzen, schnell auf solche Entwicklungen zu reagieren. Die Statusvereinbarung ermöglicht die Entsendung europäischer Grenz- und Küstenwacheteams durch die Europäische Agentur für die Grenz- und Küstenwache nach Bosnien und Herzegowina im Falle eines plötzlichen Zustroms von Migranten. </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 xml:space="preserve">Der Vorschlag steht im Einklang mit Artikel 218 Absatz 5 AEUV, dem zufolge Beschlüsse über internationale Übereinkünfte vom Rat erlassen werden. Es gibt kein anderes Rechtsinstrument, mit dem die Ziele des Vorschlags erreicht werden könnten. </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 xml:space="preserve">Entfällt. </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rPr>
      </w:pPr>
      <w:r>
        <w:rPr>
          <w:noProof/>
        </w:rPr>
        <w:t xml:space="preserve">Entfällt. </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 xml:space="preserve">Entfällt. </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noProof/>
          <w:szCs w:val="24"/>
        </w:rPr>
      </w:pPr>
      <w:r>
        <w:rPr>
          <w:noProof/>
        </w:rPr>
        <w:t xml:space="preserve">Es bedurfte keiner Folgenabschätzung für die Verhandlungen über die Statusvereinbarung. </w:t>
      </w:r>
    </w:p>
    <w:p>
      <w:pPr>
        <w:pStyle w:val="ManualHeading2"/>
        <w:rPr>
          <w:rFonts w:eastAsia="Arial Unicode MS"/>
          <w:noProof/>
          <w:u w:color="000000"/>
          <w:bdr w:val="nil"/>
        </w:rPr>
      </w:pPr>
      <w:r>
        <w:rPr>
          <w:noProof/>
        </w:rPr>
        <w:t>•</w:t>
      </w:r>
      <w:r>
        <w:rPr>
          <w:noProof/>
        </w:rPr>
        <w:tab/>
        <w:t>Effizienz der Rechtsetzung und Vereinfachung</w:t>
      </w:r>
    </w:p>
    <w:p>
      <w:pPr>
        <w:pStyle w:val="ManualHeading2"/>
        <w:ind w:left="0" w:firstLine="0"/>
        <w:rPr>
          <w:rFonts w:eastAsia="Arial Unicode MS"/>
          <w:b w:val="0"/>
          <w:noProof/>
          <w:u w:color="000000"/>
          <w:bdr w:val="nil"/>
        </w:rPr>
      </w:pPr>
      <w:r>
        <w:rPr>
          <w:b w:val="0"/>
          <w:noProof/>
        </w:rPr>
        <w:t>Da dies eine neue Vereinbarung ist, konnten keine Bewertung oder Eignungsprüfungen bestehender Instrumente durchgeführt werden.</w:t>
      </w:r>
    </w:p>
    <w:p>
      <w:pPr>
        <w:pStyle w:val="ManualHeading2"/>
        <w:ind w:left="0" w:firstLine="0"/>
        <w:rPr>
          <w:rFonts w:eastAsia="Arial Unicode MS"/>
          <w:noProof/>
          <w:u w:color="000000"/>
          <w:bdr w:val="nil"/>
        </w:rPr>
      </w:pPr>
      <w:r>
        <w:rPr>
          <w:noProof/>
        </w:rPr>
        <w:t>•</w:t>
      </w:r>
      <w:r>
        <w:rPr>
          <w:noProof/>
        </w:rPr>
        <w:tab/>
        <w:t>Grundrechte</w:t>
      </w:r>
    </w:p>
    <w:p>
      <w:pPr>
        <w:pBdr>
          <w:top w:val="nil"/>
          <w:left w:val="nil"/>
          <w:bottom w:val="nil"/>
          <w:right w:val="nil"/>
          <w:between w:val="nil"/>
          <w:bar w:val="nil"/>
        </w:pBdr>
        <w:rPr>
          <w:noProof/>
          <w:szCs w:val="24"/>
        </w:rPr>
      </w:pPr>
      <w:r>
        <w:rPr>
          <w:noProof/>
        </w:rPr>
        <w:t>Die Statusvereinbarung enthält Bestimmungen, die sicherstellen, dass die Grundrechte der von den Aktionen der Teammitglieder unter der Leitung der Europäischen Agentur für die Grenz- und Küstenwache betroffenen Personen geschützt werden.</w:t>
      </w:r>
    </w:p>
    <w:p>
      <w:pPr>
        <w:pBdr>
          <w:top w:val="nil"/>
          <w:left w:val="nil"/>
          <w:bottom w:val="nil"/>
          <w:right w:val="nil"/>
          <w:between w:val="nil"/>
          <w:bar w:val="nil"/>
        </w:pBdr>
        <w:spacing w:after="240"/>
        <w:rPr>
          <w:rFonts w:eastAsia="Arial Unicode MS"/>
          <w:noProof/>
        </w:rPr>
      </w:pPr>
      <w:r>
        <w:rPr>
          <w:noProof/>
        </w:rPr>
        <w:t xml:space="preserve">Die Bestimmungen über die Grundrechte werden im Abschnitt 5 „Weitere Angaben“ näher erläutert. </w:t>
      </w:r>
    </w:p>
    <w:p>
      <w:pPr>
        <w:pStyle w:val="ManualHeading1"/>
        <w:rPr>
          <w:noProof/>
        </w:rPr>
      </w:pPr>
      <w:r>
        <w:rPr>
          <w:noProof/>
        </w:rPr>
        <w:t>4.</w:t>
      </w:r>
      <w:r>
        <w:rPr>
          <w:noProof/>
        </w:rPr>
        <w:tab/>
        <w:t>AUSWIRKUNGEN AUF DEN HAUSHALT</w:t>
      </w:r>
    </w:p>
    <w:p>
      <w:pPr>
        <w:autoSpaceDE w:val="0"/>
        <w:autoSpaceDN w:val="0"/>
        <w:rPr>
          <w:iCs/>
          <w:noProof/>
          <w:szCs w:val="24"/>
        </w:rPr>
      </w:pPr>
      <w:r>
        <w:rPr>
          <w:noProof/>
        </w:rPr>
        <w:t xml:space="preserve">Die Statusvereinbarung hat als solche keine finanziellen Auswirkungen. Vielmehr werden die Entsendung von europäischen Grenz- und Küstenwacheteams auf der Grundlage eines Einsatzplans und die entsprechende Finanzhilfevereinbarung Kosten zulasten des Haushalts der Europäischen Agentur für die Grenz- und Küstenwache verursachen. </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rPr>
          <w:noProof/>
          <w:szCs w:val="24"/>
        </w:rPr>
      </w:pPr>
      <w:r>
        <w:rPr>
          <w:noProof/>
        </w:rPr>
        <w:t xml:space="preserve">Die Kommission wird die ordnungsgemäße Überwachung der Umsetzung der Statusvereinbarung gewährleisten. </w:t>
      </w:r>
    </w:p>
    <w:p>
      <w:pPr>
        <w:rPr>
          <w:noProof/>
          <w:szCs w:val="24"/>
        </w:rPr>
      </w:pPr>
      <w:r>
        <w:rPr>
          <w:noProof/>
        </w:rPr>
        <w:t xml:space="preserve">Bosnien und Herzegowina und die Europäische Agentur für die Grenz- und Küstenwache werden jede gemeinsame Aktion oder jeden Soforteinsatz zu Grenzsicherungszwecken gemeinsam bewerten. </w:t>
      </w:r>
    </w:p>
    <w:p>
      <w:pPr>
        <w:spacing w:after="240"/>
        <w:rPr>
          <w:noProof/>
          <w:szCs w:val="24"/>
        </w:rPr>
      </w:pPr>
      <w:r>
        <w:rPr>
          <w:noProof/>
        </w:rPr>
        <w:t xml:space="preserve">Insbesondere werden die Europäische Agentur für die Grenz- und Küstenwache, Bosnien und Herzegowina und die an einer spezifischen Aktion teilnehmenden Mitgliedstaaten am Ende jeder Aktion einen Bericht über die Anwendung der Bestimmungen der Vereinbarung, einschließlich der Bestimmungen über die Verarbeitung personenbezogener Daten, erstellen. </w:t>
      </w:r>
    </w:p>
    <w:p>
      <w:pPr>
        <w:pStyle w:val="ManualHeading2"/>
        <w:rPr>
          <w:rFonts w:eastAsia="Arial Unicode MS"/>
          <w:noProof/>
          <w:u w:color="000000"/>
          <w:bdr w:val="nil"/>
        </w:rPr>
      </w:pPr>
      <w:r>
        <w:rPr>
          <w:noProof/>
        </w:rPr>
        <w:t>•</w:t>
      </w:r>
      <w:r>
        <w:rPr>
          <w:noProof/>
        </w:rPr>
        <w:tab/>
        <w:t>Erläuternde Dokumente (bei Richtlinien)</w:t>
      </w:r>
    </w:p>
    <w:p>
      <w:pPr>
        <w:pBdr>
          <w:top w:val="nil"/>
          <w:left w:val="nil"/>
          <w:bottom w:val="nil"/>
          <w:right w:val="nil"/>
          <w:between w:val="nil"/>
          <w:bar w:val="nil"/>
        </w:pBdr>
        <w:spacing w:before="0" w:after="240"/>
        <w:rPr>
          <w:rFonts w:eastAsia="Arial Unicode MS"/>
          <w:noProof/>
        </w:rPr>
      </w:pPr>
      <w:r>
        <w:rPr>
          <w:noProof/>
        </w:rPr>
        <w:t xml:space="preserve">Entfällt. </w:t>
      </w:r>
    </w:p>
    <w:p>
      <w:pPr>
        <w:pStyle w:val="ManualHeading2"/>
        <w:spacing w:after="240"/>
        <w:rPr>
          <w:rFonts w:eastAsia="Arial Unicode MS"/>
          <w:noProof/>
          <w:u w:color="000000"/>
          <w:bdr w:val="nil"/>
        </w:rPr>
      </w:pPr>
      <w:r>
        <w:rPr>
          <w:noProof/>
        </w:rPr>
        <w:t>•</w:t>
      </w:r>
      <w:r>
        <w:rPr>
          <w:noProof/>
        </w:rPr>
        <w:tab/>
        <w:t>Ausführliche Erläuterung einzelner Bestimmungen des Vorschlags</w:t>
      </w:r>
    </w:p>
    <w:p>
      <w:pPr>
        <w:rPr>
          <w:i/>
          <w:noProof/>
        </w:rPr>
      </w:pPr>
      <w:r>
        <w:rPr>
          <w:i/>
          <w:noProof/>
        </w:rPr>
        <w:t>Geltungsbereich der Vereinbarung</w:t>
      </w:r>
    </w:p>
    <w:p>
      <w:pPr>
        <w:rPr>
          <w:rFonts w:eastAsia="Times New Roman"/>
          <w:noProof/>
        </w:rPr>
      </w:pPr>
      <w:r>
        <w:rPr>
          <w:noProof/>
        </w:rPr>
        <w:t>Im Rahmen dieser Vereinbarung ist die Europäische Agentur für die Grenz- und Küstenwache in der Lage, zur Durchführung von gemeinsamen Aktionen und Soforteinsätzen zu Grenzsicherungszwecken europäische Grenz- und Küstenwacheteams mit Exekutivbefugnissen nach Bosnien und Herzegowina zu entsenden. Mit der vorliegenden Vereinbarung wird der Geltungsbereich des Abkommens zwischen der Europäischen Gemeinschaft und Bosnien und Herzegowina über die Rückübernahme von Personen mit unbefugtem Aufenthalt („Rückübernahmeabkommen zwischen der EG und Bosnien und Herzegowina“)</w:t>
      </w:r>
      <w:r>
        <w:rPr>
          <w:rStyle w:val="FootnoteReference"/>
          <w:noProof/>
        </w:rPr>
        <w:footnoteReference w:id="4"/>
      </w:r>
      <w:r>
        <w:rPr>
          <w:noProof/>
        </w:rPr>
        <w:t xml:space="preserve"> nicht ausgeweitet, jedoch sind die Teams der Europäischen Agentur für die Grenz- und Küstenwache auch befugt, im Rahmen einer spezifischen Rückkehr</w:t>
      </w:r>
      <w:r>
        <w:rPr>
          <w:noProof/>
        </w:rPr>
        <w:noBreakHyphen/>
        <w:t>/Rückführungsaktion Bosnien und Herzegowina bei der Identifizierung der von Bosnien und Herzegowina rückzuübernehmenden Personen im Einklang mit dem Rückübernahmeabkommen zwischen der EG und Bosnien und Herzegowina zu unterstützen</w:t>
      </w:r>
      <w:r>
        <w:rPr>
          <w:rStyle w:val="Hyperlink"/>
          <w:noProof/>
        </w:rPr>
        <w:t>.</w:t>
      </w:r>
    </w:p>
    <w:p>
      <w:pPr>
        <w:spacing w:after="240"/>
        <w:rPr>
          <w:rFonts w:eastAsia="Times New Roman"/>
          <w:noProof/>
        </w:rPr>
      </w:pPr>
      <w:r>
        <w:rPr>
          <w:noProof/>
        </w:rPr>
        <w:t>Die Europäischen Grenz- und Küstenwacheteams können im Hoheitsgebiet von Bosnien und Herzegowina nur in die Gebiete an den Außengrenzen der EU entsandt werden und die Teammitglieder haben in diesen Gebieten von Bosnien und Herzegowina exekutive Befugnisse, wie im Einsatzplan dargelegt.</w:t>
      </w:r>
    </w:p>
    <w:p>
      <w:pPr>
        <w:rPr>
          <w:noProof/>
        </w:rPr>
      </w:pPr>
      <w:r>
        <w:rPr>
          <w:i/>
          <w:noProof/>
        </w:rPr>
        <w:t>Einsatzplan</w:t>
      </w:r>
      <w:r>
        <w:rPr>
          <w:noProof/>
        </w:rPr>
        <w:t xml:space="preserve"> </w:t>
      </w:r>
    </w:p>
    <w:p>
      <w:pPr>
        <w:rPr>
          <w:rFonts w:eastAsia="Times New Roman"/>
          <w:noProof/>
        </w:rPr>
      </w:pPr>
      <w:r>
        <w:rPr>
          <w:noProof/>
        </w:rPr>
        <w:t xml:space="preserve">Vor jeder gemeinsamen Aktion oder jedem Soforteinsatz zu Grenzsicherungszwecken muss ein Einsatzplan zwischen der Agentur und Bosnien und Herzegowina vereinbart werden. Dieser Einsatzplan muss auch mit dem/den an den Einsatzbereich angrenzenden Mitgliedstaat/en vereinbart werden. </w:t>
      </w:r>
    </w:p>
    <w:p>
      <w:pPr>
        <w:spacing w:after="240"/>
        <w:rPr>
          <w:rFonts w:eastAsia="Times New Roman"/>
          <w:noProof/>
        </w:rPr>
      </w:pPr>
      <w:r>
        <w:rPr>
          <w:noProof/>
        </w:rPr>
        <w:t xml:space="preserve">In dem Plan werden die organisatorischen und verfahrensbezogenen Aspekte der gemeinsamen Aktion bzw. des Soforteinsatzes zu Grenzsicherungszwecken detailliert aufgeführt; dazu gehören eine Beschreibung und Einschätzung der Lage, der Zweck und die Ziele des Einsatzes, die Art der für den Einsatz benötigten technischen Ausrüstung, der Ablaufplan, Einzelheiten der Zusammenarbeit mit anderen Drittstaaten, Agenturen und Einrichtungen der Union oder internationalen Organisationen, die Vorkehrungen zur Wahrung der Grundrechte, etwa zum Schutz personenbezogener Daten, die Koordinierungs-, Befehls-, Kontroll-, Kommunikations- und Berichterstattungsstrukturen, Vorkehrungen organisatorischer und logistischer Art, die Evaluierung und die finanziellen Aspekte der gemeinsamen Aktion bzw. des Soforteinsatzes zu Grenzsicherungszwecken. </w:t>
      </w:r>
    </w:p>
    <w:p>
      <w:pPr>
        <w:rPr>
          <w:rFonts w:eastAsia="Times New Roman"/>
          <w:i/>
          <w:noProof/>
        </w:rPr>
      </w:pPr>
      <w:r>
        <w:rPr>
          <w:i/>
          <w:noProof/>
        </w:rPr>
        <w:t>Aufgaben und Befugnisse der Teammitglieder</w:t>
      </w:r>
    </w:p>
    <w:p>
      <w:pPr>
        <w:rPr>
          <w:rFonts w:eastAsia="Times New Roman"/>
          <w:noProof/>
        </w:rPr>
      </w:pPr>
      <w:r>
        <w:rPr>
          <w:noProof/>
        </w:rPr>
        <w:t>Die Teams sind generell zur Durchführung der Aufgaben und Ausübung der Durchführungsbefugnisse für Grenzkontroll- und Rückkehr-/Rückführungsaktionen befugt. Sie beachten die nationalen Rechtsvorschriften von Bosnien und Herzegowina.</w:t>
      </w:r>
    </w:p>
    <w:p>
      <w:pPr>
        <w:rPr>
          <w:noProof/>
        </w:rPr>
      </w:pPr>
      <w:r>
        <w:rPr>
          <w:noProof/>
        </w:rPr>
        <w:t>Die Teams werden im Hoheitsgebiet von Bosnien und Herzegowina ausschließlich nach den Anweisungen und in Gegenwart von Grenzschutzbeamten oder Polizeibeamten von Bosnien und Herzegowina tätig.</w:t>
      </w:r>
    </w:p>
    <w:p>
      <w:pPr>
        <w:rPr>
          <w:rFonts w:eastAsia="Times New Roman"/>
          <w:noProof/>
        </w:rPr>
      </w:pPr>
      <w:r>
        <w:rPr>
          <w:noProof/>
        </w:rPr>
        <w:t>Die Teammitglieder tragen gegebenenfalls ihre eigene Uniform, einen gut sichtbaren Identitätsausweis sowie eine blaue Armbinde mit den Emblemen der Europäischen Union und der Agentur. Des Weiteren tragen sie einen Sonderausweis bei sich, um von den nationalen Behörden von Bosnien und Herzegowina eindeutig identifiziert werden zu können.</w:t>
      </w:r>
    </w:p>
    <w:p>
      <w:pPr>
        <w:rPr>
          <w:rFonts w:eastAsia="Times New Roman"/>
          <w:noProof/>
        </w:rPr>
      </w:pPr>
      <w:r>
        <w:rPr>
          <w:noProof/>
        </w:rPr>
        <w:t xml:space="preserve">Die Teammitglieder dürfen nach ihren eigenen nationalen Rechtsvorschriften und den Rechtsvorschriften von Bosnien und Herzegowina zugelassene Dienstwaffen, Munition und Ausrüstung mit sich führen. Die Agentur wird von der Grenzpolizei von Bosnien und Herzegowina im Voraus über zulässige Dienstwaffen, Munition und Ausrüstung und über die Bedingungen für deren Verwendung informiert. Die Agentur übermittelt der Grenzpolizei von Bosnien und Herzegowina im Voraus eine Liste der Dienstwaffen der Teammitglieder (Art und Seriennummern der Waffen; Art und Menge der Munition). </w:t>
      </w:r>
    </w:p>
    <w:p>
      <w:pPr>
        <w:rPr>
          <w:rFonts w:eastAsia="Times New Roman"/>
          <w:noProof/>
        </w:rPr>
      </w:pPr>
      <w:r>
        <w:rPr>
          <w:noProof/>
        </w:rPr>
        <w:t xml:space="preserve">Die Teammitglieder dürfen im Einklang mit dem nationalen Recht von Bosnien und Herzegowina mit Zustimmung ihres eigenen Staates und der Grenzpolizei von Bosnien und Herzegowina und in Anwesenheit von Grenzschutzbeamten oder sonstigen Fachkräften von Bosnien und Herzegowina Gewalt anwenden und insbesondere Dienstwaffen, Munition und Ausrüstung einsetzen. Die Grenzpolizei von Bosnien und Herzegowina kann die Teammitglieder ermächtigen, auch in Abwesenheit der Grenzpolizei Gewalt anzuwenden. </w:t>
      </w:r>
    </w:p>
    <w:p>
      <w:pPr>
        <w:spacing w:after="240"/>
        <w:rPr>
          <w:rFonts w:eastAsia="Times New Roman"/>
          <w:iCs/>
          <w:noProof/>
        </w:rPr>
      </w:pPr>
      <w:r>
        <w:rPr>
          <w:noProof/>
        </w:rPr>
        <w:t xml:space="preserve">Bosnien und Herzegowina kann den Teammitgliedern auf Anfrage sachdienliche Informationen aus nationalen Datenbanken mitteilen, die für die Erfüllung der operativen Ziele erforderlich sind. </w:t>
      </w:r>
    </w:p>
    <w:p>
      <w:pPr>
        <w:spacing w:line="288" w:lineRule="auto"/>
        <w:rPr>
          <w:rFonts w:eastAsia="Times New Roman"/>
          <w:i/>
          <w:noProof/>
          <w:color w:val="000000"/>
          <w:szCs w:val="24"/>
        </w:rPr>
      </w:pPr>
      <w:r>
        <w:rPr>
          <w:i/>
          <w:noProof/>
          <w:color w:val="000000"/>
        </w:rPr>
        <w:t>Vorrechte und Befreiungen der Teammitglieder</w:t>
      </w:r>
    </w:p>
    <w:p>
      <w:pPr>
        <w:rPr>
          <w:rFonts w:eastAsia="Times New Roman"/>
          <w:noProof/>
          <w:color w:val="000000"/>
          <w:szCs w:val="24"/>
        </w:rPr>
      </w:pPr>
      <w:r>
        <w:rPr>
          <w:noProof/>
        </w:rPr>
        <w:t>Die Teammitglieder genießen uneingeschränkten Schutz vor strafrechtlicher Verfolgung durch die Gerichte von Bosnien und Herzegowina für alle in Ausübung ihres Amtes (bzw. „dienstlich“) vorgenommenen Handlungen, wohingegen ein solcher Schutz vor strafrechtlicher Verfolgung bei außerdienstlichen Tätigkeiten nicht besteht.</w:t>
      </w:r>
      <w:r>
        <w:rPr>
          <w:noProof/>
          <w:color w:val="000000"/>
        </w:rPr>
        <w:t xml:space="preserve"> </w:t>
      </w:r>
    </w:p>
    <w:p>
      <w:pPr>
        <w:rPr>
          <w:rFonts w:eastAsia="Times New Roman"/>
          <w:noProof/>
          <w:color w:val="000000"/>
          <w:szCs w:val="24"/>
        </w:rPr>
      </w:pPr>
      <w:r>
        <w:rPr>
          <w:noProof/>
        </w:rPr>
        <w:t>Im Einsatzplan sind die Maßnahmen, die nicht unter die Strafgerichtsbarkeit von Bosnien und Herzegowina fallen, genau darzulegen.</w:t>
      </w:r>
      <w:r>
        <w:rPr>
          <w:noProof/>
          <w:color w:val="000000"/>
        </w:rPr>
        <w:t xml:space="preserve"> </w:t>
      </w:r>
    </w:p>
    <w:p>
      <w:pPr>
        <w:rPr>
          <w:rFonts w:eastAsia="Times New Roman"/>
          <w:noProof/>
          <w:color w:val="000000"/>
          <w:szCs w:val="24"/>
        </w:rPr>
      </w:pPr>
      <w:r>
        <w:rPr>
          <w:noProof/>
          <w:color w:val="000000"/>
        </w:rPr>
        <w:t xml:space="preserve">Im Falle der angeblichen Begehung einer Straftat durch ein Teammitglied erklärt der Exekutivdirektor der Agentur vor der Einleitung des Gerichtsverfahrens mit der gebotenen Eile, ob die betreffende Handlung in Ausübung eines Amtes vorgenommen wurde oder nicht. </w:t>
      </w:r>
      <w:r>
        <w:rPr>
          <w:noProof/>
        </w:rPr>
        <w:t>Der Exekutivdirektor der Agentur trifft seine Entscheidung nach sorgfältiger Prüfung der Darstellungen durch die zuständige Behörde des Mitgliedstaats, die den Grenzschutzbeamten bzw. die Fachkraft entsandt hat, und die zuständigen Behörden von Bosnien und Herzegowina.</w:t>
      </w:r>
    </w:p>
    <w:p>
      <w:pPr>
        <w:rPr>
          <w:rFonts w:eastAsia="Times New Roman"/>
          <w:noProof/>
          <w:color w:val="000000"/>
          <w:szCs w:val="24"/>
        </w:rPr>
      </w:pPr>
      <w:r>
        <w:rPr>
          <w:noProof/>
        </w:rPr>
        <w:t>Die den Teammitgliedern gewährten Vorrechte und die Immunität vor der Strafgerichtsbarkeit von Bosnien und Herzegowina befreien sie nicht von der Gerichtsbarkeit des Herkunftsmitgliedstaats.</w:t>
      </w:r>
      <w:r>
        <w:rPr>
          <w:noProof/>
          <w:color w:val="000000"/>
        </w:rPr>
        <w:t xml:space="preserve"> </w:t>
      </w:r>
    </w:p>
    <w:p>
      <w:pPr>
        <w:rPr>
          <w:rFonts w:eastAsia="Times New Roman"/>
          <w:noProof/>
          <w:color w:val="000000"/>
          <w:szCs w:val="24"/>
        </w:rPr>
      </w:pPr>
      <w:r>
        <w:rPr>
          <w:noProof/>
          <w:color w:val="000000"/>
        </w:rPr>
        <w:t xml:space="preserve">Eine ähnliche Regelung gilt für die zivil- und verwaltungsrechtliche Haftung der Teammitglieder. </w:t>
      </w:r>
    </w:p>
    <w:p>
      <w:pPr>
        <w:rPr>
          <w:rFonts w:eastAsia="Times New Roman"/>
          <w:noProof/>
          <w:color w:val="000000"/>
          <w:szCs w:val="24"/>
        </w:rPr>
      </w:pPr>
      <w:r>
        <w:rPr>
          <w:noProof/>
        </w:rPr>
        <w:t>Die Immunität der Teammitglieder vor der Gerichtsbarkeit von Bosnien und Herzegowina kann durch den Mitgliedstaat, der den betreffenden Grenzschutzbeamten bzw. die Fachkraft entsandt hat, aufgehoben werden.</w:t>
      </w:r>
      <w:r>
        <w:rPr>
          <w:noProof/>
          <w:color w:val="000000"/>
        </w:rPr>
        <w:t xml:space="preserve"> Eine solche Aufhebung muss stets ausdrücklich erklärt werden.</w:t>
      </w:r>
    </w:p>
    <w:p>
      <w:pPr>
        <w:rPr>
          <w:rFonts w:eastAsia="Times New Roman"/>
          <w:noProof/>
          <w:color w:val="000000"/>
          <w:szCs w:val="24"/>
        </w:rPr>
      </w:pPr>
      <w:r>
        <w:rPr>
          <w:noProof/>
          <w:color w:val="000000"/>
        </w:rPr>
        <w:t xml:space="preserve">Die Vereinbarung sieht einen Schadenersatzmechanismus vor, der auf Artikel 42 der Verordnung (EU) 2016/1624 über die Europäische Grenz- und Küstenwache beruht. </w:t>
      </w:r>
      <w:r>
        <w:rPr>
          <w:noProof/>
        </w:rPr>
        <w:t>Wurde der Schaden durch ein im Amt befindliches Teammitglied verursacht, haftet Bosnien und Herzegowina.</w:t>
      </w:r>
      <w:r>
        <w:rPr>
          <w:noProof/>
          <w:color w:val="000000"/>
        </w:rPr>
        <w:t xml:space="preserve"> </w:t>
      </w:r>
      <w:r>
        <w:rPr>
          <w:noProof/>
        </w:rPr>
        <w:t>Wurde der Schaden durch ein im Amt befindliches Teammitglied eines teilnehmenden Mitgliedstaats durch grobe Fahrlässigkeit, vorsätzlich oder außerdienstlich verursacht, kann Bosnien und Herzegowina über den Exekutivdirektor der Agentur beantragen, dass der betreffende teilnehmende Mitgliedstaat eine Entschädigung zahlt.</w:t>
      </w:r>
      <w:r>
        <w:rPr>
          <w:noProof/>
          <w:color w:val="000000"/>
        </w:rPr>
        <w:t xml:space="preserve"> </w:t>
      </w:r>
      <w:r>
        <w:rPr>
          <w:noProof/>
        </w:rPr>
        <w:t>Wurde der Schaden durch einen Bediensteten der Agentur verursacht, kann Bosnien und Herzegowina eine Entschädigung durch die Agentur beantragen.</w:t>
      </w:r>
      <w:r>
        <w:rPr>
          <w:noProof/>
          <w:color w:val="000000"/>
        </w:rPr>
        <w:t xml:space="preserve"> </w:t>
      </w:r>
    </w:p>
    <w:p>
      <w:pPr>
        <w:rPr>
          <w:rFonts w:eastAsia="Times New Roman"/>
          <w:noProof/>
          <w:color w:val="000000"/>
          <w:szCs w:val="24"/>
        </w:rPr>
      </w:pPr>
      <w:r>
        <w:rPr>
          <w:noProof/>
          <w:color w:val="000000"/>
        </w:rPr>
        <w:t>Gegen Teammitglieder dürfen nur dann Vollstreckungsmaßnahmen ergriffen werden, wenn gegen sie ein Straf- oder Zivilverfahren eingeleitet wird, das nicht im Zusammenhang mit ihrem Amt steht.</w:t>
      </w:r>
    </w:p>
    <w:p>
      <w:pPr>
        <w:rPr>
          <w:rFonts w:eastAsia="Times New Roman"/>
          <w:noProof/>
          <w:color w:val="000000"/>
          <w:szCs w:val="24"/>
        </w:rPr>
      </w:pPr>
      <w:r>
        <w:rPr>
          <w:noProof/>
          <w:color w:val="000000"/>
        </w:rPr>
        <w:t>Das Eigentum von Teammitgliedern, das sie zur Wahrnehmung ihres Amtes benötigen, darf nicht beschlagnahmt werden. In Zivilverfahren dürfen Teammitglieder keinen Einschränkungen ihrer persönlichen Freiheit oder anderen Zwangsmaßnahmen unterworfen werden.</w:t>
      </w:r>
    </w:p>
    <w:p>
      <w:pPr>
        <w:rPr>
          <w:rFonts w:eastAsia="Times New Roman"/>
          <w:noProof/>
          <w:color w:val="000000"/>
          <w:szCs w:val="24"/>
        </w:rPr>
      </w:pPr>
      <w:r>
        <w:rPr>
          <w:noProof/>
        </w:rPr>
        <w:t>Die Teammitglieder unterliegen hinsichtlich ihrer für die Agentur geleisteten Dienste nicht den in Bosnien und Herzegowina geltenden Vorschriften im Bereich der sozialen Sicherheit.</w:t>
      </w:r>
      <w:r>
        <w:rPr>
          <w:noProof/>
          <w:color w:val="000000"/>
        </w:rPr>
        <w:t xml:space="preserve"> </w:t>
      </w:r>
      <w:r>
        <w:rPr>
          <w:noProof/>
        </w:rPr>
        <w:t>Außerdem sind sie in Bosnien und Herzegowina von jeder Form der Besteuerung der Gehälter und Bezüge, die sie von der Agentur oder den Herkunftsmitgliedstaaten erhalten, sowie der Einkünfte, die sie außerhalb von Bosnien und Herzegowina beziehen, befreit.</w:t>
      </w:r>
    </w:p>
    <w:p>
      <w:pPr>
        <w:rPr>
          <w:rFonts w:eastAsia="Times New Roman"/>
          <w:noProof/>
          <w:color w:val="000000"/>
          <w:szCs w:val="24"/>
        </w:rPr>
      </w:pPr>
      <w:r>
        <w:rPr>
          <w:noProof/>
        </w:rPr>
        <w:t>Die Behörden von Bosnien und Herzegowina gestatten die Ein- und Ausfuhr von Gegenständen für den persönlichen Gebrauch der Teammitglieder und befreien sie von allen Zöllen, Steuern und sonstigen Abgaben (mit Ausnahme der Kosten für Lagerung oder Transport oder ähnliche Leistungen).</w:t>
      </w:r>
      <w:r>
        <w:rPr>
          <w:noProof/>
          <w:color w:val="000000"/>
        </w:rPr>
        <w:t xml:space="preserve"> </w:t>
      </w:r>
    </w:p>
    <w:p>
      <w:pPr>
        <w:spacing w:after="0"/>
        <w:rPr>
          <w:rFonts w:eastAsia="Times New Roman"/>
          <w:noProof/>
          <w:color w:val="000000"/>
          <w:szCs w:val="24"/>
        </w:rPr>
      </w:pPr>
      <w:r>
        <w:rPr>
          <w:noProof/>
        </w:rPr>
        <w:t>Das persönliche Gepäck der Teammitglieder darf nur kontrolliert werden, wenn ein begründeter Verdacht besteht, dass es Gegenstände enthält, die nicht für den persönlichen Gebrauch bestimmt sind oder deren Ein- oder Ausfuhr nach dem Recht von Bosnien und Herzegowina untersagt ist oder die Quarantänevorschriften unterliegen.</w:t>
      </w:r>
      <w:r>
        <w:rPr>
          <w:noProof/>
          <w:color w:val="000000"/>
        </w:rPr>
        <w:t xml:space="preserve"> In diesen Fällen darf die Kontrolle nur in Gegenwart des/der betreffenden Teammitglieds/er oder eines bevollmächtigten Vertreters der Agentur stattfinden.</w:t>
      </w:r>
    </w:p>
    <w:p>
      <w:pPr>
        <w:rPr>
          <w:rFonts w:eastAsia="Times New Roman"/>
          <w:noProof/>
          <w:color w:val="000000"/>
          <w:szCs w:val="24"/>
        </w:rPr>
      </w:pPr>
      <w:r>
        <w:rPr>
          <w:noProof/>
          <w:color w:val="000000"/>
        </w:rPr>
        <w:t xml:space="preserve">Dokumente, Schriftsachen und Eigentum der Teammitglieder sind unverletzlich, es sei denn, es handelt sich um Vollstreckungsmaßnahmen. </w:t>
      </w:r>
    </w:p>
    <w:p>
      <w:pPr>
        <w:spacing w:after="240"/>
        <w:rPr>
          <w:rFonts w:eastAsia="Times New Roman"/>
          <w:noProof/>
          <w:color w:val="000000"/>
          <w:szCs w:val="24"/>
        </w:rPr>
      </w:pPr>
      <w:r>
        <w:rPr>
          <w:noProof/>
        </w:rPr>
        <w:t xml:space="preserve">Unter uneingeschränkter Achtung der Bestimmungen über die Immunität vor der Straf-, Zivil- und Verwaltungsgerichtsbarkeit können die zuständigen Behörden von Bosnien und Herzegowina Teammitglieder, die Zeugen sind, verpflichten, eine Zeugenaussage zu machen. </w:t>
      </w:r>
    </w:p>
    <w:p>
      <w:pPr>
        <w:rPr>
          <w:i/>
          <w:noProof/>
        </w:rPr>
      </w:pPr>
      <w:r>
        <w:rPr>
          <w:i/>
          <w:noProof/>
        </w:rPr>
        <w:t xml:space="preserve">Sonderausweis </w:t>
      </w:r>
    </w:p>
    <w:p>
      <w:pPr>
        <w:spacing w:after="240"/>
        <w:rPr>
          <w:rFonts w:eastAsia="Times New Roman"/>
          <w:noProof/>
          <w:color w:val="000000"/>
          <w:szCs w:val="24"/>
        </w:rPr>
      </w:pPr>
      <w:r>
        <w:rPr>
          <w:noProof/>
        </w:rPr>
        <w:t>Die Agentur gibt in Zusammenarbeit mit Bosnien und Herzegowina für die Teammitglieder einen Sonderausweis aus, der als Identitätsnachweis gegenüber den Behörden von Bosnien und Herzegowina und als Nachweis ihres Rechts, die Aufgaben und Befugnisse gemäß dieser Vereinbarung und dem Einsatzplan wahrzunehmen, dient.</w:t>
      </w:r>
      <w:r>
        <w:rPr>
          <w:noProof/>
          <w:color w:val="000000"/>
        </w:rPr>
        <w:t xml:space="preserve"> </w:t>
      </w:r>
      <w:r>
        <w:rPr>
          <w:noProof/>
        </w:rPr>
        <w:t>Der Sonderausweis in Verbindung mit einem gültigen Reisedokument ermöglicht dem Teammitglied die Einreise nach Bosnien und Herzegowina ohne Visum oder vorherige Genehmigung.</w:t>
      </w:r>
      <w:r>
        <w:rPr>
          <w:noProof/>
          <w:color w:val="000000"/>
        </w:rPr>
        <w:t xml:space="preserve"> Er ist der Agentur nach Abschluss der Aktion zurückzugeben. </w:t>
      </w:r>
    </w:p>
    <w:p>
      <w:pPr>
        <w:rPr>
          <w:rFonts w:eastAsia="Times New Roman"/>
          <w:i/>
          <w:noProof/>
          <w:color w:val="000000"/>
          <w:szCs w:val="24"/>
        </w:rPr>
      </w:pPr>
      <w:r>
        <w:rPr>
          <w:i/>
          <w:noProof/>
          <w:color w:val="000000"/>
        </w:rPr>
        <w:t>Grundrechte</w:t>
      </w:r>
    </w:p>
    <w:p>
      <w:pPr>
        <w:rPr>
          <w:rFonts w:eastAsia="Times New Roman"/>
          <w:noProof/>
          <w:color w:val="000000"/>
          <w:szCs w:val="24"/>
        </w:rPr>
      </w:pPr>
      <w:r>
        <w:rPr>
          <w:noProof/>
          <w:color w:val="000000"/>
        </w:rPr>
        <w:t>Bei der Wahrnehmung ihrer Aufgaben und Befugnisse achten die Teammitglieder die Grundrechte und Grundfreiheiten, darunter das Recht auf Zugang zu Asylverfahren, die Würde des Menschen, das Verbot von Folter und unmenschlicher oder erniedrigender Behandlung, das Recht auf Freiheit, den Grundsatz der Nichtzurückweisung und das Verbot von Kollektivausweisungen, die Rechte des Kindes und das Recht auf Achtung des Privat- und Familienlebens, in vollem Umfang. Sie dürfen Personen nicht willkürlich aus Gründen des Geschlechts, der Rasse oder ethnischen Herkunft, der Religion oder Weltanschauung, einer Behinderung, des Alters oder der sexuellen Orientierung diskriminieren. Alle Maßnahmen, die diese Grundrechte und Grundfreiheiten berühren, müssen in einem angemessenen Verhältnis zu den verfolgten Zielen stehen und den Wesensgehalt dieser Grundrechte und Grundfreiheiten achten.</w:t>
      </w:r>
    </w:p>
    <w:p>
      <w:pPr>
        <w:spacing w:after="240"/>
        <w:rPr>
          <w:rFonts w:eastAsia="Times New Roman"/>
          <w:noProof/>
          <w:color w:val="000000"/>
          <w:szCs w:val="24"/>
        </w:rPr>
      </w:pPr>
      <w:r>
        <w:rPr>
          <w:noProof/>
          <w:color w:val="000000"/>
        </w:rPr>
        <w:t xml:space="preserve">Jede Vertragspartei muss über ein Beschwerdeverfahren für mutmaßliche Verletzungen der Grundrechte durch sein Personal verfügen. Die Agentur hat dieses Beschwerdeverfahren gemäß Artikel 72 der Verordnung (EU) 2016/1624 über die Europäische Grenz- und Küstenwache eingeführt und erfüllt damit diese Verpflichtung. </w:t>
      </w:r>
      <w:r>
        <w:rPr>
          <w:noProof/>
        </w:rPr>
        <w:t>Der Bürgerbeauftragte von Bosnien und Herzegowina („Menschenrechtsbeauftragter“ von Bosnien und Herzegowina) kann sich mit derartigen Vorwürfen befassen, es sei denn, Bosnien und Herzegowina beschließt, einen speziellen Mechanismus für die im Rahmen dieser Vereinbarung eingereichten Beschwerden zu schaffen.</w:t>
      </w:r>
      <w:r>
        <w:rPr>
          <w:noProof/>
          <w:color w:val="000000"/>
        </w:rPr>
        <w:t xml:space="preserve">  </w:t>
      </w:r>
    </w:p>
    <w:p>
      <w:pPr>
        <w:rPr>
          <w:rFonts w:eastAsia="Times New Roman"/>
          <w:i/>
          <w:noProof/>
          <w:color w:val="000000"/>
          <w:szCs w:val="24"/>
        </w:rPr>
      </w:pPr>
      <w:r>
        <w:rPr>
          <w:i/>
          <w:noProof/>
          <w:color w:val="000000"/>
        </w:rPr>
        <w:t>Verarbeitung personenbezogener Daten</w:t>
      </w:r>
    </w:p>
    <w:p>
      <w:pPr>
        <w:rPr>
          <w:rFonts w:eastAsia="Times New Roman"/>
          <w:i/>
          <w:noProof/>
          <w:color w:val="000000"/>
          <w:szCs w:val="24"/>
        </w:rPr>
      </w:pPr>
      <w:r>
        <w:rPr>
          <w:noProof/>
          <w:color w:val="000000"/>
        </w:rPr>
        <w:t xml:space="preserve">Sofern dies erforderlich ist, verarbeiten die Teammitglieder personenbezogene Daten unter Einhaltung des Grundsatzes der Verhältnismäßigkeit und im Einklang mit den Vorschriften der Agentur und der Mitgliedstaaten der Europäischen Union. </w:t>
      </w:r>
      <w:r>
        <w:rPr>
          <w:noProof/>
        </w:rPr>
        <w:t>Die Verarbeitung personenbezogener Daten durch die Behörden von Bosnien und Herzegowina erfolgt nach dem Recht dieses Landes.</w:t>
      </w:r>
    </w:p>
    <w:p>
      <w:pPr>
        <w:spacing w:after="240"/>
        <w:rPr>
          <w:rFonts w:eastAsia="Times New Roman"/>
          <w:i/>
          <w:noProof/>
          <w:color w:val="000000"/>
          <w:szCs w:val="24"/>
        </w:rPr>
      </w:pPr>
      <w:r>
        <w:rPr>
          <w:noProof/>
        </w:rPr>
        <w:t>Die Agentur, die teilnehmenden Mitgliedstaaten und die Behörden von Bosnien und Herzegowina erstellen nach Abschluss einer jeden Aktion einen gemeinsamen Bericht über die Verarbeitung personenbezogener Daten durch die Teammitglieder.</w:t>
      </w:r>
      <w:r>
        <w:rPr>
          <w:noProof/>
          <w:color w:val="000000"/>
        </w:rPr>
        <w:t xml:space="preserve"> </w:t>
      </w:r>
      <w:r>
        <w:rPr>
          <w:noProof/>
        </w:rPr>
        <w:t>Der Bericht wird dem Grundrechtsbeauftragten und dem Datenschutzbeauftragten der Agentur sowie den zuständigen Behörden von Bosnien und Herzegowina übermittelt.</w:t>
      </w:r>
      <w:r>
        <w:rPr>
          <w:noProof/>
          <w:color w:val="000000"/>
        </w:rPr>
        <w:t xml:space="preserve"> Der Grundrechtsbeauftragte und der Datenschutzbeauftragte der Agentur erstatten wiederum dem Exekutivdirektor der Agentur Bericht.</w:t>
      </w:r>
    </w:p>
    <w:p>
      <w:pPr>
        <w:rPr>
          <w:i/>
          <w:noProof/>
        </w:rPr>
      </w:pPr>
      <w:r>
        <w:rPr>
          <w:i/>
          <w:noProof/>
        </w:rPr>
        <w:t>Aussetzung und Beendigung der Aktion</w:t>
      </w:r>
    </w:p>
    <w:p>
      <w:pPr>
        <w:spacing w:after="240"/>
        <w:rPr>
          <w:rFonts w:eastAsia="Times New Roman"/>
          <w:noProof/>
        </w:rPr>
      </w:pPr>
      <w:r>
        <w:rPr>
          <w:noProof/>
        </w:rPr>
        <w:t xml:space="preserve">Sowohl die Agentur als auch die Grenzpolizei von Bosnien und Herzegowina können die Aktion aussetzen oder beenden, wenn sie der Auffassung sind, dass die Bestimmungen der Vereinbarung oder des Einsatzplans von der anderen Partei nicht eingehalten werden. </w:t>
      </w:r>
    </w:p>
    <w:p>
      <w:pPr>
        <w:rPr>
          <w:rFonts w:eastAsia="Times New Roman"/>
          <w:i/>
          <w:noProof/>
          <w:color w:val="000000"/>
          <w:szCs w:val="24"/>
        </w:rPr>
      </w:pPr>
      <w:r>
        <w:rPr>
          <w:i/>
          <w:noProof/>
          <w:color w:val="000000"/>
        </w:rPr>
        <w:t>Auslegung und Streitbeilegung</w:t>
      </w:r>
    </w:p>
    <w:p>
      <w:pPr>
        <w:spacing w:before="0"/>
        <w:rPr>
          <w:rFonts w:eastAsia="Times New Roman"/>
          <w:noProof/>
          <w:color w:val="000000"/>
          <w:szCs w:val="24"/>
        </w:rPr>
      </w:pPr>
      <w:r>
        <w:rPr>
          <w:noProof/>
        </w:rPr>
        <w:t>Alle Fragen im Zusammenhang mit der Anwendung dieser Vereinbarung werden von Vertretern der Grenzpolizei von Bosnien und Herzegowina und der Agentur, die den/die Nachbarmitgliedstaat/en von Bosnien und Herzegowina konsultiert, gemeinsam geprüft.</w:t>
      </w:r>
      <w:r>
        <w:rPr>
          <w:noProof/>
          <w:color w:val="000000"/>
        </w:rPr>
        <w:t xml:space="preserve"> </w:t>
      </w:r>
    </w:p>
    <w:p>
      <w:pPr>
        <w:spacing w:before="0"/>
        <w:rPr>
          <w:rFonts w:eastAsia="Times New Roman"/>
          <w:iCs/>
          <w:noProof/>
        </w:rPr>
      </w:pPr>
      <w:r>
        <w:rPr>
          <w:noProof/>
        </w:rPr>
        <w:t>Kommt eine vorherige Einigung nicht zustande, werden Streitigkeiten über die Auslegung oder Anwendung dieser Vereinbarung ausschließlich im Wege von Verhandlungen zwischen Bosnien und Herzegowina und der Europäischen Kommission geregelt, die den/die Nachbarmitgliedstaat/en von Bosnien und Herzegowina konsultiert.</w:t>
      </w:r>
    </w:p>
    <w:p>
      <w:pPr>
        <w:rPr>
          <w:rFonts w:eastAsia="Times New Roman"/>
          <w:i/>
          <w:noProof/>
          <w:color w:val="000000"/>
          <w:szCs w:val="24"/>
        </w:rPr>
      </w:pPr>
      <w:r>
        <w:rPr>
          <w:i/>
          <w:noProof/>
          <w:color w:val="000000"/>
        </w:rPr>
        <w:t>Gemeinsame Erklärungen</w:t>
      </w:r>
    </w:p>
    <w:p>
      <w:pPr>
        <w:rPr>
          <w:rFonts w:eastAsia="Times New Roman"/>
          <w:noProof/>
          <w:color w:val="000000"/>
          <w:szCs w:val="24"/>
        </w:rPr>
      </w:pPr>
      <w:r>
        <w:rPr>
          <w:noProof/>
        </w:rPr>
        <w:t>Beide Vertragsparteien nehmen zur Kenntnis, dass die Europäische Agentur für die Grenz- und Küstenwache Bosnien und Herzegowina dabei unterstützen wird, seine Grenzen mit Ländern, die keine Mitgliedstaaten der Europäischen Union sind, effizient zu schützen, ohne europäische Grenz- und Küstenwacheteams mit exekutiven Befugnissen zu entsenden.</w:t>
      </w:r>
    </w:p>
    <w:p>
      <w:pPr>
        <w:rPr>
          <w:noProof/>
          <w:szCs w:val="24"/>
        </w:rPr>
      </w:pPr>
      <w:r>
        <w:rPr>
          <w:noProof/>
        </w:rPr>
        <w:t>Die enge Assoziierung Norwegens, Islands, der Schweiz und Liechtensteins bei der Umsetzung, Anwendung und Entwicklung des Schengen-Besitzstands ist Gegenstand einer gemeinsamen Erklärung zu dieser Vereinbarung.</w:t>
      </w:r>
    </w:p>
    <w:p>
      <w:pPr>
        <w:spacing w:after="240" w:line="360" w:lineRule="auto"/>
        <w:jc w:val="center"/>
        <w:rPr>
          <w:rFonts w:eastAsia="Times New Roman"/>
          <w:noProof/>
          <w:color w:val="000000"/>
          <w:szCs w:val="24"/>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2019/0057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die Unterzeichnung – im Namen der Union – der Vereinbarung zwischen der Europäischen Union und Bosnien und Herzegowina über die Durchführung von Aktionen durch die Europäische Agentur für die Grenz- und Küstenwache in Bosnien und Herzegowina</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77 Absatz 2 Buchstaben b und d und Artikel 79 Absatz 2 Buchstabe c in Verbindung mit Artikel 218 Absatz 5,</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Artikel 54 Absatz 4 der Verordnung (EU) 2016/1624 des Europäischen Parlaments und des Rates</w:t>
      </w:r>
      <w:r>
        <w:rPr>
          <w:rStyle w:val="FootnoteReference"/>
          <w:noProof/>
        </w:rPr>
        <w:footnoteReference w:id="5"/>
      </w:r>
      <w:r>
        <w:rPr>
          <w:noProof/>
        </w:rPr>
        <w:t xml:space="preserve"> schreibt vor, dass in Fällen, in denen es vorgesehen ist, dass europäische Grenz- und Küstenwacheteams in einem Drittland zum Einsatz zu Aktionen kommen, bei denen die Teammitglieder exekutive Befugnisse haben, oder wenn andere Aktionen in Drittländern dies erfordern, zwischen der Union und dem betreffenden Drittstaat eine Statusvereinbarung geschlossen wird. Diese Vereinbarung sollte alle Aspekte umfassen, die zur Durchführung der Aktionen erforderlich sind.</w:t>
      </w:r>
    </w:p>
    <w:p>
      <w:pPr>
        <w:pStyle w:val="ManualConsidrant"/>
        <w:rPr>
          <w:noProof/>
        </w:rPr>
      </w:pPr>
      <w:r>
        <w:t>(2)</w:t>
      </w:r>
      <w:r>
        <w:tab/>
      </w:r>
      <w:r>
        <w:rPr>
          <w:noProof/>
        </w:rPr>
        <w:t xml:space="preserve">Am 16. Oktober 2017 ermächtigte der Rat die Kommission zur Aufnahme von Verhandlungen mit Bosnien und Herzegowina im Hinblick auf eine Vereinbarung über die Durchführung von Aktionen durch die Europäische Agentur für die Grenz- und Küstenwache in Bosnien und Herzegowina (im Folgenden „Vereinbarung“). </w:t>
      </w:r>
    </w:p>
    <w:p>
      <w:pPr>
        <w:pStyle w:val="ManualConsidrant"/>
        <w:rPr>
          <w:noProof/>
        </w:rPr>
      </w:pPr>
      <w:r>
        <w:t>(3)</w:t>
      </w:r>
      <w:r>
        <w:tab/>
      </w:r>
      <w:r>
        <w:rPr>
          <w:noProof/>
        </w:rPr>
        <w:t xml:space="preserve">Die Verhandlungen wurden mit der Paraphierung der Vereinbarung erfolgreich abgeschlossen. </w:t>
      </w:r>
    </w:p>
    <w:p>
      <w:pPr>
        <w:pStyle w:val="ManualConsidrant"/>
        <w:rPr>
          <w:noProof/>
          <w:szCs w:val="24"/>
        </w:rPr>
      </w:pPr>
      <w:r>
        <w:t>(4)</w:t>
      </w:r>
      <w:r>
        <w:tab/>
      </w:r>
      <w:r>
        <w:rPr>
          <w:noProof/>
        </w:rPr>
        <w:t>Der vorliegende Beschluss stellt eine Weiterentwicklung der Bestimmungen des Schengen-Besitzstands dar, an denen sich das Vereinigte Königreich gemäß dem Beschluss 2000/365/EG des Rates</w:t>
      </w:r>
      <w:r>
        <w:rPr>
          <w:rStyle w:val="FootnoteReference"/>
          <w:noProof/>
        </w:rPr>
        <w:footnoteReference w:id="6"/>
      </w:r>
      <w:r>
        <w:rPr>
          <w:noProof/>
        </w:rPr>
        <w:t xml:space="preserve"> nicht beteiligt; das Vereinigte Königreich beteiligt sich daher nicht an der Annahme des vorliegenden Beschlusses und ist weder durch ihn gebunden noch zu seiner Anwendung verpflichtet. </w:t>
      </w:r>
    </w:p>
    <w:p>
      <w:pPr>
        <w:pStyle w:val="ManualConsidrant"/>
        <w:rPr>
          <w:noProof/>
          <w:szCs w:val="24"/>
        </w:rPr>
      </w:pPr>
      <w:r>
        <w:t>(5)</w:t>
      </w:r>
      <w:r>
        <w:tab/>
      </w:r>
      <w:r>
        <w:rPr>
          <w:noProof/>
        </w:rPr>
        <w:t>Der vorliegende Beschluss stellt eine Weiterentwicklung der Bestimmungen des Schengen-Besitzstands dar, an denen sich Irland gemäß dem Beschluss 2002/192/EG des Rates</w:t>
      </w:r>
      <w:r>
        <w:rPr>
          <w:rStyle w:val="FootnoteReference"/>
          <w:noProof/>
        </w:rPr>
        <w:footnoteReference w:id="7"/>
      </w:r>
      <w:r>
        <w:rPr>
          <w:noProof/>
        </w:rPr>
        <w:t xml:space="preserve"> nicht beteiligt; Irland beteiligt sich daher nicht an der Annahme des vorliegenden Beschlusses und ist weder durch ihn gebunden noch zu seiner Anwendung verpflichtet.</w:t>
      </w:r>
    </w:p>
    <w:p>
      <w:pPr>
        <w:pStyle w:val="ManualConsidrant"/>
        <w:rPr>
          <w:noProof/>
          <w:szCs w:val="24"/>
        </w:rPr>
      </w:pPr>
      <w:r>
        <w:t>(6)</w:t>
      </w:r>
      <w:r>
        <w:tab/>
      </w:r>
      <w:r>
        <w:rPr>
          <w:noProof/>
        </w:rPr>
        <w:t>Nach den Artikeln 1 und 2 des Protokolls Nr. 22 über die Position Dänemarks im Anhang des Vertrags über die Europäische Union und des Vertrags über die Arbeitsweise der Europäischen Union beteiligt sich Dänemark nicht an der Annahme des vorliegenden Beschlusses und ist weder durch ihn gebunden noch zu seiner Anwendung verpflichtet.</w:t>
      </w:r>
    </w:p>
    <w:p>
      <w:pPr>
        <w:pStyle w:val="ManualConsidrant"/>
        <w:rPr>
          <w:noProof/>
        </w:rPr>
      </w:pPr>
      <w:r>
        <w:t>(7)</w:t>
      </w:r>
      <w:r>
        <w:tab/>
      </w:r>
      <w:r>
        <w:rPr>
          <w:noProof/>
        </w:rPr>
        <w:t xml:space="preserve">Daher sollte die Vereinbarung vorbehaltlich ihres Abschlusses zu einem späteren Zeitpunkt im Namen der Union unterzeichnet werden, und die ihr beigefügten Erklärungen sollten genehmigt werden —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Die Unterzeichnung der Vereinbarung zwischen der Europäischen Union und Bosnien und Herzegowina über die Durchführung von Aktionen durch die Europäische Agentur für die Grenz- und Küstenwache in Bosnien und Herzegowina (im Folgenden „Vereinbarung“) wird vorbehaltlich des Abschlusses der genannten Vereinbarung im Namen der Union genehmigt.</w:t>
      </w:r>
    </w:p>
    <w:p>
      <w:pPr>
        <w:pStyle w:val="Titrearticle"/>
        <w:rPr>
          <w:noProof/>
        </w:rPr>
      </w:pPr>
      <w:r>
        <w:rPr>
          <w:noProof/>
        </w:rPr>
        <w:t>Artikel 2</w:t>
      </w:r>
    </w:p>
    <w:p>
      <w:pPr>
        <w:rPr>
          <w:noProof/>
        </w:rPr>
      </w:pPr>
      <w:r>
        <w:rPr>
          <w:noProof/>
        </w:rPr>
        <w:t xml:space="preserve">Die diesem Beschluss beigefügten Erklärungen werden im Namen der Union genehmigt. </w:t>
      </w:r>
    </w:p>
    <w:p>
      <w:pPr>
        <w:pStyle w:val="Titrearticle"/>
        <w:rPr>
          <w:noProof/>
        </w:rPr>
      </w:pPr>
      <w:r>
        <w:rPr>
          <w:noProof/>
        </w:rPr>
        <w:t xml:space="preserve">Artikel 3 </w:t>
      </w:r>
    </w:p>
    <w:p>
      <w:pPr>
        <w:rPr>
          <w:noProof/>
        </w:rPr>
      </w:pPr>
      <w:r>
        <w:rPr>
          <w:noProof/>
        </w:rPr>
        <w:t>Vorbehaltlich des Abschlusses der Vereinbarung stellt das Generalsekretariat des Rates die zu ihrer Unterzeichnung erforderliche Bevollmächtigungsurkunde für die vom Verhandlungsführer der Vereinbarung benannte(n) Person(en) aus.</w:t>
      </w:r>
    </w:p>
    <w:p>
      <w:pPr>
        <w:pStyle w:val="Titrearticle"/>
        <w:rPr>
          <w:noProof/>
        </w:rPr>
      </w:pPr>
      <w:r>
        <w:rPr>
          <w:noProof/>
        </w:rPr>
        <w:t>Artikel 4</w:t>
      </w:r>
    </w:p>
    <w:p>
      <w:pPr>
        <w:keepLines/>
        <w:rPr>
          <w:noProof/>
        </w:rPr>
      </w:pPr>
      <w:r>
        <w:rPr>
          <w:noProof/>
        </w:rPr>
        <w:t xml:space="preserve">Dieser Beschluss tritt am Tag seiner Annahme in Kraft. </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 xml:space="preserve">ABl. L 251 vom 16.9.2016, S. 1. </w:t>
      </w:r>
    </w:p>
  </w:footnote>
  <w:footnote w:id="2">
    <w:p>
      <w:pPr>
        <w:pStyle w:val="FootnoteText"/>
        <w:rPr>
          <w:lang w:val="pt-PT"/>
        </w:rPr>
      </w:pPr>
      <w:r>
        <w:rPr>
          <w:rStyle w:val="FootnoteReference"/>
        </w:rPr>
        <w:footnoteRef/>
      </w:r>
      <w:r>
        <w:rPr>
          <w:lang w:val="pt-PT"/>
        </w:rPr>
        <w:tab/>
        <w:t xml:space="preserve">COM(2015) 240 final. </w:t>
      </w:r>
    </w:p>
  </w:footnote>
  <w:footnote w:id="3">
    <w:p>
      <w:pPr>
        <w:pStyle w:val="FootnoteText"/>
        <w:rPr>
          <w:lang w:val="pt-PT"/>
        </w:rPr>
      </w:pPr>
      <w:r>
        <w:rPr>
          <w:rStyle w:val="FootnoteReference"/>
        </w:rPr>
        <w:footnoteRef/>
      </w:r>
      <w:r>
        <w:rPr>
          <w:lang w:val="pt-PT"/>
        </w:rPr>
        <w:tab/>
        <w:t xml:space="preserve">COM(2015) 185 final. </w:t>
      </w:r>
    </w:p>
  </w:footnote>
  <w:footnote w:id="4">
    <w:p>
      <w:pPr>
        <w:pStyle w:val="FootnoteText"/>
        <w:rPr>
          <w:lang w:val="pt-PT"/>
        </w:rPr>
      </w:pPr>
      <w:r>
        <w:rPr>
          <w:rStyle w:val="FootnoteReference"/>
        </w:rPr>
        <w:footnoteRef/>
      </w:r>
      <w:r>
        <w:rPr>
          <w:lang w:val="pt-PT"/>
        </w:rPr>
        <w:tab/>
        <w:t>ABl. L 334 vom 19.12.2007, S. 66.</w:t>
      </w:r>
    </w:p>
  </w:footnote>
  <w:footnote w:id="5">
    <w:p>
      <w:pPr>
        <w:pStyle w:val="FootnoteText"/>
      </w:pPr>
      <w:r>
        <w:rPr>
          <w:rStyle w:val="FootnoteReference"/>
        </w:rPr>
        <w:footnoteRef/>
      </w:r>
      <w:r>
        <w:tab/>
        <w:t>Verordnung (EU) 2016/1624 des Europäischen Parlaments und des Rates vom 14. September 2016 über die Europäische Grenz- und Küstenwache und zur Änderung der Verordnung (EU) 2016/399 des Europäischen Parlaments und des Rates sowie zur Aufhebung der Verordnung (EG) Nr. 863/2007 des Europäischen Parlaments und des Rates, der Verordnung (EG) Nr. 2007/2004 des Rates und der Entscheidung des Rates 2005/267/EG (ABl. L 251 vom 16.9.2016, S. 1).</w:t>
      </w:r>
    </w:p>
  </w:footnote>
  <w:footnote w:id="6">
    <w:p>
      <w:pPr>
        <w:pStyle w:val="FootnoteText"/>
      </w:pPr>
      <w:r>
        <w:rPr>
          <w:rStyle w:val="FootnoteReference"/>
        </w:rPr>
        <w:footnoteRef/>
      </w:r>
      <w:r>
        <w:tab/>
        <w:t>Beschluss 2000/365/EG des Rates vom 29. Mai 2000 zum Antrag des Vereinigten Königreichs Großbritannien und Nordirland, einzelne Bestimmungen des Schengen-Besitzstands auf es anzuwenden (ABl. L 131 vom 1.6.2000, S. 43).</w:t>
      </w:r>
    </w:p>
  </w:footnote>
  <w:footnote w:id="7">
    <w:p>
      <w:pPr>
        <w:pStyle w:val="FootnoteText"/>
      </w:pPr>
      <w:r>
        <w:rPr>
          <w:rStyle w:val="FootnoteReference"/>
        </w:rPr>
        <w:footnoteRef/>
      </w:r>
      <w:r>
        <w:tab/>
        <w:t>Beschluss 2002/192/EG des Rates vom 28. Februar 2002 zum Antrag Irlands auf Anwendung einzelner Bestimmungen des Schengen-Besitzstands auf Irland (ABl. L 64 vom 7.3.2002, S.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12C5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4060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898D7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E36A2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DE4A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4347F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AA84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2E0A95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31:5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87A9F99-E13F-49FD-81F9-E908B7F228FA"/>
    <w:docVar w:name="LW_COVERPAGE_TYPE" w:val="1"/>
    <w:docVar w:name="LW_CROSSREFERENCE" w:val="&lt;UNUSED&gt;"/>
    <w:docVar w:name="LW_DocType" w:val="COM"/>
    <w:docVar w:name="LW_EMISSION" w:val="28.2.2019"/>
    <w:docVar w:name="LW_EMISSION_ISODATE" w:val="2019-02-28"/>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57"/>
    <w:docVar w:name="LW_REF.II.NEW.CP_YEAR" w:val="2019"/>
    <w:docVar w:name="LW_REF.INST.NEW" w:val="COM"/>
    <w:docVar w:name="LW_REF.INST.NEW_ADOPTED" w:val="final"/>
    <w:docVar w:name="LW_REF.INST.NEW_TEXT" w:val="(2019) 1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ie Unterzeichnung \u8211? im Namen der Union \u8211? der Vereinbarung zwischen der Europäischen Union und Bosnien und Herzegowina über die Durchführung von Aktionen durch die Europäische Agentur für die Grenz- und Küstenwache in Bosnien und Herzegowina"/>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strike w:val="0"/>
      <w:dstrike w:val="0"/>
      <w:color w:val="0065A2"/>
      <w:u w:val="none"/>
      <w:effect w:val="none"/>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EAF1-9328-4CCE-9573-89016013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11</Pages>
  <Words>3417</Words>
  <Characters>23169</Characters>
  <Application>Microsoft Office Word</Application>
  <DocSecurity>0</DocSecurity>
  <Lines>386</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2019-02-14T12:51:00Z</cp:lastPrinted>
  <dcterms:created xsi:type="dcterms:W3CDTF">2019-02-18T10:10:00Z</dcterms:created>
  <dcterms:modified xsi:type="dcterms:W3CDTF">2019-02-19T16:31:00Z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