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DFFCC8E-F3BE-4503-88CC-124AEB43DF44" style="width:450.6pt;height:365.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rPr>
          <w:noProof/>
          <w:sz w:val="16"/>
          <w:szCs w:val="16"/>
        </w:rPr>
      </w:pPr>
      <w:r>
        <w:rPr>
          <w:noProof/>
        </w:rPr>
        <w:t>Člankom 54. stavkom 3. Uredbe (EU) 2016/1624 Europskog parlamenta i Vijeća od 14. rujna 2016. o europskoj graničnoj i obalnoj straži</w:t>
      </w:r>
      <w:r>
        <w:rPr>
          <w:rStyle w:val="FootnoteReference"/>
          <w:noProof/>
        </w:rPr>
        <w:footnoteReference w:id="1"/>
      </w:r>
      <w:r>
        <w:rPr>
          <w:noProof/>
        </w:rPr>
        <w:t xml:space="preserve"> predviđeno je da Agencija za europsku graničnu i obalnu stražu može koordinirati operativnu suradnju država članica i trećih zemalja s obzirom na upravljanje vanjskim granicama. U tom pogledu Agencija može na vanjskim granicama provoditi djelovanja u koja su uključene jedna država članica ili više njih i treća zemlja koja graniči s barem jednom od tih država članica, uz suglasnost te susjedne zemlje, a ta djelovanja može provoditi i na državnom području te treće zemlje. </w:t>
      </w:r>
    </w:p>
    <w:p>
      <w:pPr>
        <w:rPr>
          <w:noProof/>
          <w:szCs w:val="24"/>
        </w:rPr>
      </w:pPr>
      <w:r>
        <w:rPr>
          <w:noProof/>
        </w:rPr>
        <w:t>U skladu s člankom 54. stavkom 4. Uredbe (EU) 2016/1624 u slučajevima kada je predviđeno raspoređivanje timova europske granične i obalne straže u trećoj zemlji u djelovanjima u kojima će članovi tima imati izvršne ovlasti ili kada se to zahtijeva za druga djelovanja u trećim zemljama, Unija sklapa sporazum o statusu s dotičnom trećom zemljom. Sporazum o statusu obuhvaća sve aspekte potrebne za provedbu tih djelovanja. Posebno se određuju opseg operacije, građanska i kaznena odgovornost te zadaće i ovlasti članova timova. Sporazumom o statusu osigurava se puno poštovanje temeljnih prava tijekom tih operacija.</w:t>
      </w:r>
    </w:p>
    <w:p>
      <w:pPr>
        <w:rPr>
          <w:iCs/>
          <w:noProof/>
          <w:szCs w:val="24"/>
        </w:rPr>
      </w:pPr>
      <w:r>
        <w:rPr>
          <w:noProof/>
        </w:rPr>
        <w:t xml:space="preserve">Na temelju pregovaračkih smjernica koje je donijelo Vijeće Europska komisija vodila je pregovore o sporazumu s Bosnom i Hercegovinom za djelovanja koja Agencija za europsku graničnu i obalnu stražu provodi u Bosni i Hercegovini („sporazum o statusu”) radi uspostave pravnog okvira kojim će se u slučaju potrebe za brzom reakcijom omogućiti neposredno djelovanje izradom operativnih planova. Iako su migracijski tokovi u regiji puno manjeg opsega nego 2015. i 2016., mreže organiziranog kriminala brzo prilagođavaju svoje rute i metode trgovine nezakonitim migrantima svakoj novoj situaciji. Od početka 2018. došlo je do povećanog priljeva migranata u Bosnu i Hercegovinu. Nakon sklapanja sporazuma o statusu nadležna tijela Bosne i Hercegovine i država članica EU-a, uz koordinaciju Agencije za europsku graničnu i obalnu stražu, bit će u mnogo boljem položaju da brzo odgovore na te promjene. </w:t>
      </w:r>
    </w:p>
    <w:p>
      <w:pPr>
        <w:rPr>
          <w:iCs/>
          <w:noProof/>
          <w:szCs w:val="24"/>
        </w:rPr>
      </w:pPr>
      <w:r>
        <w:rPr>
          <w:noProof/>
        </w:rPr>
        <w:t xml:space="preserve">Priloženi Prijedlog odluke Vijeća pravni je instrument za potpisivanje sporazuma o statusu između Europske unije i Bosne i Hercegovine. </w:t>
      </w:r>
    </w:p>
    <w:p>
      <w:pPr>
        <w:rPr>
          <w:noProof/>
        </w:rPr>
      </w:pPr>
      <w:r>
        <w:rPr>
          <w:noProof/>
        </w:rPr>
        <w:t xml:space="preserve">Komisija je 16. listopada 2017. dobila odobrenje Vijeća za otvaranje pregovora s Bosnom i Hercegovinom o sporazumu o statusu za djelovanja koja Agencija za europsku graničnu i obalnu stražu provodi u Bosni i Hercegovini. </w:t>
      </w:r>
    </w:p>
    <w:p>
      <w:pPr>
        <w:rPr>
          <w:iCs/>
          <w:noProof/>
          <w:szCs w:val="24"/>
        </w:rPr>
      </w:pPr>
      <w:r>
        <w:rPr>
          <w:noProof/>
        </w:rPr>
        <w:t xml:space="preserve">Pregovori o sporazumu o statusu otvoreni su 9. srpnja 2018., a drugi je krug održan 10. listopada 2018. Sporazum o statusu parafirali su voditelji pregovaračkih timova. </w:t>
      </w:r>
    </w:p>
    <w:p>
      <w:pPr>
        <w:rPr>
          <w:iCs/>
          <w:noProof/>
          <w:szCs w:val="24"/>
        </w:rPr>
      </w:pPr>
      <w:r>
        <w:rPr>
          <w:noProof/>
        </w:rPr>
        <w:t xml:space="preserve">Komisija smatra da su ciljevi koje je Vijeće odredilo u pregovaračkim smjernicama postignuti i da je sporazum o statusu prihvatljiv za Uniju. </w:t>
      </w:r>
    </w:p>
    <w:p>
      <w:pPr>
        <w:spacing w:after="240"/>
        <w:rPr>
          <w:iCs/>
          <w:noProof/>
          <w:szCs w:val="24"/>
        </w:rPr>
      </w:pPr>
      <w:r>
        <w:rPr>
          <w:noProof/>
        </w:rPr>
        <w:t xml:space="preserve">Države članice izvješćivane su te je s njima provedeno savjetovanje u okviru relevantne radne skupine Vijeća. </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spacing w:after="240"/>
        <w:rPr>
          <w:iCs/>
          <w:noProof/>
          <w:szCs w:val="24"/>
        </w:rPr>
      </w:pPr>
      <w:r>
        <w:rPr>
          <w:noProof/>
        </w:rPr>
        <w:t>Trenutačno četrnaest država članica ima važeće bilateralne sporazume s Bosnom i Hercegovinom koji uključuju niz zajedničkih mjera kao što su granične kontrole, zaštita državne granice, ophodnje, vraćanje itd. Na snazi je i radni dogovor između Ministarstva sigurnosti Bosne i Hercegovine i Agencije za europsku graničnu i obalnu stražu koji uključuje redovito sudjelovanje predstavnika Granične policije Ministarstva sigurnosti u zajedničkim operacijama koje koordinira Agencija za europsku graničnu i obalnu stražu, kao promatrača na državnom području država članica, uz suglasnost države članice domaćina.</w:t>
      </w:r>
    </w:p>
    <w:p>
      <w:pPr>
        <w:pStyle w:val="ManualHeading2"/>
        <w:ind w:left="0" w:firstLine="0"/>
        <w:rPr>
          <w:rFonts w:eastAsia="Arial Unicode MS"/>
          <w:noProof/>
        </w:rPr>
      </w:pPr>
      <w:r>
        <w:rPr>
          <w:noProof/>
          <w:color w:val="000000"/>
          <w:u w:color="000000"/>
          <w:bdr w:val="nil"/>
        </w:rPr>
        <w:t>•</w:t>
      </w:r>
      <w:r>
        <w:rPr>
          <w:noProof/>
        </w:rPr>
        <w:tab/>
        <w:t>Dosljednost u odnosu na druge politike Unije</w:t>
      </w:r>
    </w:p>
    <w:p>
      <w:pPr>
        <w:rPr>
          <w:b/>
          <w:noProof/>
          <w:szCs w:val="24"/>
        </w:rPr>
      </w:pPr>
      <w:r>
        <w:rPr>
          <w:noProof/>
        </w:rPr>
        <w:t>Europski migracijski program</w:t>
      </w:r>
      <w:r>
        <w:rPr>
          <w:rStyle w:val="FootnoteReference"/>
          <w:noProof/>
        </w:rPr>
        <w:footnoteReference w:id="2"/>
      </w:r>
      <w:r>
        <w:rPr>
          <w:noProof/>
        </w:rPr>
        <w:t xml:space="preserve"> temelji se na četiri stupa. Jedan je od tih stupova upravljanje granicama: to uključuje bolje upravljanje vanjskom granicom EU-a, osobito putem solidarnosti s onim državama članicama koje se nalaze na vanjskim granicama, kao i poboljšanje učinkovitosti graničnih prijelaza. Pojačanim nadzorom granica Bosne i Hercegovine također će se pozitivno utjecati na vanjske granice EU-a, osobito na vanjske granice Hrvatske, kao i na granice Bosne i Hercegovine. Daljnje jačanje sigurnosti na vanjskim granicama u skladu je i s Europskim programom sigurnosti</w:t>
      </w:r>
      <w:r>
        <w:rPr>
          <w:rStyle w:val="FootnoteReference"/>
          <w:noProof/>
        </w:rPr>
        <w:footnoteReference w:id="3"/>
      </w:r>
      <w:r>
        <w:rPr>
          <w:noProof/>
        </w:rPr>
        <w:t xml:space="preserve">.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autoSpaceDE w:val="0"/>
        <w:autoSpaceDN w:val="0"/>
        <w:adjustRightInd w:val="0"/>
        <w:rPr>
          <w:noProof/>
          <w:szCs w:val="24"/>
        </w:rPr>
      </w:pPr>
      <w:r>
        <w:rPr>
          <w:noProof/>
        </w:rPr>
        <w:t xml:space="preserve">Pravna su osnova ovog Prijedloga odluke Vijeća članak 77. stavak 2. točke (b) i (d) te članak 79. stavak 2. točka (c) UFEU-a u vezi s člankom 218. stavkom 5. UFEU-a. </w:t>
      </w:r>
    </w:p>
    <w:p>
      <w:pPr>
        <w:autoSpaceDE w:val="0"/>
        <w:autoSpaceDN w:val="0"/>
        <w:adjustRightInd w:val="0"/>
        <w:rPr>
          <w:noProof/>
          <w:szCs w:val="24"/>
        </w:rPr>
      </w:pPr>
      <w:r>
        <w:rPr>
          <w:noProof/>
        </w:rPr>
        <w:t xml:space="preserve">Člankom 54. stavkom 4. Uredbe (EU) 2016/1624 izričito je predviđeno da EU sklapa sporazume o statusu jer se u njemu navodi da u slučajevima kada je predviđeno raspoređivanje timova europske granične i obalne straže u trećoj zemlji u djelovanjima u kojima će članovi tima imati izvršne ovlasti, ili kada je to potrebno za druga djelovanja u trećim zemljama, Unija sklapa sporazum o statusu s dotičnom trećom zemljom. </w:t>
      </w:r>
    </w:p>
    <w:p>
      <w:pPr>
        <w:autoSpaceDE w:val="0"/>
        <w:autoSpaceDN w:val="0"/>
        <w:adjustRightInd w:val="0"/>
        <w:rPr>
          <w:noProof/>
          <w:szCs w:val="24"/>
        </w:rPr>
      </w:pPr>
      <w:r>
        <w:rPr>
          <w:noProof/>
        </w:rPr>
        <w:t xml:space="preserve">U skladu s člankom 3. stavkom 2. UFEU-a Unija, među ostalim, ima isključivu nadležnost za sklapanje međunarodnog sporazuma kada je njegovo sklapanje predviđeno zakonodavnim aktom Unije. Člankom 54. stavkom 4. Uredbe (EU) 2016/1624 predviđa se sklapanje sporazuma o statusu između Europske unije i dotične treće zemlje. Slijedom toga priloženi sporazum s Bosnom i Hercegovinom u isključivoj je nadležnosti Europske unije. </w:t>
      </w:r>
    </w:p>
    <w:p>
      <w:pPr>
        <w:pStyle w:val="ManualHeading2"/>
        <w:rPr>
          <w:rFonts w:eastAsia="Arial Unicode MS"/>
          <w:noProof/>
          <w:u w:color="000000"/>
          <w:bdr w:val="nil"/>
        </w:rPr>
      </w:pPr>
      <w:r>
        <w:rPr>
          <w:noProof/>
        </w:rPr>
        <w:t>•</w:t>
      </w:r>
      <w:r>
        <w:rPr>
          <w:noProof/>
        </w:rPr>
        <w:tab/>
        <w:t xml:space="preserve">Supsidijarnost (za neisključivu nadležnost) </w:t>
      </w:r>
    </w:p>
    <w:p>
      <w:pPr>
        <w:pBdr>
          <w:top w:val="nil"/>
          <w:left w:val="nil"/>
          <w:bottom w:val="nil"/>
          <w:right w:val="nil"/>
          <w:between w:val="nil"/>
          <w:bar w:val="nil"/>
        </w:pBdr>
        <w:spacing w:before="0" w:after="240"/>
        <w:rPr>
          <w:noProof/>
        </w:rPr>
      </w:pPr>
      <w:r>
        <w:rPr>
          <w:noProof/>
        </w:rPr>
        <w:t xml:space="preserve">Nije primjenjivo. </w:t>
      </w:r>
    </w:p>
    <w:p>
      <w:pPr>
        <w:pStyle w:val="ManualHeading2"/>
        <w:rPr>
          <w:rFonts w:eastAsia="Arial Unicode MS"/>
          <w:noProof/>
          <w:u w:color="000000"/>
          <w:bdr w:val="nil"/>
        </w:rPr>
      </w:pPr>
      <w:r>
        <w:rPr>
          <w:noProof/>
        </w:rPr>
        <w:t>•</w:t>
      </w:r>
      <w:r>
        <w:rPr>
          <w:noProof/>
        </w:rPr>
        <w:tab/>
        <w:t>Proporcionalnost</w:t>
      </w:r>
    </w:p>
    <w:p>
      <w:pPr>
        <w:spacing w:after="240"/>
        <w:rPr>
          <w:noProof/>
          <w:szCs w:val="24"/>
        </w:rPr>
      </w:pPr>
      <w:r>
        <w:rPr>
          <w:noProof/>
        </w:rPr>
        <w:t xml:space="preserve">S obzirom na mreže organiziranog kriminala koje brzo prilagođavaju rute i načine trgovine nezakonitim migrantima, potrebno je da EU sudjeluje u poboljšanju kontrola na granicama Bosne i Hercegovine. Sporazum o statusu nužan je kako bi se nadležnim tijelima Bosne i Hercegovine i država članica EU-a omogućilo da uz koordinaciju Agencije za europsku graničnu i obalnu stražu brzo odgovore na takve moguće promjene. Sporazum o statusu omogućit će Agenciji za europsku graničnu i obalnu stražu da u slučaju iznenadnog priljeva migranata rasporedi timove europske granične i obalne straže u Bosni i Hercegovini. </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noProof/>
        </w:rPr>
      </w:pPr>
      <w:r>
        <w:rPr>
          <w:noProof/>
        </w:rPr>
        <w:t xml:space="preserve">Ovaj je Prijedlog u skladu s člankom 218. stavkom 5. UFEU-a, kojim se predviđa da Vijeće donosi odluke o međunarodnim sporazumima. Ne postoji drugi pravni instrument kojim bi se mogao postići cilj naveden u prijedlogu. </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rPr>
        <w:t>•</w:t>
      </w:r>
      <w:r>
        <w:rPr>
          <w:noProof/>
        </w:rPr>
        <w:tab/>
        <w:t>Ex post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2"/>
        <w:rPr>
          <w:rFonts w:eastAsia="Arial Unicode MS"/>
          <w:noProof/>
          <w:u w:color="000000"/>
          <w:bdr w:val="nil"/>
        </w:rPr>
      </w:pPr>
      <w:r>
        <w:rPr>
          <w:noProof/>
        </w:rPr>
        <w:t>•</w:t>
      </w:r>
      <w:r>
        <w:rPr>
          <w:noProof/>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noProof/>
          <w:szCs w:val="24"/>
        </w:rPr>
      </w:pPr>
      <w:r>
        <w:rPr>
          <w:noProof/>
        </w:rPr>
        <w:t xml:space="preserve">Procjena učinka nije potrebna za pregovore o sporazumu o statusu. </w:t>
      </w:r>
    </w:p>
    <w:p>
      <w:pPr>
        <w:pStyle w:val="ManualHeading2"/>
        <w:rPr>
          <w:rFonts w:eastAsia="Arial Unicode MS"/>
          <w:noProof/>
          <w:u w:color="000000"/>
          <w:bdr w:val="nil"/>
        </w:rPr>
      </w:pPr>
      <w:r>
        <w:rPr>
          <w:noProof/>
        </w:rPr>
        <w:t>•</w:t>
      </w:r>
      <w:r>
        <w:rPr>
          <w:noProof/>
        </w:rPr>
        <w:tab/>
        <w:t>Primjerenost propisa i pojednostavljivanje</w:t>
      </w:r>
    </w:p>
    <w:p>
      <w:pPr>
        <w:pStyle w:val="ManualHeading2"/>
        <w:ind w:left="0" w:firstLine="0"/>
        <w:rPr>
          <w:rFonts w:eastAsia="Arial Unicode MS"/>
          <w:b w:val="0"/>
          <w:noProof/>
          <w:u w:color="000000"/>
          <w:bdr w:val="nil"/>
        </w:rPr>
      </w:pPr>
      <w:r>
        <w:rPr>
          <w:b w:val="0"/>
          <w:noProof/>
        </w:rPr>
        <w:t>Budući da je riječ o novom sporazumu, nije se mogla provesti evaluacija ili provjera primjerenosti postojećih instrumenata.</w:t>
      </w:r>
    </w:p>
    <w:p>
      <w:pPr>
        <w:pStyle w:val="ManualHeading2"/>
        <w:ind w:left="0" w:firstLine="0"/>
        <w:rPr>
          <w:rFonts w:eastAsia="Arial Unicode MS"/>
          <w:noProof/>
          <w:u w:color="000000"/>
          <w:bdr w:val="nil"/>
        </w:rPr>
      </w:pPr>
      <w:r>
        <w:rPr>
          <w:noProof/>
        </w:rPr>
        <w:t>•</w:t>
      </w:r>
      <w:r>
        <w:rPr>
          <w:noProof/>
        </w:rPr>
        <w:tab/>
        <w:t>Temeljna prava</w:t>
      </w:r>
    </w:p>
    <w:p>
      <w:pPr>
        <w:pBdr>
          <w:top w:val="nil"/>
          <w:left w:val="nil"/>
          <w:bottom w:val="nil"/>
          <w:right w:val="nil"/>
          <w:between w:val="nil"/>
          <w:bar w:val="nil"/>
        </w:pBdr>
        <w:rPr>
          <w:noProof/>
          <w:szCs w:val="24"/>
        </w:rPr>
      </w:pPr>
      <w:r>
        <w:rPr>
          <w:noProof/>
        </w:rPr>
        <w:t>Sporazum o statusu sadržava odredbe kojima se osigurava zaštita temeljnih prava osoba na koje utječu postupci članova tima uključenih u djelovanje koje koordinira Agencija za europsku graničnu i obalnu stražu.</w:t>
      </w:r>
    </w:p>
    <w:p>
      <w:pPr>
        <w:pBdr>
          <w:top w:val="nil"/>
          <w:left w:val="nil"/>
          <w:bottom w:val="nil"/>
          <w:right w:val="nil"/>
          <w:between w:val="nil"/>
          <w:bar w:val="nil"/>
        </w:pBdr>
        <w:spacing w:after="240"/>
        <w:rPr>
          <w:rFonts w:eastAsia="Arial Unicode MS"/>
          <w:noProof/>
        </w:rPr>
      </w:pPr>
      <w:r>
        <w:rPr>
          <w:noProof/>
        </w:rPr>
        <w:t xml:space="preserve">Odredbe o temeljnim pravima dodatno su objašnjene u točki 5. „Ostali dijelovi”. </w:t>
      </w:r>
    </w:p>
    <w:p>
      <w:pPr>
        <w:pStyle w:val="ManualHeading1"/>
        <w:rPr>
          <w:noProof/>
        </w:rPr>
      </w:pPr>
      <w:r>
        <w:rPr>
          <w:noProof/>
        </w:rPr>
        <w:t>4.</w:t>
      </w:r>
      <w:r>
        <w:rPr>
          <w:noProof/>
        </w:rPr>
        <w:tab/>
        <w:t>UTJECAJ NA PRORAČUN</w:t>
      </w:r>
    </w:p>
    <w:p>
      <w:pPr>
        <w:autoSpaceDE w:val="0"/>
        <w:autoSpaceDN w:val="0"/>
        <w:rPr>
          <w:iCs/>
          <w:noProof/>
          <w:szCs w:val="24"/>
        </w:rPr>
      </w:pPr>
      <w:r>
        <w:rPr>
          <w:noProof/>
        </w:rPr>
        <w:t xml:space="preserve">Sporazum o statusu nema financijske implikacije. Naime, troškovi koji će se namirivati iz proračuna Agencije za europsku graničnu i obalnu stražu bit će troškovi stvarnog raspoređivanja timova europske granične i obalne straže na temelju operativnog plana i relevantnog sporazuma o dodjeli bespovratnih sredstava. </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rPr>
          <w:noProof/>
          <w:szCs w:val="24"/>
        </w:rPr>
      </w:pPr>
      <w:r>
        <w:rPr>
          <w:noProof/>
        </w:rPr>
        <w:t xml:space="preserve">Komisija će osigurati odgovarajuće praćenje provedbe sporazuma o statusu. </w:t>
      </w:r>
    </w:p>
    <w:p>
      <w:pPr>
        <w:rPr>
          <w:noProof/>
          <w:szCs w:val="24"/>
        </w:rPr>
      </w:pPr>
      <w:r>
        <w:rPr>
          <w:noProof/>
        </w:rPr>
        <w:t xml:space="preserve">Bosna i Hercegovina i Agencija za europsku graničnu i obalnu stražu zajedno evaluiraju svaku zajedničku operaciju ili brzu intervenciju na granicama. </w:t>
      </w:r>
    </w:p>
    <w:p>
      <w:pPr>
        <w:spacing w:after="240"/>
        <w:rPr>
          <w:noProof/>
          <w:szCs w:val="24"/>
        </w:rPr>
      </w:pPr>
      <w:r>
        <w:rPr>
          <w:noProof/>
        </w:rPr>
        <w:t xml:space="preserve">Konkretno, Agencija za europsku graničnu i obalnu stražu, Bosna i Hercegovina i države članice koje sudjeluju u određenom djelovanju na kraju svakog djelovanja sastavljaju izvješće o primjeni odredbi Sporazuma, uključujući i o obradi osobnih podataka. </w:t>
      </w:r>
    </w:p>
    <w:p>
      <w:pPr>
        <w:pStyle w:val="ManualHeading2"/>
        <w:rPr>
          <w:rFonts w:eastAsia="Arial Unicode MS"/>
          <w:noProof/>
          <w:u w:color="000000"/>
          <w:bdr w:val="nil"/>
        </w:rPr>
      </w:pPr>
      <w:r>
        <w:rPr>
          <w:noProof/>
        </w:rPr>
        <w:t>•</w:t>
      </w:r>
      <w:r>
        <w:rPr>
          <w:noProof/>
        </w:rPr>
        <w:tab/>
        <w:t>Dokumenti s obrazloženjima (za direktive)</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2"/>
        <w:spacing w:after="240"/>
        <w:rPr>
          <w:rFonts w:eastAsia="Arial Unicode MS"/>
          <w:noProof/>
          <w:u w:color="000000"/>
          <w:bdr w:val="nil"/>
        </w:rPr>
      </w:pPr>
      <w:r>
        <w:rPr>
          <w:noProof/>
        </w:rPr>
        <w:t>•</w:t>
      </w:r>
      <w:r>
        <w:rPr>
          <w:noProof/>
        </w:rPr>
        <w:tab/>
        <w:t>Detaljno obrazloženje posebnih odredbi prijedloga</w:t>
      </w:r>
    </w:p>
    <w:p>
      <w:pPr>
        <w:rPr>
          <w:i/>
          <w:noProof/>
        </w:rPr>
      </w:pPr>
      <w:r>
        <w:rPr>
          <w:i/>
          <w:noProof/>
        </w:rPr>
        <w:t>Područje primjene sporazuma</w:t>
      </w:r>
    </w:p>
    <w:p>
      <w:pPr>
        <w:rPr>
          <w:rFonts w:eastAsia="Times New Roman"/>
          <w:noProof/>
        </w:rPr>
      </w:pPr>
      <w:r>
        <w:rPr>
          <w:noProof/>
        </w:rPr>
        <w:t>Na temelju ovog Sporazuma Agencija za europsku graničnu i obalnu stražu može raspoređivati timove europske granične i obalne straže s izvršnim ovlastima u Bosni i Hercegovini kako bi provodili zajedničke operacije i brze intervencije na granicama. Iako se ovim Sporazumom ne proširuje područje primjene Sporazuma između Europske zajednice i Bosne i Hercegovine o ponovnom prihvatu osoba bez boravišne dozvole („Sporazum između EZ-a i Bosne i Hercegovine o ponovnom prihvatu”)</w:t>
      </w:r>
      <w:r>
        <w:rPr>
          <w:rStyle w:val="FootnoteReference"/>
          <w:noProof/>
        </w:rPr>
        <w:footnoteReference w:id="4"/>
      </w:r>
      <w:r>
        <w:rPr>
          <w:noProof/>
        </w:rPr>
        <w:t>, timovima Agencije za europsku graničnu i obalnu stražu u okviru konkretne operacije vraćanja dopušteno je da Bosni i Hercegovini pomažu u identifikaciji osoba koje treba ponovno prihvatiti u Bosnu i Hercegovinu u skladu sa Sporazumom između EZ-a i Bosne i Hercegovine o ponovnom prihvatu.</w:t>
      </w:r>
    </w:p>
    <w:p>
      <w:pPr>
        <w:spacing w:after="240"/>
        <w:rPr>
          <w:rFonts w:eastAsia="Times New Roman"/>
          <w:noProof/>
        </w:rPr>
      </w:pPr>
      <w:r>
        <w:rPr>
          <w:noProof/>
        </w:rPr>
        <w:t>Timovi europske granične i obalne straže mogu se raspoređivati na državnom području Bosne i Hercegovine samo u regijama koje graniče s vanjskim granicama EU-a, a članovi tima imaju izvršne ovlasti na tim područjima Bosne i Hercegovine kako je utvrđeno u operativnom planu.</w:t>
      </w:r>
    </w:p>
    <w:p>
      <w:r>
        <w:rPr>
          <w:i/>
          <w:noProof/>
        </w:rPr>
        <w:t>Operativni plan</w:t>
      </w:r>
      <w:r>
        <w:rPr>
          <w:noProof/>
        </w:rPr>
        <w:t xml:space="preserve"> </w:t>
      </w:r>
    </w:p>
    <w:p>
      <w:pPr>
        <w:rPr>
          <w:rFonts w:eastAsia="Times New Roman"/>
          <w:noProof/>
        </w:rPr>
      </w:pPr>
      <w:r>
        <w:rPr>
          <w:noProof/>
        </w:rPr>
        <w:t xml:space="preserve">Prije svake zajedničke operacije ili brze intervencije na granicama Agencija i Bosna i Hercegovina moraju postići dogovor o operativnom planu. Država članica ili države članice koje graniče s operativnim područjem također moraju biti suglasne s tim operativnim planom. </w:t>
      </w:r>
    </w:p>
    <w:p>
      <w:pPr>
        <w:spacing w:after="240"/>
        <w:rPr>
          <w:rFonts w:eastAsia="Times New Roman"/>
          <w:noProof/>
        </w:rPr>
      </w:pPr>
      <w:r>
        <w:rPr>
          <w:noProof/>
        </w:rPr>
        <w:t xml:space="preserve">U planu se detaljno opisuju organizacijski i postupovni aspekti zajedničke operacije ili brze intervencije na granicama, uključujući opis i procjenu stanja, operativni cilj i druge ciljeve, vrstu tehničke opreme koja se raspoređuje, plan provedbe, suradnju s ostalim trećim zemljama, drugim agencijama i tijelima Unije ili međunarodnim organizacijama, odredbe u pogledu temeljnih prava, uključujući zaštitu osobnih podataka, koordinacijsku, zapovjednu, kontrolnu i komunikacijsku strukturu te strukturu za izvješćivanje, organizacijske aranžmane i logistiku, evaluaciju te financijske aspekte zajedničke operacije ili brze intervencije na granicama. </w:t>
      </w:r>
    </w:p>
    <w:p>
      <w:pPr>
        <w:rPr>
          <w:rFonts w:eastAsia="Times New Roman"/>
          <w:i/>
          <w:noProof/>
        </w:rPr>
      </w:pPr>
      <w:r>
        <w:rPr>
          <w:i/>
          <w:noProof/>
        </w:rPr>
        <w:t>Zadaće i ovlasti članova tima</w:t>
      </w:r>
    </w:p>
    <w:p>
      <w:pPr>
        <w:rPr>
          <w:rFonts w:eastAsia="Times New Roman"/>
          <w:noProof/>
        </w:rPr>
      </w:pPr>
      <w:r>
        <w:rPr>
          <w:noProof/>
        </w:rPr>
        <w:t>Općenito, timovi su ovlašteni za obavljanje zadaća i izvršavanje izvršnih ovlasti potrebnih za nadzor državne granice i operacije vraćanja. Oni poštuju nacionalno zakonodavstvo Bosne i Hercegovine.</w:t>
      </w:r>
    </w:p>
    <w:p>
      <w:pPr>
        <w:rPr>
          <w:noProof/>
        </w:rPr>
      </w:pPr>
      <w:r>
        <w:rPr>
          <w:noProof/>
        </w:rPr>
        <w:t>Timovi djeluju na državnom području Bosne i Hercegovine samo na temelju uputa i u prisutnosti službenika graničnog nadzora ili drugih policijskih službenika Bosne i Hercegovine.</w:t>
      </w:r>
    </w:p>
    <w:p>
      <w:pPr>
        <w:rPr>
          <w:rFonts w:eastAsia="Times New Roman"/>
          <w:noProof/>
        </w:rPr>
      </w:pPr>
      <w:r>
        <w:rPr>
          <w:noProof/>
        </w:rPr>
        <w:t>Članovi tima prema potrebi nose svoju odoru, a na odori vidljivu oznaku za osobnu identifikaciju i plavu vrpcu na rukavu s oznakama Europske unije i Agencije. Nose i akreditacijsku ispravu kako bi ih nacionalna tijela Bosne i Hercegovine mogla jasno identificirati.</w:t>
      </w:r>
    </w:p>
    <w:p>
      <w:pPr>
        <w:rPr>
          <w:rFonts w:eastAsia="Times New Roman"/>
          <w:noProof/>
        </w:rPr>
      </w:pPr>
      <w:r>
        <w:rPr>
          <w:noProof/>
        </w:rPr>
        <w:t xml:space="preserve">Članovi tima smiju nositi službeno oružje, streljivo i opremu u skladu s ovlastima na temelju nacionalnog prava svoje države i prava Bosne i Hercegovine. Granična policija Bosne i Hercegovine unaprijed obavješćuje Agenciju o dopuštenom službenom oružju, streljivu i opremi te o uvjetima njihove upotrebe. Agencija Graničnoj policiji Bosne i Hercegovine unaprijed dostavlja popis službenog oružja članova tima (vrsta i serijski broj oružja; vrsta i količina streljiva). </w:t>
      </w:r>
    </w:p>
    <w:p>
      <w:pPr>
        <w:rPr>
          <w:rFonts w:eastAsia="Times New Roman"/>
          <w:noProof/>
        </w:rPr>
      </w:pPr>
      <w:r>
        <w:rPr>
          <w:noProof/>
        </w:rPr>
        <w:t xml:space="preserve">Članovi tima ovlašteni su primijeniti silu, uključujući upotrebu službenog oružja, streljiva i opreme, uz suglasnost svoje države i Granične policije Bosne i Hercegovine, u prisutnosti službenika graničnog nadzora ili drugih policijskih službenika Bosne i Hercegovine te u skladu s nacionalnim pravom Bosne i Hercegovine. Granična policija Bosne i Hercegovine može ovlastiti članove tima za primjenu sile i u njihovoj odsutnosti. </w:t>
      </w:r>
    </w:p>
    <w:p>
      <w:pPr>
        <w:spacing w:after="240"/>
        <w:rPr>
          <w:rFonts w:eastAsia="Times New Roman"/>
          <w:iCs/>
          <w:noProof/>
        </w:rPr>
      </w:pPr>
      <w:r>
        <w:rPr>
          <w:noProof/>
        </w:rPr>
        <w:t xml:space="preserve">Bosna i Hercegovina može, na zahtjev, članovima tima dostaviti relevantne informacije iz nacionalnih baza podataka ako je to potrebno za ispunjenje operativnih ciljeva. </w:t>
      </w:r>
    </w:p>
    <w:p>
      <w:pPr>
        <w:spacing w:line="288" w:lineRule="auto"/>
        <w:rPr>
          <w:rFonts w:eastAsia="Times New Roman"/>
          <w:i/>
          <w:noProof/>
          <w:color w:val="000000"/>
          <w:szCs w:val="24"/>
        </w:rPr>
      </w:pPr>
      <w:r>
        <w:rPr>
          <w:i/>
          <w:noProof/>
          <w:color w:val="000000"/>
        </w:rPr>
        <w:t>Povlastice i imuniteti članova tima</w:t>
      </w:r>
    </w:p>
    <w:p>
      <w:pPr>
        <w:rPr>
          <w:rFonts w:eastAsia="Times New Roman"/>
          <w:noProof/>
          <w:color w:val="000000"/>
          <w:szCs w:val="24"/>
        </w:rPr>
      </w:pPr>
      <w:r>
        <w:rPr>
          <w:noProof/>
        </w:rPr>
        <w:t>Članovi tima uživaju imunitet od kaznene nadležnosti Bosne i Hercegovine u odnosu na sva djela počinjena u okviru obavljanja službenih dužnosti („na dužnosti”), ali takav imunitet neće uživati za djela počinjena kada nisu na dužnosti.</w:t>
      </w:r>
      <w:r>
        <w:rPr>
          <w:noProof/>
          <w:color w:val="000000"/>
        </w:rPr>
        <w:t xml:space="preserve"> </w:t>
      </w:r>
    </w:p>
    <w:p>
      <w:pPr>
        <w:rPr>
          <w:rFonts w:eastAsia="Times New Roman"/>
          <w:noProof/>
          <w:color w:val="000000"/>
          <w:szCs w:val="24"/>
        </w:rPr>
      </w:pPr>
      <w:r>
        <w:rPr>
          <w:noProof/>
        </w:rPr>
        <w:t>Operativnim planom precizno se utvrđuju djelovanja za koja se uživa imunitet od kaznene nadležnosti Bosne i Hercegovine.</w:t>
      </w:r>
      <w:r>
        <w:rPr>
          <w:noProof/>
          <w:color w:val="000000"/>
        </w:rPr>
        <w:t xml:space="preserve"> </w:t>
      </w:r>
    </w:p>
    <w:p>
      <w:pPr>
        <w:rPr>
          <w:rFonts w:eastAsia="Times New Roman"/>
          <w:noProof/>
          <w:color w:val="000000"/>
          <w:szCs w:val="24"/>
        </w:rPr>
      </w:pPr>
      <w:r>
        <w:rPr>
          <w:noProof/>
          <w:color w:val="000000"/>
        </w:rPr>
        <w:t xml:space="preserve">U slučaju da je član tima optužen da je počinio kazneno djelo, izvršni direktor Agencije, prije pokretanja postupka pred sudom, djeluje brzo i potvrđuje je li dotično djelo počinjeno pri obavljanju službenih dužnosti ili ne. </w:t>
      </w:r>
      <w:r>
        <w:rPr>
          <w:noProof/>
        </w:rPr>
        <w:t>Izvršni direktor Agencije donosi odluku nakon pomnog razmatranja svih izlaganja nadležnog tijela države članice koja je rasporedila tog službenika graničnog nadzora ili drugog člana relevantnog osoblja te izlaganja nadležnih tijela Bosne i Hercegovine.</w:t>
      </w:r>
    </w:p>
    <w:p>
      <w:pPr>
        <w:rPr>
          <w:rFonts w:eastAsia="Times New Roman"/>
          <w:noProof/>
          <w:color w:val="000000"/>
          <w:szCs w:val="24"/>
        </w:rPr>
      </w:pPr>
      <w:r>
        <w:rPr>
          <w:noProof/>
        </w:rPr>
        <w:t>Na temelju dodijeljenih privilegija i uživanja imuniteta od kaznene nadležnosti Bosne i Hercegovine članovi tima nisu izuzeti od nadležnosti matične države članice.</w:t>
      </w:r>
      <w:r>
        <w:rPr>
          <w:noProof/>
          <w:color w:val="000000"/>
        </w:rPr>
        <w:t xml:space="preserve"> </w:t>
      </w:r>
    </w:p>
    <w:p>
      <w:pPr>
        <w:rPr>
          <w:rFonts w:eastAsia="Times New Roman"/>
          <w:noProof/>
          <w:color w:val="000000"/>
          <w:szCs w:val="24"/>
        </w:rPr>
      </w:pPr>
      <w:r>
        <w:rPr>
          <w:noProof/>
          <w:color w:val="000000"/>
        </w:rPr>
        <w:t xml:space="preserve">Sličan se režim primjenjuje za građansku i upravnu odgovornost članova tima. </w:t>
      </w:r>
    </w:p>
    <w:p>
      <w:pPr>
        <w:rPr>
          <w:rFonts w:eastAsia="Times New Roman"/>
          <w:noProof/>
          <w:color w:val="000000"/>
          <w:szCs w:val="24"/>
        </w:rPr>
      </w:pPr>
      <w:r>
        <w:rPr>
          <w:noProof/>
        </w:rPr>
        <w:t>Država članica koja je rasporedila dotičnog službenika graničnog nadzora ili drugog člana relevantnog osoblja može članovima timova ukinuti imunitet od nadležnosti Bosne i Hercegovine.</w:t>
      </w:r>
      <w:r>
        <w:rPr>
          <w:noProof/>
          <w:color w:val="000000"/>
        </w:rPr>
        <w:t xml:space="preserve"> Takvo ukidanje uvijek mora biti izričito.</w:t>
      </w:r>
    </w:p>
    <w:p>
      <w:pPr>
        <w:rPr>
          <w:rFonts w:eastAsia="Times New Roman"/>
          <w:noProof/>
          <w:color w:val="000000"/>
          <w:szCs w:val="24"/>
        </w:rPr>
      </w:pPr>
      <w:r>
        <w:rPr>
          <w:noProof/>
          <w:color w:val="000000"/>
        </w:rPr>
        <w:t xml:space="preserve">U Sporazumu je predviđen mehanizam za naknadu štete. Taj se mehanizam temelji na članku 42. Uredbe (EU) 2016/1624 o europskoj graničnoj i obalnoj straži. </w:t>
      </w:r>
      <w:r>
        <w:rPr>
          <w:noProof/>
        </w:rPr>
        <w:t>Ako je štetu prouzročio član tima „na dužnosti”, odgovornost snosi Bosna i Hercegovina.</w:t>
      </w:r>
      <w:r>
        <w:rPr>
          <w:noProof/>
          <w:color w:val="000000"/>
        </w:rPr>
        <w:t xml:space="preserve"> </w:t>
      </w:r>
      <w:r>
        <w:rPr>
          <w:noProof/>
        </w:rPr>
        <w:t>Ako je štetu zbog krajnje nepažnje ili namjernog protupravnog postupanja prouzročio član tima iz države članice sudionice koji je „na dužnosti” ili ako je djelo počinjeno kad osoba nije bila na dužnosti, Bosna i Hercegovina može preko izvršnog direktora Agencije zatražiti da dotična država članica sudionica plati naknadu štete.</w:t>
      </w:r>
      <w:r>
        <w:rPr>
          <w:noProof/>
          <w:color w:val="000000"/>
        </w:rPr>
        <w:t xml:space="preserve"> </w:t>
      </w:r>
      <w:r>
        <w:rPr>
          <w:noProof/>
        </w:rPr>
        <w:t>Ako je štetu prouzročio član osoblja Agencije, Bosna i Hercegovina može zatražiti da naknadu štete plati Agencija.</w:t>
      </w:r>
      <w:r>
        <w:rPr>
          <w:noProof/>
          <w:color w:val="000000"/>
        </w:rPr>
        <w:t xml:space="preserve"> </w:t>
      </w:r>
    </w:p>
    <w:p>
      <w:pPr>
        <w:rPr>
          <w:rFonts w:eastAsia="Times New Roman"/>
          <w:noProof/>
          <w:color w:val="000000"/>
          <w:szCs w:val="24"/>
        </w:rPr>
      </w:pPr>
      <w:r>
        <w:rPr>
          <w:noProof/>
          <w:color w:val="000000"/>
        </w:rPr>
        <w:t>Prema članovima tima ne smiju se poduzimati nikakve mjere izvršenja, osim ako je protiv njih pokrenut kazneni ili parnični postupak koji nije povezan s njihovim službenim dužnostima.</w:t>
      </w:r>
    </w:p>
    <w:p>
      <w:pPr>
        <w:rPr>
          <w:rFonts w:eastAsia="Times New Roman"/>
          <w:noProof/>
          <w:color w:val="000000"/>
          <w:szCs w:val="24"/>
        </w:rPr>
      </w:pPr>
      <w:r>
        <w:rPr>
          <w:noProof/>
          <w:color w:val="000000"/>
        </w:rPr>
        <w:t>Imovina članova tima potrebna za obavljanje službenih dužnosti ne smije se zaplijeniti. U parničnim postupcima članovi tima ne podliježu nikakvim ograničenjima u pogledu osobne slobode ni bilo kakvim drugim mjerama prisile.</w:t>
      </w:r>
    </w:p>
    <w:p>
      <w:pPr>
        <w:rPr>
          <w:rFonts w:eastAsia="Times New Roman"/>
          <w:noProof/>
          <w:color w:val="000000"/>
          <w:szCs w:val="24"/>
        </w:rPr>
      </w:pPr>
      <w:r>
        <w:rPr>
          <w:noProof/>
        </w:rPr>
        <w:t>Članovi tima izuzeti su od odredbi o socijalnoj sigurnosti koje mogu biti na snazi u Bosni i Hercegovini u pogledu usluga pruženih Agenciji.</w:t>
      </w:r>
      <w:r>
        <w:rPr>
          <w:noProof/>
          <w:color w:val="000000"/>
        </w:rPr>
        <w:t xml:space="preserve"> </w:t>
      </w:r>
      <w:r>
        <w:rPr>
          <w:noProof/>
        </w:rPr>
        <w:t>Izuzeti su i od svih oblika oporezivanja plaća i primanja u Bosni i Hercegovini koje im isplaćuju Agencija ili matične države članice, kao i od oporezivanja dohotka koji primaju izvan Bosne i Hercegovine.</w:t>
      </w:r>
    </w:p>
    <w:p>
      <w:pPr>
        <w:rPr>
          <w:rFonts w:eastAsia="Times New Roman"/>
          <w:noProof/>
          <w:color w:val="000000"/>
          <w:szCs w:val="24"/>
        </w:rPr>
      </w:pPr>
      <w:r>
        <w:rPr>
          <w:noProof/>
        </w:rPr>
        <w:t>Tijela Bosne i Hercegovine dopuštaju unošenje i iznošenje predmeta namijenjenih osobnoj upotrebi članova tima te odobravaju izuzeće od svih carina, poreza i drugih naknada (uz iznimku naknada za skladištenje, prijevoz i slične usluge) povezanih s takvim predmetima.</w:t>
      </w:r>
      <w:r>
        <w:rPr>
          <w:noProof/>
          <w:color w:val="000000"/>
        </w:rPr>
        <w:t xml:space="preserve"> </w:t>
      </w:r>
    </w:p>
    <w:p>
      <w:pPr>
        <w:spacing w:after="0"/>
        <w:rPr>
          <w:rFonts w:eastAsia="Times New Roman"/>
          <w:noProof/>
          <w:color w:val="000000"/>
          <w:szCs w:val="24"/>
        </w:rPr>
      </w:pPr>
      <w:r>
        <w:rPr>
          <w:noProof/>
        </w:rPr>
        <w:t>Osobna prtljaga članova tima može se podvrgnuti inspekcijskom pregledu samo u slučajevima opravdane sumnje da sadržava predmete koji nisu namijenjeni osobnoj upotrebi ili predmete čiji je uvoz ili izvoz zabranjen zakonom, ili podliježe propisima Bosne i Hercegovine o karanteni.</w:t>
      </w:r>
      <w:r>
        <w:rPr>
          <w:noProof/>
          <w:color w:val="000000"/>
        </w:rPr>
        <w:t xml:space="preserve"> Pregled takve osobne prtljage obavlja se isključivo u prisutnosti dotičnog člana (dotičnih članova) tima ili ovlaštenog predstavnika Agencije.</w:t>
      </w:r>
    </w:p>
    <w:p>
      <w:pPr>
        <w:rPr>
          <w:rFonts w:eastAsia="Times New Roman"/>
          <w:noProof/>
          <w:color w:val="000000"/>
          <w:szCs w:val="24"/>
        </w:rPr>
      </w:pPr>
      <w:r>
        <w:rPr>
          <w:noProof/>
          <w:color w:val="000000"/>
        </w:rPr>
        <w:t xml:space="preserve">Dokumenti, prepiska i imovina članova tima nepovredivi su, osim u slučaju mjera izvršenja. </w:t>
      </w:r>
    </w:p>
    <w:p>
      <w:pPr>
        <w:spacing w:after="240"/>
        <w:rPr>
          <w:rFonts w:eastAsia="Times New Roman"/>
          <w:noProof/>
          <w:color w:val="000000"/>
          <w:szCs w:val="24"/>
        </w:rPr>
      </w:pPr>
      <w:r>
        <w:rPr>
          <w:noProof/>
        </w:rPr>
        <w:t xml:space="preserve">Nadležna tijela Bosne i Hercegovine mogu zahtijevati od članova tima koji su svjedoci da dostave dokaze, uz potpuno poštovanje odredbi o imunitetu od kaznene, građanske i upravne nadležnosti. </w:t>
      </w:r>
    </w:p>
    <w:p>
      <w:pPr>
        <w:rPr>
          <w:i/>
          <w:noProof/>
        </w:rPr>
      </w:pPr>
      <w:r>
        <w:rPr>
          <w:i/>
          <w:noProof/>
        </w:rPr>
        <w:t xml:space="preserve">Akreditacijska isprava </w:t>
      </w:r>
    </w:p>
    <w:p>
      <w:pPr>
        <w:spacing w:after="240"/>
        <w:rPr>
          <w:rFonts w:eastAsia="Times New Roman"/>
          <w:noProof/>
          <w:color w:val="000000"/>
          <w:szCs w:val="24"/>
        </w:rPr>
      </w:pPr>
      <w:r>
        <w:rPr>
          <w:noProof/>
        </w:rPr>
        <w:t>Agencija u suradnji s Bosnom i Hercegovinom izdaje akreditacijsku ispravu članovima tima za potrebe identifikacije pred tijelima Bosne i Hercegovine, kojom se dokazuje pravo nositelja da obavlja zadaće i izvršava ovlasti dodijeljene na temelju ovog Sporazuma i operativnog plana.</w:t>
      </w:r>
      <w:r>
        <w:rPr>
          <w:noProof/>
          <w:color w:val="000000"/>
        </w:rPr>
        <w:t xml:space="preserve"> </w:t>
      </w:r>
      <w:r>
        <w:rPr>
          <w:noProof/>
        </w:rPr>
        <w:t>Akreditacijskom se ispravom, zajedno s valjanom putnom ispravom, članu tima omogućava ulazak u Bosnu i Hercegovinu bez potrebe za vizom ili prethodnim odobrenjem.</w:t>
      </w:r>
      <w:r>
        <w:rPr>
          <w:noProof/>
          <w:color w:val="000000"/>
        </w:rPr>
        <w:t xml:space="preserve"> Po završetku djelovanja ona se vraća Agenciji. </w:t>
      </w:r>
    </w:p>
    <w:p>
      <w:pPr>
        <w:rPr>
          <w:rFonts w:eastAsia="Times New Roman"/>
          <w:i/>
          <w:noProof/>
          <w:color w:val="000000"/>
          <w:szCs w:val="24"/>
        </w:rPr>
      </w:pPr>
      <w:r>
        <w:rPr>
          <w:i/>
          <w:noProof/>
          <w:color w:val="000000"/>
        </w:rPr>
        <w:t>Temeljna prava</w:t>
      </w:r>
    </w:p>
    <w:p>
      <w:pPr>
        <w:rPr>
          <w:rFonts w:eastAsia="Times New Roman"/>
          <w:noProof/>
          <w:color w:val="000000"/>
          <w:szCs w:val="24"/>
        </w:rPr>
      </w:pPr>
      <w:r>
        <w:rPr>
          <w:noProof/>
          <w:color w:val="000000"/>
        </w:rPr>
        <w:t>Članovi tima pri obavljanju svojih zadaća i izvršavanju svojih ovlasti moraju u potpunosti poštovati temeljna prava i slobode, uključujući ona koja se odnose na pristup postupcima azila, ljudsko dostojanstvo i zabranu mučenja, nečovječnog ili ponižavajućeg postupanja, pravo na slobodu, načelo zabrane prisilnog udaljenja ili vraćanja i zabranu kolektivnog protjerivanja, prava djeteta te pravo na poštovanje privatnog i obiteljskog života. Oni ne smiju samovoljno diskriminirati osobe ni na kojoj osnovi, uključujući na temelju spola, rasnog ili etničkog podrijetla, vjere ili uvjerenja, invaliditeta, dobi ili spolne orijentacije. Sve mjere kojima se zadire u ta temeljna prava i slobode razmjerne su ciljevima koji se tim mjerama nastoje ostvariti te se njima poštuje bit tih temeljnih prava i sloboda.</w:t>
      </w:r>
    </w:p>
    <w:p>
      <w:pPr>
        <w:spacing w:after="240"/>
        <w:rPr>
          <w:rFonts w:eastAsia="Times New Roman"/>
          <w:noProof/>
          <w:color w:val="000000"/>
          <w:szCs w:val="24"/>
        </w:rPr>
      </w:pPr>
      <w:r>
        <w:rPr>
          <w:noProof/>
          <w:color w:val="000000"/>
        </w:rPr>
        <w:t xml:space="preserve">Svaka stranka mora imati uspostavljen mehanizam za podnošenje pritužbi radi postupanja s navodima o kršenju temeljnih prava koje je počinilo njezino osoblje. Agencija je uspostavila mehanizam za podnošenje pritužbi iz članka 72. Uredbe (EU) 2016/1624 o europskoj graničnoj i obalnoj straži te stoga ispunjuje tu obvezu. </w:t>
      </w:r>
      <w:r>
        <w:rPr>
          <w:noProof/>
        </w:rPr>
        <w:t>Ombudsmani Bosne i Hercegovine („Institucija ombudsmana za ljudska prava Bosne i Hercegovine”) mogli bi rješavati to pitanje, osim ako Bosna i Hercegovina odluči uspostaviti poseban mehanizam za obradu pritužbi podnesenih na temelju ovog Sporazuma.</w:t>
      </w:r>
      <w:r>
        <w:rPr>
          <w:noProof/>
          <w:color w:val="000000"/>
        </w:rPr>
        <w:t xml:space="preserve">  </w:t>
      </w:r>
    </w:p>
    <w:p>
      <w:pPr>
        <w:rPr>
          <w:rFonts w:eastAsia="Times New Roman"/>
          <w:i/>
          <w:noProof/>
          <w:color w:val="000000"/>
          <w:szCs w:val="24"/>
        </w:rPr>
      </w:pPr>
      <w:r>
        <w:rPr>
          <w:i/>
          <w:noProof/>
          <w:color w:val="000000"/>
        </w:rPr>
        <w:t>Obrada osobnih podataka</w:t>
      </w:r>
    </w:p>
    <w:p>
      <w:pPr>
        <w:rPr>
          <w:rFonts w:eastAsia="Times New Roman"/>
          <w:i/>
          <w:noProof/>
          <w:color w:val="000000"/>
          <w:szCs w:val="24"/>
        </w:rPr>
      </w:pPr>
      <w:r>
        <w:rPr>
          <w:noProof/>
          <w:color w:val="000000"/>
        </w:rPr>
        <w:t xml:space="preserve">Članovi tima obrađuju osobne podatke prema potrebi i u skladu s pravilima koja se primjenjuju na Agenciju i države članice EU-a. </w:t>
      </w:r>
      <w:r>
        <w:rPr>
          <w:noProof/>
        </w:rPr>
        <w:t>Tijela Bosne i Hercegovine obrađuju osobne podatke u skladu sa svojim nacionalnim zakonodavstvom.</w:t>
      </w:r>
    </w:p>
    <w:p>
      <w:pPr>
        <w:spacing w:after="240"/>
        <w:rPr>
          <w:rFonts w:eastAsia="Times New Roman"/>
          <w:i/>
          <w:noProof/>
          <w:color w:val="000000"/>
          <w:szCs w:val="24"/>
        </w:rPr>
      </w:pPr>
      <w:r>
        <w:rPr>
          <w:noProof/>
        </w:rPr>
        <w:t>Po završetku svakog djelovanja Agencija, države članice sudionice i tijela Bosne i Hercegovine sastavljaju zajedničko izvješće o obradi osobnih podataka koju su proveli članovi tima.</w:t>
      </w:r>
      <w:r>
        <w:rPr>
          <w:noProof/>
          <w:color w:val="000000"/>
        </w:rPr>
        <w:t xml:space="preserve"> </w:t>
      </w:r>
      <w:r>
        <w:rPr>
          <w:noProof/>
        </w:rPr>
        <w:t>Izvješće se šalje službeniku Agencije za temeljna prava i službeniku za zaštitu podataka te nadležnim tijelima Bosne i Hercegovine.</w:t>
      </w:r>
      <w:r>
        <w:rPr>
          <w:noProof/>
          <w:color w:val="000000"/>
        </w:rPr>
        <w:t xml:space="preserve"> Službenik za temeljna prava i službenik za zaštitu podataka Agencije podnose izvješće izvršnom direktoru Agencije.</w:t>
      </w:r>
    </w:p>
    <w:p>
      <w:pPr>
        <w:rPr>
          <w:i/>
          <w:noProof/>
        </w:rPr>
      </w:pPr>
      <w:r>
        <w:rPr>
          <w:i/>
          <w:noProof/>
        </w:rPr>
        <w:t>Suspenzija i prekid djelovanja</w:t>
      </w:r>
    </w:p>
    <w:p>
      <w:pPr>
        <w:spacing w:after="240"/>
        <w:rPr>
          <w:rFonts w:eastAsia="Times New Roman"/>
          <w:noProof/>
        </w:rPr>
      </w:pPr>
      <w:r>
        <w:rPr>
          <w:noProof/>
        </w:rPr>
        <w:t xml:space="preserve">Agencija i Granična policija Bosne i Hercegovine mogu suspendirati ili prekinuti djelovanje ako smatraju da druga stranka ne poštuje odredbe Sporazuma ili operativnog plana. </w:t>
      </w:r>
    </w:p>
    <w:p>
      <w:pPr>
        <w:rPr>
          <w:rFonts w:eastAsia="Times New Roman"/>
          <w:i/>
          <w:noProof/>
          <w:color w:val="000000"/>
          <w:szCs w:val="24"/>
        </w:rPr>
      </w:pPr>
      <w:r>
        <w:rPr>
          <w:i/>
          <w:noProof/>
          <w:color w:val="000000"/>
        </w:rPr>
        <w:t>Sporovi i tumačenje</w:t>
      </w:r>
    </w:p>
    <w:p>
      <w:pPr>
        <w:spacing w:before="0"/>
        <w:rPr>
          <w:rFonts w:eastAsia="Times New Roman"/>
          <w:noProof/>
          <w:color w:val="000000"/>
          <w:szCs w:val="24"/>
        </w:rPr>
      </w:pPr>
      <w:r>
        <w:rPr>
          <w:noProof/>
        </w:rPr>
        <w:t>Sva pitanja koja se pojave u vezi s primjenom ovog Sporazuma zajedno razmatraju predstavnici Granične policije Bosne i Hercegovine i predstavnici Agencije, koji se savjetuju s državama članicama koje graniče s Bosnom i Hercegovinom.</w:t>
      </w:r>
      <w:r>
        <w:rPr>
          <w:noProof/>
          <w:color w:val="000000"/>
        </w:rPr>
        <w:t xml:space="preserve"> </w:t>
      </w:r>
    </w:p>
    <w:p>
      <w:pPr>
        <w:spacing w:before="0"/>
        <w:rPr>
          <w:rFonts w:eastAsia="Times New Roman"/>
          <w:iCs/>
          <w:noProof/>
        </w:rPr>
      </w:pPr>
      <w:r>
        <w:rPr>
          <w:noProof/>
        </w:rPr>
        <w:t>Ako se prethodno ne postigne dogovor, sporovi koji se odnose na tumačenje ili primjenu ovog Sporazuma rješavaju se isključivo pregovorima između Bosne i Hercegovine i Europske komisije, koja se savjetuje sa svim državama članicama koje graniče s Bosnom i Hercegovinom.</w:t>
      </w:r>
    </w:p>
    <w:p>
      <w:pPr>
        <w:rPr>
          <w:rFonts w:eastAsia="Times New Roman"/>
          <w:i/>
          <w:noProof/>
          <w:color w:val="000000"/>
          <w:szCs w:val="24"/>
        </w:rPr>
      </w:pPr>
      <w:r>
        <w:rPr>
          <w:i/>
          <w:noProof/>
          <w:color w:val="000000"/>
        </w:rPr>
        <w:t>Zajedničke izjave</w:t>
      </w:r>
    </w:p>
    <w:p>
      <w:pPr>
        <w:rPr>
          <w:rFonts w:eastAsia="Times New Roman"/>
          <w:noProof/>
          <w:color w:val="000000"/>
          <w:szCs w:val="24"/>
        </w:rPr>
      </w:pPr>
      <w:r>
        <w:rPr>
          <w:noProof/>
        </w:rPr>
        <w:t>Obje stranke primaju na znanje da će Agencija za europsku graničnu i obalnu stražu podupirati Bosnu i Hercegovinu u učinkovitom nadzoru njezine granice sa svakom zemljom koja nije članica Europske unije drugim sredstvima osim raspoređivanjem timova europske granične i obalne straže s izvršnim ovlastima.</w:t>
      </w:r>
    </w:p>
    <w:p>
      <w:pPr>
        <w:rPr>
          <w:noProof/>
          <w:szCs w:val="24"/>
        </w:rPr>
      </w:pPr>
      <w:r>
        <w:rPr>
          <w:noProof/>
        </w:rPr>
        <w:t>Bliska veza Norveške, Islanda, Švicarske i Lihtenštajna s provedbom, primjenom i razvojem schengenske pravne stečevine odražava se u zajedničkoj izjavi uz Sporazum.</w:t>
      </w:r>
    </w:p>
    <w:p>
      <w:pPr>
        <w:spacing w:after="240" w:line="360" w:lineRule="auto"/>
        <w:jc w:val="center"/>
        <w:rPr>
          <w:rFonts w:eastAsia="Times New Roman"/>
          <w:noProof/>
          <w:color w:val="000000"/>
          <w:szCs w:val="24"/>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2019/0057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potpisivanju, u ime Unije, Sporazuma između Europske unije i Bosne i Hercegovine o djelovanjima koja provodi Agencija za europsku graničnu i obalnu stražu u Bosni i Hercegovini</w:t>
      </w:r>
    </w:p>
    <w:p>
      <w:pPr>
        <w:pStyle w:val="Institutionquiagit"/>
        <w:rPr>
          <w:noProof/>
        </w:rPr>
      </w:pPr>
      <w:r>
        <w:rPr>
          <w:noProof/>
        </w:rPr>
        <w:t>VIJEĆE EUROPSKE UNIJE,</w:t>
      </w:r>
    </w:p>
    <w:p>
      <w:pPr>
        <w:rPr>
          <w:noProof/>
        </w:rPr>
      </w:pPr>
      <w:r>
        <w:rPr>
          <w:noProof/>
        </w:rPr>
        <w:t>uzimajući u obzir Ugovor o funkcioniranju Europske unije, a posebno njegov članak 77. stavak 2. točke (b) i (d) te članak 79. stavak 2. točku (c), u vezi s njegovim člankom 218. stavkom 5.,</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U skladu s člankom 54. stavkom 4. Uredbe (EU) 2016/1624 Europskog parlamenta i Vijeća</w:t>
      </w:r>
      <w:r>
        <w:rPr>
          <w:rStyle w:val="FootnoteReference"/>
          <w:noProof/>
        </w:rPr>
        <w:footnoteReference w:id="5"/>
      </w:r>
      <w:r>
        <w:rPr>
          <w:noProof/>
        </w:rPr>
        <w:t>, u slučajevima kada je predviđeno raspoređivanje timova europske granične i obalne straže u trećoj zemlji radi provođenja djelovanja u kojima će članovi tima imati izvršne ovlasti ili kada se to zahtijeva za druga djelovanja u trećim zemljama, Unija treba sklopiti sporazum o statusu s dotičnom trećom zemljom. Tim bi se sporazumom trebali obuhvatiti svi aspekti koji su potrebni za provedbu djelovanja.</w:t>
      </w:r>
    </w:p>
    <w:p>
      <w:pPr>
        <w:pStyle w:val="ManualConsidrant"/>
        <w:rPr>
          <w:noProof/>
        </w:rPr>
      </w:pPr>
      <w:r>
        <w:t>(2)</w:t>
      </w:r>
      <w:r>
        <w:tab/>
      </w:r>
      <w:r>
        <w:rPr>
          <w:noProof/>
        </w:rPr>
        <w:t xml:space="preserve">Vijeće je 16. listopada 2017. ovlastilo Komisiju za otvaranje pregovora s Bosnom i Hercegovinom o sporazumu o djelovanjima koja Agencija za europsku graničnu i obalnu stražu provodi u Bosni i Hercegovini („Sporazum”). </w:t>
      </w:r>
    </w:p>
    <w:p>
      <w:pPr>
        <w:pStyle w:val="ManualConsidrant"/>
        <w:rPr>
          <w:noProof/>
        </w:rPr>
      </w:pPr>
      <w:r>
        <w:t>(3)</w:t>
      </w:r>
      <w:r>
        <w:tab/>
      </w:r>
      <w:r>
        <w:rPr>
          <w:noProof/>
        </w:rPr>
        <w:t xml:space="preserve">Pregovori su uspješno završeni parafiranjem Sporazuma. </w:t>
      </w:r>
    </w:p>
    <w:p>
      <w:pPr>
        <w:pStyle w:val="ManualConsidrant"/>
        <w:rPr>
          <w:noProof/>
          <w:szCs w:val="24"/>
        </w:rPr>
      </w:pPr>
      <w:r>
        <w:t>(4)</w:t>
      </w:r>
      <w:r>
        <w:tab/>
      </w:r>
      <w:r>
        <w:rPr>
          <w:noProof/>
        </w:rPr>
        <w:t>Ova Odluka predstavlja razvoj odredaba schengenske pravne stečevine u kojima Ujedinjena Kraljevina ne sudjeluje, u skladu s Odlukom Vijeća 2000/365/EZ</w:t>
      </w:r>
      <w:r>
        <w:rPr>
          <w:rStyle w:val="FootnoteReference"/>
          <w:noProof/>
        </w:rPr>
        <w:footnoteReference w:id="6"/>
      </w:r>
      <w:r>
        <w:rPr>
          <w:noProof/>
        </w:rPr>
        <w:t xml:space="preserve">; Ujedinjena Kraljevina stoga ne sudjeluje u donošenju ove Odluke te ona za nju nije obvezujuća niti se na nju primjenjuje. </w:t>
      </w:r>
    </w:p>
    <w:p>
      <w:pPr>
        <w:pStyle w:val="ManualConsidrant"/>
        <w:rPr>
          <w:noProof/>
          <w:szCs w:val="24"/>
        </w:rPr>
      </w:pPr>
      <w:r>
        <w:t>(5)</w:t>
      </w:r>
      <w:r>
        <w:tab/>
      </w:r>
      <w:r>
        <w:rPr>
          <w:noProof/>
        </w:rPr>
        <w:t>Ova Odluka predstavlja razvoj odredaba schengenske pravne stečevine u kojima Irska ne sudjeluje, u skladu s Odlukom Vijeća 2002/192/EZ</w:t>
      </w:r>
      <w:r>
        <w:rPr>
          <w:rStyle w:val="FootnoteReference"/>
          <w:noProof/>
        </w:rPr>
        <w:footnoteReference w:id="7"/>
      </w:r>
      <w:r>
        <w:rPr>
          <w:noProof/>
        </w:rPr>
        <w:t>; Irska stoga ne sudjeluje u donošenju ove Odluke te ona za nju nije obvezujuća niti se na nju primjenjuje.</w:t>
      </w:r>
    </w:p>
    <w:p>
      <w:pPr>
        <w:pStyle w:val="ManualConsidrant"/>
        <w:rPr>
          <w:noProof/>
          <w:szCs w:val="24"/>
        </w:rPr>
      </w:pPr>
      <w:r>
        <w:t>(6)</w:t>
      </w:r>
      <w:r>
        <w:tab/>
      </w:r>
      <w:r>
        <w:rPr>
          <w:noProof/>
        </w:rPr>
        <w:t>U skladu s člancima 1. i 2. Protokola br. 22 o stajalištu Danske, priloženog Ugovoru o Europskoj uniji i Ugovoru o funkcioniranju Europske unije, Danska ne sudjeluje u donošenju ove Odluke te ona za nju nije obvezujuća niti se na nju primjenjuje.</w:t>
      </w:r>
    </w:p>
    <w:p>
      <w:pPr>
        <w:pStyle w:val="ManualConsidrant"/>
        <w:rPr>
          <w:noProof/>
        </w:rPr>
      </w:pPr>
      <w:r>
        <w:t>(7)</w:t>
      </w:r>
      <w:r>
        <w:tab/>
      </w:r>
      <w:r>
        <w:rPr>
          <w:noProof/>
        </w:rPr>
        <w:t xml:space="preserve">Stoga bi Sporazum trebalo potpisati u ime Unije, podložno njegovu kasnijem sklapanju, a priložene izjave odobriti, </w:t>
      </w:r>
    </w:p>
    <w:p>
      <w:pPr>
        <w:pStyle w:val="Formuledadoption"/>
        <w:rPr>
          <w:noProof/>
        </w:rPr>
      </w:pPr>
      <w:r>
        <w:rPr>
          <w:noProof/>
        </w:rPr>
        <w:t xml:space="preserve">DONIJELO JE OVU ODLUKU: </w:t>
      </w:r>
    </w:p>
    <w:p>
      <w:pPr>
        <w:pStyle w:val="Titrearticle"/>
        <w:rPr>
          <w:noProof/>
        </w:rPr>
      </w:pPr>
      <w:r>
        <w:rPr>
          <w:noProof/>
        </w:rPr>
        <w:t>Članak 1.</w:t>
      </w:r>
    </w:p>
    <w:p>
      <w:pPr>
        <w:rPr>
          <w:noProof/>
        </w:rPr>
      </w:pPr>
      <w:r>
        <w:rPr>
          <w:noProof/>
        </w:rPr>
        <w:t>Odobrava se potpisivanje, u ime Unije, Sporazuma između Europske unije i Bosne i Hercegovine o djelovanjima koja provodi Agencija za europsku graničnu i obalnu stražu u Bosni i Hercegovini („Sporazum”), podložno sklapanju navedenog Sporazuma.</w:t>
      </w:r>
    </w:p>
    <w:p>
      <w:pPr>
        <w:pStyle w:val="Titrearticle"/>
        <w:rPr>
          <w:noProof/>
        </w:rPr>
      </w:pPr>
      <w:r>
        <w:rPr>
          <w:noProof/>
        </w:rPr>
        <w:t>Članak 2.</w:t>
      </w:r>
    </w:p>
    <w:p>
      <w:pPr>
        <w:rPr>
          <w:noProof/>
        </w:rPr>
      </w:pPr>
      <w:r>
        <w:rPr>
          <w:noProof/>
        </w:rPr>
        <w:t xml:space="preserve">Izjave priložene ovoj Odluci odobravaju se u ime Unije. </w:t>
      </w:r>
    </w:p>
    <w:p>
      <w:pPr>
        <w:pStyle w:val="Titrearticle"/>
        <w:rPr>
          <w:noProof/>
        </w:rPr>
      </w:pPr>
      <w:r>
        <w:rPr>
          <w:noProof/>
        </w:rPr>
        <w:t xml:space="preserve">Članak 3. </w:t>
      </w:r>
    </w:p>
    <w:p>
      <w:pPr>
        <w:rPr>
          <w:noProof/>
        </w:rPr>
      </w:pPr>
      <w:r>
        <w:rPr>
          <w:noProof/>
        </w:rPr>
        <w:t>Glavno tajništvo Vijeća izdaje za osobu ili osobe koje odredi pregovarač Sporazuma ispravu sa svim ovlastima potrebnima za potpisivanje Sporazuma, podložno njegovu sklapanju.</w:t>
      </w:r>
    </w:p>
    <w:p>
      <w:pPr>
        <w:pStyle w:val="Titrearticle"/>
        <w:rPr>
          <w:noProof/>
        </w:rPr>
      </w:pPr>
      <w:r>
        <w:rPr>
          <w:noProof/>
        </w:rPr>
        <w:t>Članak 4.</w:t>
      </w:r>
    </w:p>
    <w:p>
      <w:pPr>
        <w:keepLines/>
        <w:rPr>
          <w:noProof/>
        </w:rPr>
      </w:pPr>
      <w:r>
        <w:rPr>
          <w:noProof/>
        </w:rPr>
        <w:t xml:space="preserve">Ova Odluka stupa na snagu na dan donošenja. </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SL L 251, 16.9.2016., str. 1. </w:t>
      </w:r>
    </w:p>
  </w:footnote>
  <w:footnote w:id="2">
    <w:p>
      <w:pPr>
        <w:pStyle w:val="FootnoteText"/>
      </w:pPr>
      <w:r>
        <w:rPr>
          <w:rStyle w:val="FootnoteReference"/>
        </w:rPr>
        <w:footnoteRef/>
      </w:r>
      <w:r>
        <w:tab/>
        <w:t xml:space="preserve">COM(2015) 240 final. </w:t>
      </w:r>
    </w:p>
  </w:footnote>
  <w:footnote w:id="3">
    <w:p>
      <w:pPr>
        <w:pStyle w:val="FootnoteText"/>
      </w:pPr>
      <w:r>
        <w:rPr>
          <w:rStyle w:val="FootnoteReference"/>
        </w:rPr>
        <w:footnoteRef/>
      </w:r>
      <w:r>
        <w:tab/>
        <w:t xml:space="preserve">COM(2015) 185 final. </w:t>
      </w:r>
    </w:p>
  </w:footnote>
  <w:footnote w:id="4">
    <w:p>
      <w:pPr>
        <w:pStyle w:val="FootnoteText"/>
      </w:pPr>
      <w:r>
        <w:rPr>
          <w:rStyle w:val="FootnoteReference"/>
        </w:rPr>
        <w:footnoteRef/>
      </w:r>
      <w:r>
        <w:tab/>
        <w:t>SL L 334, 19.12.2007., str. 66.</w:t>
      </w:r>
    </w:p>
  </w:footnote>
  <w:footnote w:id="5">
    <w:p>
      <w:pPr>
        <w:pStyle w:val="FootnoteText"/>
      </w:pPr>
      <w:r>
        <w:rPr>
          <w:rStyle w:val="FootnoteReference"/>
        </w:rPr>
        <w:footnoteRef/>
      </w:r>
      <w:r>
        <w:tab/>
        <w:t>Uredba (EU)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2005/267/EZ (SL L 251, 16.9.2016., str. 1.).</w:t>
      </w:r>
    </w:p>
  </w:footnote>
  <w:footnote w:id="6">
    <w:p>
      <w:pPr>
        <w:pStyle w:val="FootnoteText"/>
      </w:pPr>
      <w:r>
        <w:rPr>
          <w:rStyle w:val="FootnoteReference"/>
        </w:rPr>
        <w:footnoteRef/>
      </w:r>
      <w:r>
        <w:tab/>
        <w:t>Odluka Vijeća 2000/365/EZ od 29. svibnja 2000. o zahtjevu Ujedinjene Kraljevine Velike Britanije i Sjeverne Irske za sudjelovanje u pojedinim odredbama schengenske pravne stečevine (SL L 131, 1.6.2000., str. 43.).</w:t>
      </w:r>
    </w:p>
  </w:footnote>
  <w:footnote w:id="7">
    <w:p>
      <w:pPr>
        <w:pStyle w:val="FootnoteText"/>
      </w:pPr>
      <w:r>
        <w:rPr>
          <w:rStyle w:val="FootnoteReference"/>
        </w:rPr>
        <w:footnoteRef/>
      </w:r>
      <w:r>
        <w:tab/>
        <w:t>Odluka Vijeća 2002/192/EZ od 28. veljače 2002. o zahtjevu Irske za sudjelovanje u provedbi nekih odredbi schengenske pravne stečevine (SL L 64, 7.3.2002., str.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12C5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06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898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36A2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DE4A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347F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A84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2E0A9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40: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DFFCC8E-F3BE-4503-88CC-124AEB43DF44"/>
    <w:docVar w:name="LW_COVERPAGE_TYPE" w:val="1"/>
    <w:docVar w:name="LW_CROSSREFERENCE" w:val="&lt;UNUSED&gt;"/>
    <w:docVar w:name="LW_DocType" w:val="COM"/>
    <w:docVar w:name="LW_EMISSION" w:val="28.2.2019."/>
    <w:docVar w:name="LW_EMISSION_ISODATE" w:val="2019-02-28"/>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57"/>
    <w:docVar w:name="LW_REF.II.NEW.CP_YEAR" w:val="2019"/>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potpisivanju, u ime Unije, Sporazuma izme\u273?u Europske unije i Bosne i Hercegovine o djelovanjima koja provodi Agencija za europsku grani\u269?nu i obalnu stra\u382?u u Bosni i Hercegovini"/>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3211</Words>
  <Characters>19047</Characters>
  <Application>Microsoft Office Word</Application>
  <DocSecurity>0</DocSecurity>
  <Lines>322</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2019-02-19T16:04:00Z</dcterms:created>
  <dcterms:modified xsi:type="dcterms:W3CDTF">2019-02-19T16:40:00Z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