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D85A352-E8A1-4200-BA67-8BC4BF3A6682"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spacing w:before="0" w:after="200" w:line="276" w:lineRule="auto"/>
        <w:rPr>
          <w:rFonts w:eastAsia="Calibri"/>
          <w:noProof/>
        </w:rPr>
      </w:pPr>
      <w:r>
        <w:rPr>
          <w:noProof/>
        </w:rPr>
        <w:t xml:space="preserve">Sutartyje dėl Europos Sąjungos veikimo nustatyta, kad valstybės narės savo ekonominę politiką ir užimtumo skatinimą vertina kaip bendro intereso reikalą ir savo veiksmus koordinuoja Taryboje. Joje taip pat nustatyta, kad Taryba priima užimtumo gaires (148 straipsnis), ir nurodyta, kad jos turi atitikti bendras ekonominės politikos gaires (121 straipsnis). </w:t>
      </w:r>
    </w:p>
    <w:p>
      <w:pPr>
        <w:spacing w:before="0" w:after="200" w:line="276" w:lineRule="auto"/>
        <w:rPr>
          <w:rFonts w:eastAsia="Calibri"/>
          <w:noProof/>
        </w:rPr>
      </w:pPr>
      <w:r>
        <w:rPr>
          <w:noProof/>
        </w:rPr>
        <w:t xml:space="preserve">Bendrų ekonominės politikos gairių galiojimo laikotarpis nenustatomas, o užimtumo gairės turi būti rengiamos kasmet. Šios gairės pirmą kartą bendrai („integruotas paketas“) priimtos 2010 m. pagal strategiją „Europa 2020“. Siekiant paskatinti nacionalinio lygmens reformas ir nustatyti atnaujinto konvergencijos proceso visoje Europoje kryptį, 2018 m. jos buvo suderintos su 2017 m. lapkričio mėn. Europos Parlamento, Tarybos ir Komisijos paskelbto Europos socialinių teisių ramsčio principais. </w:t>
      </w:r>
    </w:p>
    <w:p>
      <w:pPr>
        <w:spacing w:before="0" w:after="200" w:line="276" w:lineRule="auto"/>
        <w:rPr>
          <w:noProof/>
          <w:szCs w:val="24"/>
        </w:rPr>
      </w:pPr>
      <w:r>
        <w:rPr>
          <w:noProof/>
        </w:rPr>
        <w:t>Užimtumo gairės drauge su bendromis ekonominės politikos gairėmis buvo pristatytos Tarybos sprendime dėl valstybių narių užimtumo politikos gairių (Integruotų gairių II dalis) ir jomis suteiktas teisinis pagrindas konkrečioms šalims skirtoms rekomendacijoms.</w:t>
      </w:r>
    </w:p>
    <w:p>
      <w:pPr>
        <w:spacing w:before="0" w:after="200" w:line="276" w:lineRule="auto"/>
        <w:rPr>
          <w:noProof/>
        </w:rPr>
      </w:pPr>
      <w:r>
        <w:rPr>
          <w:noProof/>
        </w:rPr>
        <w:t>Visi užimtumo politikos gairėse nurodyti tikslai ir svarbiausi uždaviniai lieka galioti. Remiantis SESV 148 straipsnio 2 dalimi, gairių galiojimas 2019 m. turi būti patvirtintas Tarybos sprendimu, pasikonsultavus su Europos Parlamentu, Europos ekonomikos ir socialinių reikalų komitetu, Regionų komitetu bei Užimtumo komitetu. Užimtumo gairės priimtos 2018 m. liepos 16 d., siekiant užtikrinti didesnį dėmesį politikos įgyvendinimui.</w:t>
      </w:r>
    </w:p>
    <w:p>
      <w:pPr>
        <w:pStyle w:val="ManualHeading1"/>
        <w:rPr>
          <w:noProof/>
        </w:rPr>
      </w:pPr>
      <w:r>
        <w:rPr>
          <w:noProof/>
        </w:rPr>
        <w:t>2.</w:t>
      </w:r>
      <w:r>
        <w:rPr>
          <w:noProof/>
        </w:rPr>
        <w:tab/>
        <w:t xml:space="preserve">KONSULTACIJŲ SU SUINTERESUOTOSIOMIS ŠALIMIS IR POVEIKIO VERTINIMO REZULTATAI </w:t>
      </w:r>
    </w:p>
    <w:p>
      <w:pPr>
        <w:pStyle w:val="Text1"/>
        <w:rPr>
          <w:noProof/>
        </w:rPr>
      </w:pPr>
      <w:r>
        <w:rPr>
          <w:noProof/>
        </w:rPr>
        <w:t>Netaikoma.</w:t>
      </w:r>
    </w:p>
    <w:p>
      <w:pPr>
        <w:pStyle w:val="ManualHeading1"/>
        <w:rPr>
          <w:noProof/>
        </w:rPr>
      </w:pPr>
      <w:r>
        <w:rPr>
          <w:noProof/>
        </w:rPr>
        <w:t>3.</w:t>
      </w:r>
      <w:r>
        <w:rPr>
          <w:noProof/>
        </w:rPr>
        <w:tab/>
        <w:t>TEISINIAI PASIŪLYMO ASPEKTAI</w:t>
      </w:r>
    </w:p>
    <w:p>
      <w:pPr>
        <w:ind w:firstLine="720"/>
        <w:rPr>
          <w:rFonts w:eastAsia="Calibri"/>
          <w:iCs/>
          <w:noProof/>
        </w:rPr>
      </w:pPr>
      <w:r>
        <w:rPr>
          <w:noProof/>
        </w:rPr>
        <w:t>OL L 224, 2018 9 5, p. 4.</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2019/0056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valstybių narių užimtumo politikos gairių</w:t>
      </w:r>
      <w:r>
        <w:rPr>
          <w:noProof/>
        </w:rPr>
        <w:br/>
      </w:r>
    </w:p>
    <w:p>
      <w:pPr>
        <w:pStyle w:val="Institutionquiagit"/>
        <w:rPr>
          <w:noProof/>
        </w:rPr>
      </w:pPr>
      <w:r>
        <w:rPr>
          <w:noProof/>
        </w:rPr>
        <w:t>EUROPOS SĄJUNGOS TARYBA,</w:t>
      </w:r>
    </w:p>
    <w:p>
      <w:pPr>
        <w:rPr>
          <w:noProof/>
        </w:rPr>
      </w:pPr>
      <w:r>
        <w:rPr>
          <w:noProof/>
        </w:rPr>
        <w:t>atsižvelgdama į Sutartį dėl Europos Sąjungos veikimo, ypač į jos 148 straipsnio 2 dalį,</w:t>
      </w:r>
    </w:p>
    <w:p>
      <w:pPr>
        <w:rPr>
          <w:noProof/>
        </w:rPr>
      </w:pPr>
      <w:r>
        <w:rPr>
          <w:noProof/>
        </w:rPr>
        <w:t>atsižvelgdama į Europos Komisijos pasiūlymą,</w:t>
      </w:r>
    </w:p>
    <w:p>
      <w:pPr>
        <w:rPr>
          <w:noProof/>
        </w:rPr>
      </w:pPr>
      <w:r>
        <w:rPr>
          <w:noProof/>
        </w:rPr>
        <w:t>atsižvelgdama į Europos Parlamento nuomonę</w:t>
      </w:r>
      <w:r>
        <w:rPr>
          <w:rStyle w:val="FootnoteReference"/>
          <w:noProof/>
        </w:rPr>
        <w:footnoteReference w:id="1"/>
      </w:r>
      <w:r>
        <w:rPr>
          <w:noProof/>
        </w:rPr>
        <w:t>,</w:t>
      </w:r>
    </w:p>
    <w:p>
      <w:pPr>
        <w:rPr>
          <w:noProof/>
        </w:rPr>
      </w:pPr>
      <w:r>
        <w:rPr>
          <w:noProof/>
        </w:rPr>
        <w:t>atsižvelgdama į Europos ekonomikos ir socialinių reikalų komiteto nuomonę</w:t>
      </w:r>
      <w:r>
        <w:rPr>
          <w:rStyle w:val="FootnoteReference"/>
          <w:noProof/>
        </w:rPr>
        <w:footnoteReference w:id="2"/>
      </w:r>
      <w:r>
        <w:rPr>
          <w:noProof/>
        </w:rPr>
        <w:t>,</w:t>
      </w:r>
    </w:p>
    <w:p>
      <w:pPr>
        <w:rPr>
          <w:noProof/>
        </w:rPr>
      </w:pPr>
      <w:r>
        <w:rPr>
          <w:noProof/>
        </w:rPr>
        <w:t>atsižvelgdama į Regionų komiteto nuomonę</w:t>
      </w:r>
      <w:r>
        <w:rPr>
          <w:rStyle w:val="FootnoteReference"/>
          <w:noProof/>
        </w:rPr>
        <w:footnoteReference w:id="3"/>
      </w:r>
      <w:r>
        <w:rPr>
          <w:noProof/>
        </w:rPr>
        <w:t>,</w:t>
      </w:r>
    </w:p>
    <w:p>
      <w:pPr>
        <w:rPr>
          <w:noProof/>
        </w:rPr>
      </w:pPr>
      <w:r>
        <w:rPr>
          <w:noProof/>
        </w:rPr>
        <w:t>atsižvelgdama į Užimtumo komiteto nuomonę</w:t>
      </w:r>
      <w:r>
        <w:rPr>
          <w:rStyle w:val="FootnoteReference"/>
          <w:noProof/>
        </w:rPr>
        <w:footnoteReference w:id="4"/>
      </w:r>
      <w:r>
        <w:rPr>
          <w:noProof/>
        </w:rPr>
        <w:t>,</w:t>
      </w:r>
    </w:p>
    <w:p>
      <w:pPr>
        <w:rPr>
          <w:noProof/>
        </w:rPr>
      </w:pPr>
      <w:r>
        <w:rPr>
          <w:noProof/>
        </w:rPr>
        <w:t>kadangi:</w:t>
      </w:r>
    </w:p>
    <w:p>
      <w:pPr>
        <w:pStyle w:val="ManualConsidrant"/>
        <w:rPr>
          <w:noProof/>
        </w:rPr>
      </w:pPr>
      <w:r>
        <w:rPr>
          <w:noProof/>
        </w:rPr>
        <w:t>(1)</w:t>
      </w:r>
      <w:r>
        <w:rPr>
          <w:noProof/>
        </w:rPr>
        <w:tab/>
        <w:t xml:space="preserve">valstybės narės ir Sąjunga turi siekti parengti suderintą strategiją, skirtą užimtumui ir, visų pirma, kvalifikuotos, tinkamai parengtos, gebančios prisitaikyti darbo jėgos ir į ekonomikos pokyčius reaguojančių darbo rinkų rėmimui, kad būtų pasiekti Europos Sąjungos sutarties 3 straipsnyje nustatyti visiško užimtumo ir socialinės pažangos tikslai; </w:t>
      </w:r>
    </w:p>
    <w:p>
      <w:pPr>
        <w:pStyle w:val="ManualConsidrant"/>
        <w:rPr>
          <w:noProof/>
        </w:rPr>
      </w:pPr>
      <w:r>
        <w:rPr>
          <w:noProof/>
        </w:rPr>
        <w:t>(2)</w:t>
      </w:r>
      <w:r>
        <w:rPr>
          <w:noProof/>
        </w:rPr>
        <w:tab/>
        <w:t>vadovaudamasi Sutartimi dėl Europos Sąjungos veikimo (SESV), Sąjunga parengė ir įgyvendino fiskalinės, makroekonominės ir struktūrinės politikos derinimo priemones. Šios valstybių narių užimtumo politikos gairės kartu su Tarybos rekomendacijoje (ES) 2015/1184</w:t>
      </w:r>
      <w:r>
        <w:rPr>
          <w:rStyle w:val="FootnoteReference"/>
          <w:noProof/>
        </w:rPr>
        <w:footnoteReference w:id="5"/>
      </w:r>
      <w:r>
        <w:rPr>
          <w:noProof/>
        </w:rPr>
        <w:t xml:space="preserve"> nustatytomis valstybių narių ir Sąjungos ekonominės politikos bendromis gairėmis sudaro integruotas strategijos „Europa 2020“ įgyvendinimo gaires. Gairėmis, atspindinčiomis valstybių narių tarpusavio priklausomybę, turi būti vadovaujamasi įgyvendinant politiką valstybėse narėse ir Sąjungoje. Tokiu būdu suderinta Europos ir nacionalinė politika bei reformos turi sudaryti tinkamą bendrą ekonominės ir socialinės politikos priemonių derinį, kuriuo turėtų būti užtikrintas teigiamas poveikis;</w:t>
      </w:r>
    </w:p>
    <w:p>
      <w:pPr>
        <w:pStyle w:val="ManualConsidrant"/>
        <w:rPr>
          <w:noProof/>
        </w:rPr>
      </w:pPr>
      <w:r>
        <w:rPr>
          <w:noProof/>
        </w:rPr>
        <w:t>(3)</w:t>
      </w:r>
      <w:r>
        <w:rPr>
          <w:noProof/>
        </w:rPr>
        <w:tab/>
        <w:t>Europos semestru, sujungiančiu šias skirtingas priemones į visaapimančią sistemą, skirtą integruotai daugiašalei ekonomikos, biudžeto, užimtumo bei socialinės politikos stebėsenai, siekiama strategijos „Europa 2020“ tikslų, be kita ko, užimtumo, švietimo ir skurdo mažinimo srityse, kaip nustatyta Tarybos sprendime 2010/707/ES</w:t>
      </w:r>
      <w:r>
        <w:rPr>
          <w:rStyle w:val="FootnoteReference"/>
          <w:noProof/>
        </w:rPr>
        <w:footnoteReference w:id="6"/>
      </w:r>
      <w:r>
        <w:rPr>
          <w:noProof/>
        </w:rPr>
        <w:t>. Remiant tokius politikos tikslus kaip investicijų didinimas, struktūrinių reformų vykdymas ir atsakingos fiskalinės politikos užtikrinimas, nuo 2015 m. Europos semestras buvo nuolat stiprinamas ir racionalizuojamas. Ypač buvo sustiprintas jo užimtumo ir socialinis aspektas ir suintensyvintas dialogas su valstybėmis narėmis, socialiniais partneriais ir pilietinės visuomenės atstovais;</w:t>
      </w:r>
    </w:p>
    <w:p>
      <w:pPr>
        <w:pStyle w:val="ManualConsidrant"/>
        <w:rPr>
          <w:noProof/>
        </w:rPr>
      </w:pPr>
      <w:r>
        <w:rPr>
          <w:noProof/>
        </w:rPr>
        <w:t>(4)</w:t>
      </w:r>
      <w:r>
        <w:rPr>
          <w:noProof/>
        </w:rPr>
        <w:tab/>
        <w:t xml:space="preserve">2017 m. lapkričio mėn. Europos Parlamentas, Taryba ir Komisija pasirašė Tarpinstitucinę deklaraciją dėl Europos socialinių teisių ramsčio, kuriuo nustatyta dvidešimt principų ir teisių, kuriais siekiama remti gerai veikiančias ir sąžiningas darbo rinkas bei socialinės gerovės sistemas. Šis ramstis yra orientacinė valstybių narių užimtumo ir socialinių rodiklių stebėsenos priemonė, kuria skatinamos nacionalinio lygmens reformos ir nustatoma atnaujinto konvergencijos proceso visoje Europoje kryptis; </w:t>
      </w:r>
    </w:p>
    <w:p>
      <w:pPr>
        <w:pStyle w:val="ManualConsidrant"/>
        <w:rPr>
          <w:noProof/>
        </w:rPr>
      </w:pPr>
      <w:r>
        <w:rPr>
          <w:noProof/>
        </w:rPr>
        <w:t xml:space="preserve">(5) </w:t>
      </w:r>
      <w:r>
        <w:rPr>
          <w:noProof/>
        </w:rPr>
        <w:tab/>
        <w:t>integruotos gairės turėtų būti konkrečioms šalims skirtų rekomendacijų, kurias Taryba gali pateikti valstybėms narėms, pagrindas. Valstybės narės, įgyvendindamos užimtumo gaires, turėtų visokeriopai pasinaudoti Europos socialinio fondo ir kitų Sąjungos fondų lėšomis. Nors integruotos gairės yra skirtos valstybėms narėms ir Sąjungai, jos turėtų būti įgyvendinamos palaikant partnerystę su visomis nacionalinėmis, regioninėmis ir vietos valdžios institucijomis, glaudžiai įtraukiant parlamentus, socialinius partnerius ir pilietinės visuomenės atstovus;</w:t>
      </w:r>
    </w:p>
    <w:p>
      <w:pPr>
        <w:pStyle w:val="ManualConsidrant"/>
        <w:rPr>
          <w:noProof/>
        </w:rPr>
      </w:pPr>
      <w:r>
        <w:rPr>
          <w:noProof/>
        </w:rPr>
        <w:t>(6)</w:t>
      </w:r>
      <w:r>
        <w:rPr>
          <w:noProof/>
        </w:rPr>
        <w:tab/>
        <w:t>Užimtumo komitetas ir Socialinės apsaugos komitetas, vadovaudamiesi atitinkamais Sutartyje nustatytais savo įgaliojimais, turėtų stebėti, kaip atsižvelgiant į užimtumo gaires įgyvendinamos atitinkamos politikos kryptys. Šie komitetai ir kiti Tarybos parengiamieji organai, susiję su ekonominės ir socialinės politikos koordinavimu, turėtų glaudžiai tarpusavyje bendradarbiauti. Europos Parlamentas, Taryba ir Komisija turėtų tęsti politinį dialogą, visų pirma dėl valstybių narių užimtumo politikos gairių;</w:t>
      </w:r>
    </w:p>
    <w:p>
      <w:pPr>
        <w:pStyle w:val="ManualConsidrant"/>
        <w:rPr>
          <w:noProof/>
        </w:rPr>
      </w:pPr>
      <w:r>
        <w:rPr>
          <w:noProof/>
        </w:rPr>
        <w:t>(7)</w:t>
      </w:r>
      <w:r>
        <w:rPr>
          <w:noProof/>
        </w:rPr>
        <w:tab/>
        <w:t>buvo pasikonsultuota su Socialinės apsaugos komitetu;</w:t>
      </w:r>
    </w:p>
    <w:p>
      <w:pPr>
        <w:pStyle w:val="ManualConsidrant"/>
        <w:rPr>
          <w:noProof/>
        </w:rPr>
      </w:pPr>
      <w:r>
        <w:rPr>
          <w:noProof/>
        </w:rPr>
        <w:t>(8)</w:t>
      </w:r>
      <w:r>
        <w:rPr>
          <w:noProof/>
        </w:rPr>
        <w:tab/>
        <w:t>2018 m. priimtos užimtumo gairės neturėtų būti keičiamos, kad būtų galima daugiausia dėmesio skirti jų įgyvendinimui. Atsižvelgiant į pokyčių darbo rinkoje ir socialinės padėties įvertinimą po užimtumo gairių priėmimo 2018 m., atnaujinimas nėra reikalingas. Jų priėmimo 2018 m. priežastys tebegalioja, todėl tos gairės turėtų būti toliau taikomos,</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Sprendimo (ES) 2018/1215</w:t>
      </w:r>
      <w:r>
        <w:rPr>
          <w:rStyle w:val="FootnoteReference"/>
          <w:noProof/>
        </w:rPr>
        <w:footnoteReference w:id="7"/>
      </w:r>
      <w:r>
        <w:rPr>
          <w:noProof/>
        </w:rPr>
        <w:t xml:space="preserve"> priede išdėstytos valstybių narių užimtumo politikos gairės toliau taikomos 2019 m., o valstybės narės į jas atsižvelgia įgyvendindamos užimtumo politiką ir reformų programas.</w:t>
      </w:r>
    </w:p>
    <w:p>
      <w:pPr>
        <w:pStyle w:val="Titrearticle"/>
        <w:rPr>
          <w:noProof/>
        </w:rPr>
      </w:pPr>
      <w:r>
        <w:rPr>
          <w:noProof/>
        </w:rPr>
        <w:t>2 straipsnis</w:t>
      </w:r>
    </w:p>
    <w:p>
      <w:pPr>
        <w:keepNext/>
        <w:keepLines/>
        <w:rPr>
          <w:noProof/>
        </w:rPr>
      </w:pPr>
      <w:r>
        <w:rPr>
          <w:noProof/>
        </w:rPr>
        <w:t>Šis sprendimas skirtas valstybėms narėms.</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OL C , , p. .</w:t>
      </w:r>
    </w:p>
  </w:footnote>
  <w:footnote w:id="2">
    <w:p>
      <w:pPr>
        <w:pStyle w:val="FootnoteText"/>
        <w:rPr>
          <w:lang w:val="pl-PL"/>
        </w:rPr>
      </w:pPr>
      <w:r>
        <w:rPr>
          <w:rStyle w:val="FootnoteReference"/>
        </w:rPr>
        <w:footnoteRef/>
      </w:r>
      <w:r>
        <w:tab/>
        <w:t>OL C , , p. .</w:t>
      </w:r>
    </w:p>
  </w:footnote>
  <w:footnote w:id="3">
    <w:p>
      <w:pPr>
        <w:pStyle w:val="FootnoteText"/>
        <w:rPr>
          <w:lang w:val="pl-PL"/>
        </w:rPr>
      </w:pPr>
      <w:r>
        <w:rPr>
          <w:rStyle w:val="FootnoteReference"/>
        </w:rPr>
        <w:footnoteRef/>
      </w:r>
      <w:r>
        <w:tab/>
        <w:t>OL C , , p. .</w:t>
      </w:r>
    </w:p>
  </w:footnote>
  <w:footnote w:id="4">
    <w:p>
      <w:pPr>
        <w:pStyle w:val="FootnoteText"/>
        <w:rPr>
          <w:lang w:val="pl-PL"/>
        </w:rPr>
      </w:pPr>
      <w:r>
        <w:rPr>
          <w:rStyle w:val="FootnoteReference"/>
        </w:rPr>
        <w:footnoteRef/>
      </w:r>
      <w:r>
        <w:tab/>
        <w:t>OL C , , p. .</w:t>
      </w:r>
    </w:p>
  </w:footnote>
  <w:footnote w:id="5">
    <w:p>
      <w:pPr>
        <w:pStyle w:val="FootnoteText"/>
        <w:rPr>
          <w:b/>
          <w:lang w:val="en"/>
        </w:rPr>
      </w:pPr>
      <w:r>
        <w:rPr>
          <w:rStyle w:val="FootnoteReference"/>
        </w:rPr>
        <w:footnoteRef/>
      </w:r>
      <w:r>
        <w:tab/>
        <w:t>2015 m. liepos 14 d. Tarybos rekomendacija (ES) 2015/1184 dėl valstybių narių ir Europos Sąjungos ekonominės politikos bendrų gairių (OL L 192, 2015 7 18, p. 27).</w:t>
      </w:r>
    </w:p>
  </w:footnote>
  <w:footnote w:id="6">
    <w:p>
      <w:pPr>
        <w:pStyle w:val="FootnoteText"/>
      </w:pPr>
      <w:r>
        <w:rPr>
          <w:rStyle w:val="FootnoteReference"/>
        </w:rPr>
        <w:footnoteRef/>
      </w:r>
      <w:r>
        <w:tab/>
        <w:t>2010 m. spalio 21 d. Tarybos sprendimas 2010/707/ES dėl valstybių narių užimtumo politikos gairių (OL L 308, 2010 11 24, p. 46).</w:t>
      </w:r>
    </w:p>
  </w:footnote>
  <w:footnote w:id="7">
    <w:p>
      <w:pPr>
        <w:pStyle w:val="FootnoteText"/>
      </w:pPr>
      <w:r>
        <w:rPr>
          <w:rStyle w:val="FootnoteReference"/>
        </w:rPr>
        <w:footnoteRef/>
      </w:r>
      <w:r>
        <w:tab/>
        <w:t>2018 m. liepos 16 d. Tarybos sprendimas (ES) 2018/1215 dėl valstybių narių užimtumo politikos gairių (OL L 224, 2018 9 5, p. 4).</w:t>
      </w:r>
    </w:p>
    <w:p>
      <w:pPr>
        <w:pStyle w:val="FootnoteText"/>
        <w:rPr>
          <w:lang w:val="en"/>
        </w:rPr>
      </w:pPr>
    </w:p>
    <w:p>
      <w:pPr>
        <w:pStyle w:val="FootnoteText"/>
        <w:ind w:left="0" w:firstLine="0"/>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60AF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94D8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960B4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FC25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E3875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D4EFA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745DCC"/>
    <w:lvl w:ilvl="0">
      <w:start w:val="1"/>
      <w:numFmt w:val="decimal"/>
      <w:pStyle w:val="ListNumber"/>
      <w:lvlText w:val="%1."/>
      <w:lvlJc w:val="left"/>
      <w:pPr>
        <w:tabs>
          <w:tab w:val="num" w:pos="360"/>
        </w:tabs>
        <w:ind w:left="360" w:hanging="360"/>
      </w:pPr>
    </w:lvl>
  </w:abstractNum>
  <w:abstractNum w:abstractNumId="7">
    <w:nsid w:val="FFFFFF89"/>
    <w:multiLevelType w:val="singleLevel"/>
    <w:tmpl w:val="087CEA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6:27:3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D85A352-E8A1-4200-BA67-8BC4BF3A6682"/>
    <w:docVar w:name="LW_COVERPAGE_TYPE" w:val="1"/>
    <w:docVar w:name="LW_CROSSREFERENCE" w:val="&lt;UNUSED&gt;"/>
    <w:docVar w:name="LW_DocType" w:val="COM"/>
    <w:docVar w:name="LW_EMISSION" w:val="2019 02 27"/>
    <w:docVar w:name="LW_EMISSION_ISODATE" w:val="2019-02-27"/>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56"/>
    <w:docVar w:name="LW_REF.II.NEW.CP_YEAR" w:val="2019"/>
    <w:docVar w:name="LW_REF.INST.NEW" w:val="COM"/>
    <w:docVar w:name="LW_REF.INST.NEW_ADOPTED" w:val="final"/>
    <w:docVar w:name="LW_REF.INST.NEW_TEXT" w:val="(2019) 1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valstybi\u371? nari\u371? u\u382?imtumo politikos gairi\u371?_x000b_"/>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E26E-ED68-407A-9A06-12BF7B73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786</Words>
  <Characters>5593</Characters>
  <Application>Microsoft Office Word</Application>
  <DocSecurity>0</DocSecurity>
  <Lines>101</Lines>
  <Paragraphs>43</Paragraphs>
  <ScaleCrop>false</ScaleCrop>
  <Manager/>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2019-02-20T15:48:00Z</dcterms:created>
  <dcterms:modified xsi:type="dcterms:W3CDTF">2019-03-01T15:27:00Z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