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5DA8161-07CF-442F-9598-85C6C9388AF0" style="width:450.75pt;height:366pt">
            <v:imagedata r:id="rId10" o:title=""/>
          </v:shape>
        </w:pict>
      </w:r>
    </w:p>
    <w:p>
      <w:pPr>
        <w:spacing w:before="0" w:after="200" w:line="276" w:lineRule="auto"/>
        <w:jc w:val="left"/>
        <w:rPr>
          <w:b/>
          <w:noProof/>
          <w:u w:val="single"/>
        </w:rPr>
      </w:pPr>
      <w:r>
        <w:rPr>
          <w:noProof/>
        </w:rPr>
        <w:br w:type="page"/>
      </w:r>
    </w:p>
    <w:p>
      <w:pPr>
        <w:pStyle w:val="Exposdesmotifstitre"/>
        <w:rPr>
          <w:noProof/>
        </w:rPr>
      </w:pPr>
      <w:r>
        <w:rPr>
          <w:noProof/>
        </w:rPr>
        <w:lastRenderedPageBreak/>
        <w:t>BEGRUNDELSE</w:t>
      </w:r>
    </w:p>
    <w:p>
      <w:pPr>
        <w:pStyle w:val="ManualHeading1"/>
        <w:rPr>
          <w:rFonts w:eastAsia="Arial Unicode MS"/>
          <w:noProof/>
        </w:rPr>
      </w:pPr>
      <w:r>
        <w:t>1.</w:t>
      </w:r>
      <w:r>
        <w:tab/>
      </w:r>
      <w:r>
        <w:rPr>
          <w:noProof/>
        </w:rPr>
        <w:t>Forslagets genstand</w:t>
      </w:r>
    </w:p>
    <w:p>
      <w:pPr>
        <w:autoSpaceDE w:val="0"/>
        <w:autoSpaceDN w:val="0"/>
        <w:adjustRightInd w:val="0"/>
        <w:spacing w:before="0" w:after="0"/>
        <w:rPr>
          <w:rFonts w:eastAsia="Arial Unicode MS"/>
          <w:noProof/>
        </w:rPr>
      </w:pPr>
      <w:r>
        <w:rPr>
          <w:noProof/>
        </w:rPr>
        <w:t xml:space="preserve">Dette forslag omhandler afgørelsen om den holdning, der skal indtages på Unionens vegne i det politiske udvalg i det internationale partnerskab for samarbejde om energieffektivitet (IPEEC) i forbindelse med den planlagte vedtagelse af forlængelsen af det eksisterende kommissorium for det internationale partnerskab for samarbejde om energieffektivitet for perioden 24. maj til 31. december 2019. </w:t>
      </w:r>
    </w:p>
    <w:p>
      <w:pPr>
        <w:pStyle w:val="ManualHeading1"/>
        <w:rPr>
          <w:noProof/>
        </w:rPr>
      </w:pPr>
      <w:r>
        <w:t>2.</w:t>
      </w:r>
      <w:r>
        <w:tab/>
      </w:r>
      <w:r>
        <w:rPr>
          <w:noProof/>
        </w:rPr>
        <w:t>Baggrund for forslaget</w:t>
      </w:r>
    </w:p>
    <w:p>
      <w:pPr>
        <w:pStyle w:val="ManualHeading2"/>
        <w:rPr>
          <w:noProof/>
        </w:rPr>
      </w:pPr>
      <w:r>
        <w:t>2.1.</w:t>
      </w:r>
      <w:r>
        <w:tab/>
      </w:r>
      <w:r>
        <w:rPr>
          <w:noProof/>
        </w:rPr>
        <w:t>Det internationale partnerskab for samarbejde om energieffektivitet</w:t>
      </w:r>
    </w:p>
    <w:p>
      <w:pPr>
        <w:rPr>
          <w:noProof/>
        </w:rPr>
      </w:pPr>
      <w:r>
        <w:rPr>
          <w:noProof/>
        </w:rPr>
        <w:t>På Europa-Kommissionens initiativ besluttede G8-medlemmerne, Kina, Indien, Sydkorea og Kommissionen i juni 2008 at oprette et internationalt partnerskab for samarbejde om energieffektivitet (IPEEC), som skal fremme tiltag, som øger energieffektiviteten. Med IPEEC tilvejebringes et forum for drøftelser, konsultation og informationsudveksling. Det har i de seneste år spillet en vigtig rolle med hensyn til at sikre den overordnede koordinering og støtte samarbejdet inden for rammerne af G20's energieffektivitetsprogram. IPEEC er åbent for andre lande og mellemstatslige organisationer.</w:t>
      </w:r>
    </w:p>
    <w:p>
      <w:pPr>
        <w:rPr>
          <w:noProof/>
        </w:rPr>
      </w:pPr>
      <w:r>
        <w:rPr>
          <w:noProof/>
        </w:rPr>
        <w:t>Den 24. maj 2009 blev kommissoriet for det internationale partnerskab for samarbejde om energieffektivitet ("kommissoriet") undertegnet i Rom for en periode på 10 år (indtil den 24. maj 2019) af 12 stater, herunder fire medlemsstater af Den Europæiske Union.</w:t>
      </w:r>
    </w:p>
    <w:p>
      <w:pPr>
        <w:rPr>
          <w:noProof/>
        </w:rPr>
      </w:pPr>
      <w:r>
        <w:rPr>
          <w:noProof/>
        </w:rPr>
        <w:t>Ifølge punkt 4.2 i kommissoriet er IPEEC åbent for mellemstatslige organisationer, og medlemskab er betinget af, at dette kommissorium undertegnes. Unionen undertegnede og indgik derfor kommissoriet i henhold til Rådets afgørelse 2009/954/EF</w:t>
      </w:r>
      <w:r>
        <w:rPr>
          <w:rStyle w:val="FootnoteReference"/>
          <w:noProof/>
        </w:rPr>
        <w:footnoteReference w:id="1"/>
      </w:r>
      <w:r>
        <w:rPr>
          <w:noProof/>
        </w:rPr>
        <w:t xml:space="preserve">. </w:t>
      </w:r>
    </w:p>
    <w:p>
      <w:pPr>
        <w:rPr>
          <w:noProof/>
        </w:rPr>
      </w:pPr>
      <w:r>
        <w:rPr>
          <w:noProof/>
        </w:rPr>
        <w:t>Kommissoriet beskriver IPEEC's samarbejdsaktiviteter, fastlægger dets organisation, fastlægger kriterierne for eventuelle nye medlemmer og indeholder bestemmelser om blandt andet finansiering af partnerskabet og intellektuelle ejendomsrettigheder.</w:t>
      </w:r>
    </w:p>
    <w:p>
      <w:pPr>
        <w:rPr>
          <w:noProof/>
        </w:rPr>
      </w:pPr>
      <w:r>
        <w:rPr>
          <w:noProof/>
        </w:rPr>
        <w:t>Både Unionen og dens medlemsstater har kompetence på de områder, som kommissoriet dækker. Det er derfor nødvendigt at anlægge sammenhængende holdninger i overensstemmelse med de respektive kompetencer, navnlig hvad angår miljø og energi.</w:t>
      </w:r>
    </w:p>
    <w:p>
      <w:pPr>
        <w:rPr>
          <w:noProof/>
        </w:rPr>
      </w:pPr>
      <w:r>
        <w:rPr>
          <w:noProof/>
        </w:rPr>
        <w:t xml:space="preserve">IPEEC forvaltes af et sekretariat, der tilrettelægger møder for partnerskabets politiske udvalg og forretningsudvalg. Sekretariatet yder også støtte til eksisterende arbejdsgrupper og opretholder kommunikationen mellem IPEEC-medlemmerne og de bredere energipolitiske kredse. </w:t>
      </w:r>
    </w:p>
    <w:p>
      <w:pPr>
        <w:rPr>
          <w:noProof/>
        </w:rPr>
      </w:pPr>
      <w:r>
        <w:rPr>
          <w:noProof/>
        </w:rPr>
        <w:t>I henhold til punkt 7.1 i kommissoriet er det gyldigt i en periode på 10 år indtil den 24. maj 2019, medmindre det forlænges eller ophæves af medlemmerne.</w:t>
      </w:r>
    </w:p>
    <w:p>
      <w:pPr>
        <w:rPr>
          <w:rFonts w:ascii="Open Sans" w:hAnsi="Open Sans"/>
          <w:noProof/>
          <w:sz w:val="21"/>
          <w:szCs w:val="21"/>
        </w:rPr>
      </w:pPr>
      <w:hyperlink r:id="rId11">
        <w:r>
          <w:rPr>
            <w:noProof/>
          </w:rPr>
          <w:t>Det Internationale Energiagentur</w:t>
        </w:r>
      </w:hyperlink>
      <w:r>
        <w:rPr>
          <w:noProof/>
        </w:rPr>
        <w:t xml:space="preserve"> (IEA) i Paris i Frankrig er vært for sekretariatet. Henholdsvis den 24. maj 2009 og den 22. juni 2009 undertegnede 12 stater, herunder fire EU-medlemsstater, i Rom et memorandum vedrørende Det Internationale Energiagenturs varetagelse af IPEEC's sekretariat ("memorandummet"). IEA undertegnede memorandummet </w:t>
      </w:r>
      <w:r>
        <w:rPr>
          <w:noProof/>
        </w:rPr>
        <w:lastRenderedPageBreak/>
        <w:t>den 18. juni 2009, og Unionen undertegnede og indgik ligeledes memorandummet i henhold til Rådets afgørelse 2009/954/EF</w:t>
      </w:r>
      <w:r>
        <w:rPr>
          <w:rStyle w:val="FootnoteReference"/>
          <w:noProof/>
        </w:rPr>
        <w:footnoteReference w:id="2"/>
      </w:r>
      <w:r>
        <w:rPr>
          <w:noProof/>
        </w:rPr>
        <w:t>.</w:t>
      </w:r>
    </w:p>
    <w:p>
      <w:pPr>
        <w:rPr>
          <w:noProof/>
        </w:rPr>
      </w:pPr>
      <w:r>
        <w:rPr>
          <w:noProof/>
        </w:rPr>
        <w:t>I memorandummet beskrives de generelle principper vedrørende tilrettelæggelsen af sekretariatet, og det indeholder bestemmelser om personale og ansættelse i sekretariatet, samt om finansiering og budgetprocedurer. Den Europæiske Union yder et bidrag til IPEEC's administrative udgifter.</w:t>
      </w:r>
    </w:p>
    <w:p>
      <w:pPr>
        <w:rPr>
          <w:noProof/>
        </w:rPr>
      </w:pPr>
      <w:r>
        <w:rPr>
          <w:noProof/>
        </w:rPr>
        <w:t>I henhold til memorandummets punkt 17 gælder følgende: "</w:t>
      </w:r>
      <w:r>
        <w:rPr>
          <w:i/>
          <w:noProof/>
        </w:rPr>
        <w:t xml:space="preserve">Dette memorandum kan på et hvilket som helst tidspunkt bringes til ophør af IEA eller forretningsudvalget </w:t>
      </w:r>
      <w:r>
        <w:rPr>
          <w:noProof/>
        </w:rPr>
        <w:t>[for IPEEC]</w:t>
      </w:r>
      <w:r>
        <w:rPr>
          <w:i/>
          <w:noProof/>
        </w:rPr>
        <w:t>. De bør tilstræbe at give hinanden mindst 12 måneders skriftlig varsel herom</w:t>
      </w:r>
      <w:r>
        <w:rPr>
          <w:noProof/>
        </w:rPr>
        <w:t>". Det fremgår af dette punkt, at memorandummet blev indgået på ubestemt tid.</w:t>
      </w:r>
    </w:p>
    <w:p>
      <w:pPr>
        <w:pStyle w:val="ManualHeading2"/>
        <w:rPr>
          <w:noProof/>
        </w:rPr>
      </w:pPr>
      <w:r>
        <w:t>2.2.</w:t>
      </w:r>
      <w:r>
        <w:tab/>
      </w:r>
      <w:r>
        <w:rPr>
          <w:noProof/>
        </w:rPr>
        <w:t>IPEEC's politiske udvalg</w:t>
      </w:r>
    </w:p>
    <w:p>
      <w:pPr>
        <w:rPr>
          <w:noProof/>
        </w:rPr>
      </w:pPr>
      <w:r>
        <w:rPr>
          <w:noProof/>
        </w:rPr>
        <w:t>Det politiske udvalg (der i øjeblikket har Europa-Kommissionen som formand) styrer IPEEC's overordnede ramme og politiske initiativer og evaluerer fremskridtene med hensyn til IPEEC's arbejde inden for rammerne af brede strategiske prioriteter. Det politiske udvalg er sammensat af en repræsentant på højt niveau fra hvert medlem.</w:t>
      </w:r>
    </w:p>
    <w:p>
      <w:pPr>
        <w:rPr>
          <w:noProof/>
        </w:rPr>
      </w:pPr>
      <w:r>
        <w:rPr>
          <w:noProof/>
        </w:rPr>
        <w:t xml:space="preserve">Foruden det politiske udvalg findes der et forretningsudvalg (der i øjeblikket har Canada som formand), som består af en repræsentant på mellemniveau fra hvert medlem, og som vedtager medlemsstaternes forslag og behandler anmodninger om medlemskab. Det udarbejder også forslag til arbejdsgrupper, overvåger fremskridt inden for arbejdsgrupper, godkender det årlige arbejdsprogram og budgettet og vejleder IPEEC-sekretariatet. </w:t>
      </w:r>
    </w:p>
    <w:p>
      <w:pPr>
        <w:rPr>
          <w:noProof/>
        </w:rPr>
      </w:pPr>
      <w:r>
        <w:rPr>
          <w:noProof/>
        </w:rPr>
        <w:t xml:space="preserve">I henhold til punkt 3.4 i kommissoriet bør det politiske udvalg og forretningsudvalget træffe beslutninger på grundlag af konsensus, medmindre andet er fastlagt. </w:t>
      </w:r>
    </w:p>
    <w:p>
      <w:pPr>
        <w:rPr>
          <w:noProof/>
        </w:rPr>
      </w:pPr>
      <w:r>
        <w:rPr>
          <w:noProof/>
        </w:rPr>
        <w:t xml:space="preserve">I IPEEC-sekretariatet er holdningen, at det politiske udvalg har beføjelse til at forlænge IPEEC's kommissorium i sin rolle som plenarforsamling bestående af højtstående repræsentanter for alle IPEEC-medlemmerne. </w:t>
      </w:r>
    </w:p>
    <w:p>
      <w:pPr>
        <w:pStyle w:val="ManualHeading2"/>
        <w:rPr>
          <w:noProof/>
        </w:rPr>
      </w:pPr>
      <w:r>
        <w:t>2.3.</w:t>
      </w:r>
      <w:r>
        <w:tab/>
      </w:r>
      <w:r>
        <w:rPr>
          <w:noProof/>
        </w:rPr>
        <w:t xml:space="preserve">Det politiske udvalgs påtænkte retsakt </w:t>
      </w:r>
    </w:p>
    <w:p>
      <w:pPr>
        <w:rPr>
          <w:noProof/>
        </w:rPr>
      </w:pPr>
      <w:r>
        <w:rPr>
          <w:noProof/>
        </w:rPr>
        <w:t>På det 16. møde i det politiske udvalg vedtog IPEEC-medlemmerne den 21. februar 2019 en beslutning om at forlænge varigheden af IPEEC's kommissorium frem til den 31. december 2019, uden at dette foregriber Unionens holdning, som endnu ikke er fastlagt efter proceduren i artikel 218, stk. 9, i TEUF.</w:t>
      </w:r>
    </w:p>
    <w:p>
      <w:pPr>
        <w:rPr>
          <w:noProof/>
        </w:rPr>
      </w:pPr>
      <w:r>
        <w:rPr>
          <w:noProof/>
        </w:rPr>
        <w:t>IPEEC-sekretariatet foreslog en kortvarig forlængelse af IPEEC's kommissorium for at undgå en brat afslutning af IPEEC's aktiviteter den 24. maj 2019 ved udløbet af den 10-årige periode, der er fastsat i kommissoriet.</w:t>
      </w:r>
    </w:p>
    <w:p>
      <w:pPr>
        <w:rPr>
          <w:rFonts w:eastAsia="Arial Unicode MS"/>
          <w:noProof/>
        </w:rPr>
      </w:pPr>
      <w:r>
        <w:rPr>
          <w:noProof/>
        </w:rPr>
        <w:t>For at "styrke det internationale samarbejde om energieffektivitet, undgå overlapning af arbejdsgange mellem internationale organisationer, der arbejder med energieffektivitet, og skabe muligheder for en mere effektiv udnyttelse af ressourcerne med større gennemslagskraft i samarbejdet" foreslog det tyske G20-formandskab i 2017 at undersøge muligheden for at etablere en hub for energieffektivitet ("hub"). Efter intense forhandlinger blev der fremsat et forslag om at oprette en sådan hub inden for rammerne af IEA, hvormed der ville skabes synergier mellem IPEEC og IEA, og videreførelsen af IPEEC's arbejde ville sikres efter udløbet af IPEEC-kommissoriet den 24. maj 2019.</w:t>
      </w:r>
    </w:p>
    <w:p>
      <w:pPr>
        <w:rPr>
          <w:rFonts w:eastAsia="Arial Unicode MS"/>
          <w:noProof/>
        </w:rPr>
      </w:pPr>
      <w:r>
        <w:rPr>
          <w:noProof/>
        </w:rPr>
        <w:t xml:space="preserve">Den 20. februar 2019 godkendte IEA's Styrelsesråd oprettelsen af en hub for energieffektivitet som en særlig aktivitet i henhold til artikel 65 i aftalen om et internationalt energiprogram for </w:t>
      </w:r>
      <w:r>
        <w:rPr>
          <w:noProof/>
        </w:rPr>
        <w:lastRenderedPageBreak/>
        <w:t>en indledende periode på fem år. Styrelsesrådet indvilligede endvidere i, at hvis IPEEC-medlemmerne besluttede at forlænge IPEEC-kommissoriet, ville IEA fortsat være vært for IPEEC-sekretariatet indtil den 31. december 2019, forudsat at der inden den 23. maj 2019 er modtaget tilstrækkelig finansiering og tilsagn til at dække udgifterne i forlængelsesperioden.</w:t>
      </w:r>
    </w:p>
    <w:p>
      <w:pPr>
        <w:rPr>
          <w:noProof/>
        </w:rPr>
      </w:pPr>
      <w:r>
        <w:rPr>
          <w:noProof/>
        </w:rPr>
        <w:t xml:space="preserve">På denne baggrund vil en forlængelse af IPEEC's kommissorium give ekstra tid til at drøfte og træffe beslutning om IPEEC's overgang til den nye hub for energieffektivitet. </w:t>
      </w:r>
    </w:p>
    <w:p>
      <w:pPr>
        <w:rPr>
          <w:noProof/>
        </w:rPr>
      </w:pPr>
      <w:r>
        <w:rPr>
          <w:noProof/>
        </w:rPr>
        <w:t>I praksis vil en forlængelse frem til den 31. december 2019 tage hensyn til den fortsatte gennemførelse af IPEEC's arbejdsprogram og kerneydelser til IPEEC-medlemmerne. Dette omfatter bl.a. arbejde i relation til energieffektivitet inden for rammerne af G20, som i år vil omfatte arrangementer, der er planlagt efter afslutningen af IPEEC's nuværende kommissorium den 24. maj 2019. Det overvejes også at stille midler til rådighed til dækning af aktiviteter i forlængelsesperioden, da IPEEC-sekretariatet i øjeblikket modtager bidrag for hele kalenderåret 2019.</w:t>
      </w:r>
    </w:p>
    <w:p>
      <w:pPr>
        <w:rPr>
          <w:noProof/>
        </w:rPr>
      </w:pPr>
      <w:r>
        <w:rPr>
          <w:noProof/>
        </w:rPr>
        <w:t xml:space="preserve">Betalingen vil blive foretaget for 2019, og midlerne vil blive anvendt til IPEEC-sekretariatets drift indtil udgangen af 2019, og overskydende midler vil i givet fald kunne anvendes til at støtte efterfølgerens videreførelse af aktiviteterne. I fravær af internationalt samarbejde vedrørende IPEEC eller partnerskabets efterfølger inden udgangen af 2019 vil midlerne normalt blive returneret i overensstemmelse med IEA's procedurer. </w:t>
      </w:r>
    </w:p>
    <w:p>
      <w:pPr>
        <w:rPr>
          <w:noProof/>
        </w:rPr>
      </w:pPr>
      <w:r>
        <w:rPr>
          <w:noProof/>
        </w:rPr>
        <w:t xml:space="preserve">Den påtænkte afgørelse vil blive bindende for parterne i henhold til aftalens punkt 7.1. </w:t>
      </w:r>
    </w:p>
    <w:p>
      <w:pPr>
        <w:pStyle w:val="ManualHeading1"/>
        <w:rPr>
          <w:rFonts w:eastAsia="Arial Unicode MS"/>
          <w:noProof/>
        </w:rPr>
      </w:pPr>
      <w:r>
        <w:t>3.</w:t>
      </w:r>
      <w:r>
        <w:tab/>
      </w:r>
      <w:r>
        <w:rPr>
          <w:noProof/>
        </w:rPr>
        <w:t>Den holdning, der skal indtages på Unionens vegne</w:t>
      </w:r>
    </w:p>
    <w:p>
      <w:pPr>
        <w:rPr>
          <w:noProof/>
        </w:rPr>
      </w:pPr>
      <w:r>
        <w:rPr>
          <w:noProof/>
        </w:rPr>
        <w:t>Af de grunde, der er redegjort for i det foregående, besluttede IPEEC-medlemmerne på det 16. møde i det politiske udvalg den 21. februar 2019 følgende, uden at dette foregriber og med forbehold af Unionens holdning, som endnu ikke er fastlagt efter proceduren i artikel 218, stk. 9, i TEUF:</w:t>
      </w:r>
    </w:p>
    <w:p>
      <w:pPr>
        <w:pStyle w:val="Bullet0"/>
        <w:numPr>
          <w:ilvl w:val="0"/>
          <w:numId w:val="13"/>
        </w:numPr>
        <w:rPr>
          <w:noProof/>
        </w:rPr>
      </w:pPr>
      <w:r>
        <w:rPr>
          <w:noProof/>
        </w:rPr>
        <w:t>Forlængelsen af kommissoriet for det internationale partnerskab for samarbejde om energieffektivitet for perioden 24. maj til 31. december 2019 godkendes.</w:t>
      </w:r>
    </w:p>
    <w:p>
      <w:pPr>
        <w:pStyle w:val="Bullet0"/>
        <w:rPr>
          <w:noProof/>
        </w:rPr>
      </w:pPr>
      <w:r>
        <w:rPr>
          <w:noProof/>
        </w:rPr>
        <w:t>Der ses med tilfredshed på IEA's Styrelsesråds beslutning om fortsat at være vært for IPEEC-sekretariatet i IEA indtil den 31. december 2019 på grundlag af memorandummet.</w:t>
      </w:r>
    </w:p>
    <w:p>
      <w:pPr>
        <w:pStyle w:val="Bullet0"/>
        <w:numPr>
          <w:ilvl w:val="0"/>
          <w:numId w:val="12"/>
        </w:numPr>
        <w:rPr>
          <w:noProof/>
        </w:rPr>
      </w:pPr>
      <w:r>
        <w:rPr>
          <w:noProof/>
        </w:rPr>
        <w:t xml:space="preserve">IPEEC-sekretariatet pålægges at sikre IPEEC's administrative kontinuitet i forlængelsesperioden, herunder samarbejde med IEA om at forlænge ansættelseskontrakter og udarbejde et revideret arbejdsprogram og budget for 2019 med henblik på godkendelse på det følgende møde i ExCo den 28.-29. marts 2019. </w:t>
      </w:r>
    </w:p>
    <w:p>
      <w:pPr>
        <w:pStyle w:val="Bullet0"/>
        <w:rPr>
          <w:noProof/>
        </w:rPr>
      </w:pPr>
      <w:r>
        <w:rPr>
          <w:noProof/>
        </w:rPr>
        <w:t>Medlemmerne opfordres til så vidt muligt at stille deres frivillige bidrag (VC) for 2019 til rådighed og indsende deres skriftlige tilsagn om frivillige bidrag senest den 22. maj 2019. Hensigten om at indsende sådanne tilsagn om frivillige bidrag bør meddeles sekretariatet inden ExCo den 28.-29. marts.</w:t>
      </w:r>
    </w:p>
    <w:p>
      <w:pPr>
        <w:pStyle w:val="Bullet0"/>
        <w:rPr>
          <w:noProof/>
        </w:rPr>
      </w:pPr>
      <w:r>
        <w:rPr>
          <w:noProof/>
        </w:rPr>
        <w:t>Der ses med tilfredshed på IEA's Styrelsesråds beslutning om, at IEA vil være vært for sekretariatet for hubben for energieffektivitet, og det tilhørende informationsnotat, der blev omdelt til medlemmerne af det politiske udvalg, anerkendes.</w:t>
      </w:r>
    </w:p>
    <w:p>
      <w:pPr>
        <w:pStyle w:val="Bullet0"/>
        <w:rPr>
          <w:noProof/>
        </w:rPr>
      </w:pPr>
      <w:r>
        <w:rPr>
          <w:noProof/>
        </w:rPr>
        <w:t xml:space="preserve">Det anerkendes, at hubben for energieffektivitet ikke vil udgøre en ny enhed eller institution, men overføre arbejdet i IPEEC til et nyt og stærkere instrument for globalt samarbejde om energieffektivitet, og IPEEC-sekretariatet pålægges at </w:t>
      </w:r>
      <w:r>
        <w:rPr>
          <w:noProof/>
        </w:rPr>
        <w:lastRenderedPageBreak/>
        <w:t xml:space="preserve">samarbejde med IEA og interesserede medlemmer om at oprette og operationalisere hubben. </w:t>
      </w:r>
    </w:p>
    <w:p>
      <w:pPr>
        <w:pStyle w:val="Bullet0"/>
        <w:rPr>
          <w:noProof/>
        </w:rPr>
      </w:pPr>
      <w:r>
        <w:rPr>
          <w:noProof/>
        </w:rPr>
        <w:t>Det politiske udvalgs formand og næstformændene pålægges sammen med de øvrige interesserede lande at samarbejde med IPEEC's og IEA's sekretariat med henblik på at fuldføre processen med at oprette en hub for energieffektivitet i årets løb.</w:t>
      </w:r>
    </w:p>
    <w:p>
      <w:pPr>
        <w:pStyle w:val="Bullet0"/>
        <w:rPr>
          <w:noProof/>
        </w:rPr>
      </w:pPr>
      <w:r>
        <w:rPr>
          <w:noProof/>
        </w:rPr>
        <w:t>Der bakkes op om IPEEC's fortsatte gnidningsløse administrative overgang til denne hub, navnlig i forbindelse med overførsel af arbejdsgrupper, midler og IPEEC-sekretariatets personale.</w:t>
      </w:r>
    </w:p>
    <w:p>
      <w:pPr>
        <w:rPr>
          <w:noProof/>
        </w:rPr>
      </w:pPr>
      <w:r>
        <w:rPr>
          <w:noProof/>
        </w:rPr>
        <w:t xml:space="preserve">Det foreslås, at Unionen tilslutter sig denne beslutning. </w:t>
      </w:r>
    </w:p>
    <w:p>
      <w:pPr>
        <w:pStyle w:val="ManualHeading1"/>
        <w:rPr>
          <w:noProof/>
        </w:rPr>
      </w:pPr>
      <w:r>
        <w:t>4.</w:t>
      </w:r>
      <w:r>
        <w:tab/>
      </w:r>
      <w:r>
        <w:rPr>
          <w:noProof/>
        </w:rPr>
        <w:t>Retsgrundlag</w:t>
      </w:r>
    </w:p>
    <w:p>
      <w:pPr>
        <w:pStyle w:val="ManualHeading2"/>
        <w:rPr>
          <w:noProof/>
        </w:rPr>
      </w:pPr>
      <w:r>
        <w:t>4.1.</w:t>
      </w:r>
      <w:r>
        <w:tab/>
      </w:r>
      <w:r>
        <w:rPr>
          <w:noProof/>
        </w:rPr>
        <w:t>Proceduremæssigt retsgrundlag</w:t>
      </w:r>
    </w:p>
    <w:p>
      <w:pPr>
        <w:pStyle w:val="ManualHeading3"/>
        <w:rPr>
          <w:noProof/>
        </w:rPr>
      </w:pPr>
      <w:r>
        <w:t>4.1.1.</w:t>
      </w:r>
      <w:r>
        <w:tab/>
      </w:r>
      <w:r>
        <w:rPr>
          <w:noProof/>
        </w:rPr>
        <w:t>Principper</w:t>
      </w:r>
    </w:p>
    <w:p>
      <w:pPr>
        <w:rPr>
          <w:noProof/>
        </w:rPr>
      </w:pPr>
      <w:r>
        <w:rPr>
          <w:noProof/>
        </w:rPr>
        <w:t>I henhold til artikel 218, stk. 9, i traktaten om Den Europæiske Unions funktionsmåde (TEUF) skal Rådet vedtage afgørelser om fastlæggelse af, "</w:t>
      </w:r>
      <w:r>
        <w:rPr>
          <w:i/>
          <w:noProof/>
        </w:rPr>
        <w:t>hvilke holdninger der skal indtages på Unionens vegne i et organ nedsat ved en aftale, når dette organ skal vedtage retsakter, der har retsvirkninger, bortset fra retsakter, der supplerer eller ændrer den institutionelle ramme for aftalen</w:t>
      </w:r>
      <w:r>
        <w:rPr>
          <w:noProof/>
        </w:rPr>
        <w:t>".</w:t>
      </w:r>
    </w:p>
    <w:p>
      <w:pPr>
        <w:rPr>
          <w:noProof/>
        </w:rPr>
      </w:pPr>
      <w:r>
        <w:rPr>
          <w:noProof/>
        </w:rPr>
        <w:t>Begrebet "</w:t>
      </w:r>
      <w:r>
        <w:rPr>
          <w:i/>
          <w:noProof/>
        </w:rPr>
        <w:t>retsakter, der har retsvirkninger</w:t>
      </w:r>
      <w:r>
        <w:rPr>
          <w:noProof/>
        </w:rPr>
        <w:t>" omfatter retsakter, der har retsvirkninger i medfør af de folkeretlige regler, der gælder for det pågældende organ. Det omfatter også instrumenter, der ikke har bindende virkning i henhold til folkeretten, men som "</w:t>
      </w:r>
      <w:r>
        <w:rPr>
          <w:i/>
          <w:noProof/>
        </w:rPr>
        <w:t>vil kunne få afgørende indflydelse på indholdet af de regler, der vedtages af EU-lovgiver</w:t>
      </w:r>
      <w:r>
        <w:rPr>
          <w:noProof/>
        </w:rPr>
        <w:t>"</w:t>
      </w:r>
      <w:r>
        <w:rPr>
          <w:rStyle w:val="FootnoteReference"/>
          <w:noProof/>
        </w:rPr>
        <w:footnoteReference w:id="3"/>
      </w:r>
      <w:r>
        <w:rPr>
          <w:noProof/>
        </w:rPr>
        <w:t>.</w:t>
      </w:r>
    </w:p>
    <w:p>
      <w:pPr>
        <w:pStyle w:val="ManualHeading3"/>
        <w:rPr>
          <w:noProof/>
        </w:rPr>
      </w:pPr>
      <w:r>
        <w:t>4.1.2.</w:t>
      </w:r>
      <w:r>
        <w:tab/>
      </w:r>
      <w:r>
        <w:rPr>
          <w:noProof/>
        </w:rPr>
        <w:t>Anvendelse på den foreliggende sag</w:t>
      </w:r>
    </w:p>
    <w:p>
      <w:pPr>
        <w:rPr>
          <w:noProof/>
        </w:rPr>
      </w:pPr>
      <w:r>
        <w:rPr>
          <w:noProof/>
        </w:rPr>
        <w:t xml:space="preserve">IPEEC er et organ, der er oprettet ved en aftale, nemlig kommissoriet for det internationale partnerskab for samarbejde om energieffektivitet ("kommissoriet"). </w:t>
      </w:r>
    </w:p>
    <w:p>
      <w:pPr>
        <w:rPr>
          <w:noProof/>
        </w:rPr>
      </w:pPr>
      <w:r>
        <w:rPr>
          <w:noProof/>
        </w:rPr>
        <w:t>Den retsakt, som IPEEC skal vedtage, er en retsakt, der har retsvirkninger. Den påtænkte retsakt er bindende i henhold til folkeretten i overensstemmelse med punkt 7.1 i kommissoriet, fordi den forlænger perioden for de forpligtelser, som IPEEC's medlemmer påtog sig, da de indgik det oprindelige kommissorium.</w:t>
      </w:r>
    </w:p>
    <w:p>
      <w:pPr>
        <w:rPr>
          <w:noProof/>
        </w:rPr>
      </w:pPr>
      <w:r>
        <w:rPr>
          <w:noProof/>
        </w:rPr>
        <w:t>Den påtænkte retsakt hverken supplerer eller ændrer aftalens institutionelle ramme. De institutionelle rammer, der er skabt af kommissoriet, forbliver intakte.</w:t>
      </w:r>
    </w:p>
    <w:p>
      <w:pPr>
        <w:rPr>
          <w:noProof/>
        </w:rPr>
      </w:pPr>
      <w:r>
        <w:rPr>
          <w:noProof/>
        </w:rPr>
        <w:t>Det proceduremæssige retsgrundlag for den foreslåede afgørelse er derfor artikel 218, stk. 9, i TEUF.</w:t>
      </w:r>
    </w:p>
    <w:p>
      <w:pPr>
        <w:pStyle w:val="ManualHeading2"/>
        <w:rPr>
          <w:noProof/>
        </w:rPr>
      </w:pPr>
      <w:r>
        <w:t>4.2.</w:t>
      </w:r>
      <w:r>
        <w:tab/>
      </w:r>
      <w:r>
        <w:rPr>
          <w:noProof/>
        </w:rPr>
        <w:t>Materielt retsgrundlag</w:t>
      </w:r>
    </w:p>
    <w:p>
      <w:pPr>
        <w:pStyle w:val="ManualHeading3"/>
        <w:rPr>
          <w:noProof/>
        </w:rPr>
      </w:pPr>
      <w:r>
        <w:t>4.2.1.</w:t>
      </w:r>
      <w:r>
        <w:tab/>
      </w:r>
      <w:r>
        <w:rPr>
          <w:noProof/>
        </w:rPr>
        <w:t>Principper</w:t>
      </w:r>
    </w:p>
    <w:p>
      <w:pPr>
        <w:rPr>
          <w:noProof/>
        </w:rPr>
      </w:pPr>
      <w:r>
        <w:rPr>
          <w:noProof/>
        </w:rPr>
        <w:t xml:space="preserve">Det materielle retsgrundlag for en afgørelse i henhold til artikel 218, stk. 9, i TEUF afhænger hovedsagelig af formålet med og indholdet af den påtænkte retsakt, hvortil der skal indtages en holdning på Unionens vegne. Hvis den påtænkte retsakt har et dobbelt formål eller består af to led, og det ene af disse formål eller disse led kan bestemmes som det primære, mens det andet kun er sekundært, skal den afgørelse, der vedtages i henhold til artikel 218, stk. 9, i </w:t>
      </w:r>
      <w:r>
        <w:rPr>
          <w:noProof/>
        </w:rPr>
        <w:lastRenderedPageBreak/>
        <w:t>TEUF, have ét materielt retsgrundlag, nemlig det, som det primære eller fremherskende formål eller led tilsiger.</w:t>
      </w:r>
    </w:p>
    <w:p>
      <w:pPr>
        <w:pStyle w:val="ManualHeading3"/>
        <w:rPr>
          <w:noProof/>
        </w:rPr>
      </w:pPr>
      <w:r>
        <w:t>4.2.2.</w:t>
      </w:r>
      <w:r>
        <w:tab/>
      </w:r>
      <w:r>
        <w:rPr>
          <w:noProof/>
        </w:rPr>
        <w:t>Anvendelse på den foreliggende sag</w:t>
      </w:r>
    </w:p>
    <w:p>
      <w:pPr>
        <w:rPr>
          <w:noProof/>
        </w:rPr>
      </w:pPr>
      <w:r>
        <w:rPr>
          <w:noProof/>
        </w:rPr>
        <w:t>Hovedformålet med og indholdet af den påtænkte retsakt vedrører fremme af energieffektivitet på energiområdet.</w:t>
      </w:r>
    </w:p>
    <w:p>
      <w:pPr>
        <w:rPr>
          <w:noProof/>
        </w:rPr>
      </w:pPr>
      <w:r>
        <w:rPr>
          <w:noProof/>
        </w:rPr>
        <w:t>Det materielle retsgrundlag for den foreslåede afgørelse er derfor artikel 194, stk. 2, i TEUF.[</w:t>
      </w:r>
      <w:r>
        <w:rPr>
          <w:i/>
          <w:noProof/>
        </w:rPr>
        <w:t>Anvend venligst forkortelser konsekvent gennem hele teksten</w:t>
      </w:r>
      <w:r>
        <w:rPr>
          <w:noProof/>
        </w:rPr>
        <w:t>]</w:t>
      </w:r>
    </w:p>
    <w:p>
      <w:pPr>
        <w:pStyle w:val="ManualHeading2"/>
        <w:rPr>
          <w:noProof/>
        </w:rPr>
      </w:pPr>
      <w:r>
        <w:t>4.3.</w:t>
      </w:r>
      <w:r>
        <w:tab/>
      </w:r>
      <w:r>
        <w:rPr>
          <w:noProof/>
        </w:rPr>
        <w:t>Konklusion</w:t>
      </w:r>
    </w:p>
    <w:p>
      <w:pPr>
        <w:rPr>
          <w:noProof/>
        </w:rPr>
      </w:pPr>
      <w:r>
        <w:rPr>
          <w:noProof/>
        </w:rPr>
        <w:t>Retsgrundlaget for den foreslåede afgørelse bør være artikel 194, stk. 2, sammenholdt med artikel 218, stk. 9, i TEUF.</w: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2019/0110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 xml:space="preserve">om den holdning, der skal indtages på Unionens vegne i det internationale partnerskab for samarbejde om energieffektivitet (IPEEC) med hensyn til forlængelsen af IPEEC's kommissorium for perioden 24. maj til 31. december 2019 </w:t>
      </w:r>
    </w:p>
    <w:p>
      <w:pPr>
        <w:pStyle w:val="Institutionquiagit"/>
        <w:rPr>
          <w:b/>
          <w:noProof/>
        </w:rPr>
      </w:pPr>
      <w:r>
        <w:rPr>
          <w:b/>
          <w:noProof/>
        </w:rPr>
        <w:t>RÅDET FOR DEN EUROPÆISKE UNION HAR —</w:t>
      </w:r>
    </w:p>
    <w:p>
      <w:pPr>
        <w:rPr>
          <w:noProof/>
        </w:rPr>
      </w:pPr>
      <w:r>
        <w:rPr>
          <w:noProof/>
        </w:rPr>
        <w:t>under henvisning til traktaten om Den Europæiske Unions funktionsmåde, særlig artikel 194, stk. 2,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Kommissoriet for det internationale partnerskab for samarbejde om energieffektivitet (IPEEC) ("aftalen") fik virkning den 24. maj 2009 og blev indgået af Unionen ved Rådets afgørelse 2009/954/EF</w:t>
      </w:r>
      <w:r>
        <w:rPr>
          <w:rStyle w:val="FootnoteReference"/>
          <w:noProof/>
        </w:rPr>
        <w:footnoteReference w:id="4"/>
      </w:r>
      <w:r>
        <w:rPr>
          <w:noProof/>
        </w:rPr>
        <w:t xml:space="preserve">. </w:t>
      </w:r>
    </w:p>
    <w:p>
      <w:pPr>
        <w:pStyle w:val="ManualConsidrant"/>
        <w:rPr>
          <w:noProof/>
        </w:rPr>
      </w:pPr>
      <w:r>
        <w:t>(2)</w:t>
      </w:r>
      <w:r>
        <w:tab/>
      </w:r>
      <w:r>
        <w:rPr>
          <w:noProof/>
        </w:rPr>
        <w:t xml:space="preserve">I henhold til aftalens punkt 7.1 kan medlemmerne af IPEEC beslutte at forlænge dets gyldighedsperiode. Det politiske udvalg, som er IPEEC's plenarforsamling, som består af højtstående repræsentanter fra alle partnerskabets medlemmer, og som har fået til opgave at forvalte IPEEC's overordnede rammer og politikker, er det relevante organ, inden for hvilket IPEEC-medlemmerne kan beslutte at forlænge aftalen. </w:t>
      </w:r>
    </w:p>
    <w:p>
      <w:pPr>
        <w:pStyle w:val="ManualConsidrant"/>
        <w:rPr>
          <w:noProof/>
        </w:rPr>
      </w:pPr>
      <w:r>
        <w:t>(3)</w:t>
      </w:r>
      <w:r>
        <w:tab/>
      </w:r>
      <w:r>
        <w:rPr>
          <w:noProof/>
        </w:rPr>
        <w:t xml:space="preserve">IPEEC-medlemmerne med undtagelse af Unionen godkendte forlængelsen af IPEEC-kommissoriet for perioden fra den 24. maj til den 31. december 2019 på mødet i det politiske udvalg den 21. februar 2019. </w:t>
      </w:r>
    </w:p>
    <w:p>
      <w:pPr>
        <w:pStyle w:val="ManualConsidrant"/>
        <w:rPr>
          <w:noProof/>
        </w:rPr>
      </w:pPr>
      <w:r>
        <w:t>(4)</w:t>
      </w:r>
      <w:r>
        <w:tab/>
      </w:r>
      <w:r>
        <w:rPr>
          <w:noProof/>
        </w:rPr>
        <w:t xml:space="preserve">Den holdning til forlængelsen af IPEEC's kommissorium, der skal indtages på Unionens vegne, bør fastsættes, idet forlængelsen af kommissoriet vil være bindende for Unionen. </w:t>
      </w:r>
    </w:p>
    <w:p>
      <w:pPr>
        <w:pStyle w:val="ManualConsidrant"/>
        <w:rPr>
          <w:noProof/>
        </w:rPr>
      </w:pPr>
      <w:r>
        <w:t>(5)</w:t>
      </w:r>
      <w:r>
        <w:tab/>
      </w:r>
      <w:r>
        <w:rPr>
          <w:noProof/>
        </w:rPr>
        <w:t xml:space="preserve">IPEEC-medlemmerne overvejer muligheden af at kombinere IPEEC's nuværende aktiviteter og Det Internationale Energiagenturs (IEA's) aktiviteter i en hub for energieffektivitet for at opnå synergier på dette område. Med den kortvarige forlængelse af IPEEC-kommissoriet tilstræbes det som en midlertidig foranstaltning at give den nødvendige tid til at oprette en hub for energieffektivitet, samtidig med at det sikres, at IPEEC's aktiviteter videreføres og overføres uden afbrydelse til den nye hub for energieffektivitet. </w:t>
      </w:r>
    </w:p>
    <w:p>
      <w:pPr>
        <w:pStyle w:val="ManualConsidrant"/>
        <w:rPr>
          <w:noProof/>
        </w:rPr>
      </w:pPr>
      <w:r>
        <w:t>(6)</w:t>
      </w:r>
      <w:r>
        <w:tab/>
      </w:r>
      <w:r>
        <w:rPr>
          <w:noProof/>
        </w:rPr>
        <w:t>I praksis vil en forlængelse frem til den 31. december 2019 tage hensyn til den fortsatte gennemførelse af IPEEC's arbejdsprogram og kerneydelser til IPEEC-</w:t>
      </w:r>
      <w:r>
        <w:rPr>
          <w:noProof/>
        </w:rPr>
        <w:lastRenderedPageBreak/>
        <w:t>medlemmerne. Dette omfatter arbejde i relation til energieffektivitet inden for rammerne af G20, som i år vil omfatte arrangementer, der er planlagt efter afslutningen af IPEEC's nuværende kommissorium den 24. maj 2019. Det overvejes også at stille midler til rådighed til finansiering af aktiviteter i forlængelsesperioden, da IPEEC-sekretariatet i øjeblikket modtager bidrag for hele kalenderåret 2019, og aktiviteter, resterende personale og eventuelle ressourcer kan overføres til den nye hub for energieffektivitet.</w:t>
      </w:r>
    </w:p>
    <w:p>
      <w:pPr>
        <w:pStyle w:val="ManualConsidrant"/>
        <w:rPr>
          <w:noProof/>
        </w:rPr>
      </w:pPr>
      <w:r>
        <w:t>(7)</w:t>
      </w:r>
      <w:r>
        <w:tab/>
      </w:r>
      <w:r>
        <w:rPr>
          <w:noProof/>
        </w:rPr>
        <w:t xml:space="preserve">En kortvarig forlængelse af IPEEC's kommissorium er derfor vigtig for at undgå en brat afslutning af IPEEC's aktiviteter den 24. maj 2019. I overensstemmelse med punkt 3.4 i IPEEC-kommissoriet skal den endelige beslutning om forlængelsen vedtages ved konsensus blandt IPEEC-medlemmerne, og efter mødet i det politiske udvalg den 21. februar 2019 udestår Rådets afgørelse om dettes holdning —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Den holdning, der skal indtages på Unionens vegne, er følgende:</w:t>
      </w:r>
    </w:p>
    <w:p>
      <w:pPr>
        <w:pStyle w:val="Point0number"/>
        <w:numPr>
          <w:ilvl w:val="0"/>
          <w:numId w:val="11"/>
        </w:numPr>
        <w:rPr>
          <w:noProof/>
        </w:rPr>
      </w:pPr>
      <w:r>
        <w:rPr>
          <w:noProof/>
        </w:rPr>
        <w:t>forlængelsen af kommissoriet for IPEEC for perioden 24. maj til 31. december 2019 godkendes</w:t>
      </w:r>
    </w:p>
    <w:p>
      <w:pPr>
        <w:pStyle w:val="Point0number"/>
        <w:numPr>
          <w:ilvl w:val="0"/>
          <w:numId w:val="11"/>
        </w:numPr>
        <w:rPr>
          <w:noProof/>
        </w:rPr>
      </w:pPr>
      <w:r>
        <w:rPr>
          <w:noProof/>
        </w:rPr>
        <w:t>der bakkes op om Det Internationale Energiagenturs (IEA's) Styrelsesråds beslutning om fortsat at være vært for IPEEC-sekretariatet i IEA indtil den 31. december 2019 på grundlag af memorandummet vedrørende IEA's værtskab for IPEEC-sekretariatet</w:t>
      </w:r>
    </w:p>
    <w:p>
      <w:pPr>
        <w:pStyle w:val="Point0number"/>
        <w:rPr>
          <w:noProof/>
        </w:rPr>
      </w:pPr>
      <w:r>
        <w:rPr>
          <w:noProof/>
        </w:rPr>
        <w:t>der bakkes op om IPEEC's administrative overgang til en ny hub for energieffektivitet, navnlig i forbindelse med overførsel af arbejdsgrupper, midler og IPEEC-sekretariatets personale.</w:t>
      </w:r>
    </w:p>
    <w:p>
      <w:pPr>
        <w:pStyle w:val="Titrearticle"/>
        <w:rPr>
          <w:noProof/>
        </w:rPr>
      </w:pPr>
      <w:r>
        <w:rPr>
          <w:noProof/>
        </w:rPr>
        <w:t>Artikel 2</w:t>
      </w:r>
    </w:p>
    <w:p>
      <w:pPr>
        <w:rPr>
          <w:noProof/>
        </w:rPr>
      </w:pPr>
      <w:r>
        <w:rPr>
          <w:noProof/>
        </w:rPr>
        <w:t>Denne afgørelse er rettet til Kommissionen.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erReference w:type="defaul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Rådets afgørelse af 2009/954/EF</w:t>
      </w:r>
      <w:r>
        <w:rPr>
          <w:rStyle w:val="FootnoteReference"/>
        </w:rPr>
        <w:footnoteRef/>
      </w:r>
      <w:r>
        <w:t xml:space="preserve"> af 30. november 2009 om Det Europæiske Fællesskabs undertegnelse og indgåelse af kommissoriet for det internationale partnerskab for samarbejde om energieffektivitet (IPEEC) og memorandummet vedrørende Det Internationale Energiagenturs varetagelse af sekretariatet for det internationale partnerskab for samarbejde om energieffektivitet (EUT L 330 af 16.12.2009, s. 37).</w:t>
      </w:r>
    </w:p>
  </w:footnote>
  <w:footnote w:id="2">
    <w:p>
      <w:pPr>
        <w:pStyle w:val="FootnoteText"/>
      </w:pPr>
      <w:r>
        <w:rPr>
          <w:rStyle w:val="FootnoteReference"/>
        </w:rPr>
        <w:footnoteRef/>
      </w:r>
      <w:r>
        <w:tab/>
        <w:t>Rådets afgørelse 2009/954/EF</w:t>
      </w:r>
      <w:r>
        <w:rPr>
          <w:rStyle w:val="FootnoteReference"/>
        </w:rPr>
        <w:footnoteRef/>
      </w:r>
      <w:r>
        <w:t xml:space="preserve"> af 30. november 2009 (EUT L 330 af 16.12.2009, s. 37).</w:t>
      </w:r>
      <w:r>
        <w:rPr>
          <w:i/>
        </w:rPr>
        <w:t xml:space="preserve"> </w:t>
      </w:r>
    </w:p>
  </w:footnote>
  <w:footnote w:id="3">
    <w:p>
      <w:pPr>
        <w:pStyle w:val="FootnoteText"/>
      </w:pPr>
      <w:r>
        <w:rPr>
          <w:rStyle w:val="FootnoteReference"/>
        </w:rPr>
        <w:footnoteRef/>
      </w:r>
      <w:r>
        <w:tab/>
        <w:t xml:space="preserve">Domstolens dom af 7. oktober 2014, Tyskland mod Rådet, C-399/12, ECLI:EU:C:2014:2258, præmis 61-64. </w:t>
      </w:r>
    </w:p>
  </w:footnote>
  <w:footnote w:id="4">
    <w:p>
      <w:pPr>
        <w:pStyle w:val="FootnoteText"/>
      </w:pPr>
      <w:r>
        <w:rPr>
          <w:rStyle w:val="FootnoteReference"/>
        </w:rPr>
        <w:footnoteRef/>
      </w:r>
      <w:r>
        <w:tab/>
        <w:t xml:space="preserve">Rådets afgørelse af 2009/954/EF af 30. november 2009 om Det Europæiske Fællesskabs undertegnelse og indgåelse af kommissoriet for det internationale partnerskab for samarbejde om energieffektivitet (IPEEC) og memorandummet vedrørende Det Internationale Energiagenturs varetagelse af sekretariatet for det internationale partnerskab for samarbejde om energieffektivitet (EUT L 330 af 16.12.2009, s.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06 09:09: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75DA8161-07CF-442F-9598-85C6C9388AF0"/>
    <w:docVar w:name="LW_COVERPAGE_TYPE" w:val="1"/>
    <w:docVar w:name="LW_CROSSREFERENCE" w:val="&lt;UNUSED&gt;"/>
    <w:docVar w:name="LW_DocType" w:val="COM"/>
    <w:docVar w:name="LW_EMISSION" w:val="14.5.2019"/>
    <w:docVar w:name="LW_EMISSION_ISODATE" w:val="2019-05-14"/>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10"/>
    <w:docVar w:name="LW_REF.II.NEW.CP_YEAR" w:val="2019"/>
    <w:docVar w:name="LW_REF.INST.NEW" w:val="COM"/>
    <w:docVar w:name="LW_REF.INST.NEW_ADOPTED" w:val="final"/>
    <w:docVar w:name="LW_REF.INST.NEW_TEXT" w:val="(2019) 2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den holdning, der skal indtages på Unionens vegne i det internationale partnerskab for samarbejde om energieffektivitet (IPEEC) med hensyn til forlængelsen af IPEEC's kommissorium for perioden 24. maj til 31. december 2019 "/>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8959">
      <w:bodyDiv w:val="1"/>
      <w:marLeft w:val="0"/>
      <w:marRight w:val="0"/>
      <w:marTop w:val="0"/>
      <w:marBottom w:val="0"/>
      <w:divBdr>
        <w:top w:val="none" w:sz="0" w:space="0" w:color="auto"/>
        <w:left w:val="none" w:sz="0" w:space="0" w:color="auto"/>
        <w:bottom w:val="none" w:sz="0" w:space="0" w:color="auto"/>
        <w:right w:val="none" w:sz="0" w:space="0" w:color="auto"/>
      </w:divBdr>
      <w:divsChild>
        <w:div w:id="1360204217">
          <w:marLeft w:val="634"/>
          <w:marRight w:val="0"/>
          <w:marTop w:val="0"/>
          <w:marBottom w:val="0"/>
          <w:divBdr>
            <w:top w:val="none" w:sz="0" w:space="0" w:color="auto"/>
            <w:left w:val="none" w:sz="0" w:space="0" w:color="auto"/>
            <w:bottom w:val="none" w:sz="0" w:space="0" w:color="auto"/>
            <w:right w:val="none" w:sz="0" w:space="0" w:color="auto"/>
          </w:divBdr>
        </w:div>
        <w:div w:id="1806119793">
          <w:marLeft w:val="634"/>
          <w:marRight w:val="0"/>
          <w:marTop w:val="0"/>
          <w:marBottom w:val="0"/>
          <w:divBdr>
            <w:top w:val="none" w:sz="0" w:space="0" w:color="auto"/>
            <w:left w:val="none" w:sz="0" w:space="0" w:color="auto"/>
            <w:bottom w:val="none" w:sz="0" w:space="0" w:color="auto"/>
            <w:right w:val="none" w:sz="0" w:space="0" w:color="auto"/>
          </w:divBdr>
        </w:div>
      </w:divsChild>
    </w:div>
    <w:div w:id="414589708">
      <w:bodyDiv w:val="1"/>
      <w:marLeft w:val="0"/>
      <w:marRight w:val="0"/>
      <w:marTop w:val="0"/>
      <w:marBottom w:val="0"/>
      <w:divBdr>
        <w:top w:val="none" w:sz="0" w:space="0" w:color="auto"/>
        <w:left w:val="none" w:sz="0" w:space="0" w:color="auto"/>
        <w:bottom w:val="none" w:sz="0" w:space="0" w:color="auto"/>
        <w:right w:val="none" w:sz="0" w:space="0" w:color="auto"/>
      </w:divBdr>
      <w:divsChild>
        <w:div w:id="1897205611">
          <w:marLeft w:val="0"/>
          <w:marRight w:val="0"/>
          <w:marTop w:val="0"/>
          <w:marBottom w:val="0"/>
          <w:divBdr>
            <w:top w:val="none" w:sz="0" w:space="0" w:color="auto"/>
            <w:left w:val="none" w:sz="0" w:space="0" w:color="auto"/>
            <w:bottom w:val="none" w:sz="0" w:space="0" w:color="auto"/>
            <w:right w:val="none" w:sz="0" w:space="0" w:color="auto"/>
          </w:divBdr>
        </w:div>
      </w:divsChild>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829103027">
      <w:bodyDiv w:val="1"/>
      <w:marLeft w:val="0"/>
      <w:marRight w:val="0"/>
      <w:marTop w:val="0"/>
      <w:marBottom w:val="0"/>
      <w:divBdr>
        <w:top w:val="none" w:sz="0" w:space="0" w:color="auto"/>
        <w:left w:val="none" w:sz="0" w:space="0" w:color="auto"/>
        <w:bottom w:val="none" w:sz="0" w:space="0" w:color="auto"/>
        <w:right w:val="none" w:sz="0" w:space="0" w:color="auto"/>
      </w:divBdr>
    </w:div>
    <w:div w:id="1094977325">
      <w:bodyDiv w:val="1"/>
      <w:marLeft w:val="0"/>
      <w:marRight w:val="0"/>
      <w:marTop w:val="0"/>
      <w:marBottom w:val="0"/>
      <w:divBdr>
        <w:top w:val="none" w:sz="0" w:space="0" w:color="auto"/>
        <w:left w:val="none" w:sz="0" w:space="0" w:color="auto"/>
        <w:bottom w:val="none" w:sz="0" w:space="0" w:color="auto"/>
        <w:right w:val="none" w:sz="0" w:space="0" w:color="auto"/>
      </w:divBdr>
    </w:div>
    <w:div w:id="1319461363">
      <w:bodyDiv w:val="1"/>
      <w:marLeft w:val="0"/>
      <w:marRight w:val="0"/>
      <w:marTop w:val="0"/>
      <w:marBottom w:val="0"/>
      <w:divBdr>
        <w:top w:val="none" w:sz="0" w:space="0" w:color="auto"/>
        <w:left w:val="none" w:sz="0" w:space="0" w:color="auto"/>
        <w:bottom w:val="none" w:sz="0" w:space="0" w:color="auto"/>
        <w:right w:val="none" w:sz="0" w:space="0" w:color="auto"/>
      </w:divBdr>
      <w:divsChild>
        <w:div w:id="1278875770">
          <w:marLeft w:val="634"/>
          <w:marRight w:val="0"/>
          <w:marTop w:val="0"/>
          <w:marBottom w:val="0"/>
          <w:divBdr>
            <w:top w:val="none" w:sz="0" w:space="0" w:color="auto"/>
            <w:left w:val="none" w:sz="0" w:space="0" w:color="auto"/>
            <w:bottom w:val="none" w:sz="0" w:space="0" w:color="auto"/>
            <w:right w:val="none" w:sz="0" w:space="0" w:color="auto"/>
          </w:divBdr>
        </w:div>
        <w:div w:id="1206527708">
          <w:marLeft w:val="634"/>
          <w:marRight w:val="0"/>
          <w:marTop w:val="0"/>
          <w:marBottom w:val="0"/>
          <w:divBdr>
            <w:top w:val="none" w:sz="0" w:space="0" w:color="auto"/>
            <w:left w:val="none" w:sz="0" w:space="0" w:color="auto"/>
            <w:bottom w:val="none" w:sz="0" w:space="0" w:color="auto"/>
            <w:right w:val="none" w:sz="0" w:space="0" w:color="auto"/>
          </w:divBdr>
        </w:div>
      </w:divsChild>
    </w:div>
    <w:div w:id="1463111945">
      <w:bodyDiv w:val="1"/>
      <w:marLeft w:val="0"/>
      <w:marRight w:val="0"/>
      <w:marTop w:val="0"/>
      <w:marBottom w:val="0"/>
      <w:divBdr>
        <w:top w:val="none" w:sz="0" w:space="0" w:color="auto"/>
        <w:left w:val="none" w:sz="0" w:space="0" w:color="auto"/>
        <w:bottom w:val="none" w:sz="0" w:space="0" w:color="auto"/>
        <w:right w:val="none" w:sz="0" w:space="0" w:color="auto"/>
      </w:divBdr>
      <w:divsChild>
        <w:div w:id="1287195125">
          <w:marLeft w:val="634"/>
          <w:marRight w:val="0"/>
          <w:marTop w:val="0"/>
          <w:marBottom w:val="0"/>
          <w:divBdr>
            <w:top w:val="none" w:sz="0" w:space="0" w:color="auto"/>
            <w:left w:val="none" w:sz="0" w:space="0" w:color="auto"/>
            <w:bottom w:val="none" w:sz="0" w:space="0" w:color="auto"/>
            <w:right w:val="none" w:sz="0" w:space="0" w:color="auto"/>
          </w:divBdr>
        </w:div>
        <w:div w:id="2050494234">
          <w:marLeft w:val="634"/>
          <w:marRight w:val="0"/>
          <w:marTop w:val="0"/>
          <w:marBottom w:val="0"/>
          <w:divBdr>
            <w:top w:val="none" w:sz="0" w:space="0" w:color="auto"/>
            <w:left w:val="none" w:sz="0" w:space="0" w:color="auto"/>
            <w:bottom w:val="none" w:sz="0" w:space="0" w:color="auto"/>
            <w:right w:val="none" w:sz="0" w:space="0" w:color="auto"/>
          </w:divBdr>
        </w:div>
      </w:divsChild>
    </w:div>
    <w:div w:id="1969774631">
      <w:bodyDiv w:val="1"/>
      <w:marLeft w:val="0"/>
      <w:marRight w:val="0"/>
      <w:marTop w:val="0"/>
      <w:marBottom w:val="0"/>
      <w:divBdr>
        <w:top w:val="none" w:sz="0" w:space="0" w:color="auto"/>
        <w:left w:val="none" w:sz="0" w:space="0" w:color="auto"/>
        <w:bottom w:val="none" w:sz="0" w:space="0" w:color="auto"/>
        <w:right w:val="none" w:sz="0" w:space="0" w:color="auto"/>
      </w:divBdr>
      <w:divsChild>
        <w:div w:id="1740857596">
          <w:marLeft w:val="547"/>
          <w:marRight w:val="0"/>
          <w:marTop w:val="0"/>
          <w:marBottom w:val="120"/>
          <w:divBdr>
            <w:top w:val="none" w:sz="0" w:space="0" w:color="auto"/>
            <w:left w:val="none" w:sz="0" w:space="0" w:color="auto"/>
            <w:bottom w:val="none" w:sz="0" w:space="0" w:color="auto"/>
            <w:right w:val="none" w:sz="0" w:space="0" w:color="auto"/>
          </w:divBdr>
        </w:div>
        <w:div w:id="1677538431">
          <w:marLeft w:val="547"/>
          <w:marRight w:val="0"/>
          <w:marTop w:val="0"/>
          <w:marBottom w:val="120"/>
          <w:divBdr>
            <w:top w:val="none" w:sz="0" w:space="0" w:color="auto"/>
            <w:left w:val="none" w:sz="0" w:space="0" w:color="auto"/>
            <w:bottom w:val="none" w:sz="0" w:space="0" w:color="auto"/>
            <w:right w:val="none" w:sz="0" w:space="0" w:color="auto"/>
          </w:divBdr>
        </w:div>
      </w:divsChild>
    </w:div>
    <w:div w:id="204027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ea.or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10CDBC85-6345-4C6C-9B30-591F2F78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2358</Words>
  <Characters>14386</Characters>
  <Application>Microsoft Office Word</Application>
  <DocSecurity>0</DocSecurity>
  <Lines>239</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2019-04-24T14:06:00Z</dcterms:created>
  <dcterms:modified xsi:type="dcterms:W3CDTF">2019-05-06T07:09:00Z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