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71802F9-4EFA-428F-A698-C50128866E3D" style="width:450.8pt;height:365.6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autoSpaceDE w:val="0"/>
        <w:autoSpaceDN w:val="0"/>
        <w:adjustRightInd w:val="0"/>
        <w:spacing w:before="0" w:after="0"/>
        <w:rPr>
          <w:rFonts w:eastAsia="Arial Unicode MS"/>
          <w:noProof/>
        </w:rPr>
      </w:pPr>
      <w:r>
        <w:rPr>
          <w:noProof/>
        </w:rPr>
        <w:t>Αντικείμενο της παρούσας πρότασης είναι η λήψη απόφασης για τον καθορισμό της θέσης που πρέπει να ληφθεί εξ ονόματος της Ένωσης στην επιτροπή πολιτικής της Διεθνούς Εταιρικής Σχέσης για τη Συνεργασία σχετικά με την Ενεργειακή Απόδοση (IPEEC - ΔΕΣΣΕΑ) όσον αφορά την προβλεπόμενη έγκριση της παράτασης των υφιστάμενων όρων εντολής της Διεθνούς Εταιρικής Συνεργασίας για την Ενεργειακή Απόδοση για την περίοδο από τις 24 Μαΐου έως τις 31 Δεκεμβρίου 2019.</w:t>
      </w:r>
    </w:p>
    <w:p>
      <w:pPr>
        <w:pStyle w:val="ManualHeading1"/>
        <w:rPr>
          <w:noProof/>
        </w:rPr>
      </w:pPr>
      <w:r>
        <w:t>2.</w:t>
      </w:r>
      <w:r>
        <w:tab/>
      </w:r>
      <w:r>
        <w:rPr>
          <w:noProof/>
        </w:rPr>
        <w:t>Πλαίσιο της πρότασης</w:t>
      </w:r>
    </w:p>
    <w:p>
      <w:pPr>
        <w:pStyle w:val="ManualHeading2"/>
        <w:rPr>
          <w:noProof/>
        </w:rPr>
      </w:pPr>
      <w:r>
        <w:t>2.1.</w:t>
      </w:r>
      <w:r>
        <w:tab/>
      </w:r>
      <w:r>
        <w:rPr>
          <w:noProof/>
        </w:rPr>
        <w:t>Διεθνής Εταιρική Συνεργασία για την Ενεργειακή Απόδοση</w:t>
      </w:r>
    </w:p>
    <w:p>
      <w:pPr>
        <w:rPr>
          <w:noProof/>
        </w:rPr>
      </w:pPr>
      <w:r>
        <w:rPr>
          <w:noProof/>
        </w:rPr>
        <w:t>Με πρωτοβουλία της Ευρωπαϊκής Επιτροπής, τον Ιούνιο του 2008, μέλη της G8, ήτοι η Κίνα, η Ινδία και η Νότια Κορέα και η Επιτροπή, αποφάσισαν να συστήσουν τη Διεθνή Εταιρική Σχέση για τη Συνεργασία σχετικά με την Ενεργειακή Απόδοση (IPEEC), με στόχο να ευνοηθούν οι δράσεις που βελτιώνουν σημαντικά την ενεργειακή απόδοση. Η IPEEC αποτελεί μια πλατφόρμα συζήτησης, διαβουλεύσεων και ανταλλαγής πληροφοριών. Διαδραμάτισε σημαντικό ρόλο κατά τη διάρκεια των τελευταίων ετών στη διασφάλιση συντονισμού εν γένει και στη στήριξη της συνεργασίας βάσει του προγράμματος ενεργειακής απόδοσης της G20. Η IPEEC είναι ανοικτή σε άλλες χώρες και διακυβερνητικούς οργανισμούς.</w:t>
      </w:r>
    </w:p>
    <w:p>
      <w:pPr>
        <w:rPr>
          <w:noProof/>
        </w:rPr>
      </w:pPr>
      <w:r>
        <w:rPr>
          <w:noProof/>
        </w:rPr>
        <w:t>Στις 24 Μαΐου 2009, υπογράφηκαν στη Ρώμη οι όροι εντολής της Διεθνούς Εταιρικής Σχέσης για τη Συνεργασία σχετικά με την Ενεργειακή Απόδοση («όροι εντολής») για μια περίοδο 10 ετών (έως τις 24 Μαΐου 2019) από δώδεκα κράτη, μεταξύ των οποίων τέσσερα κράτη μέλη της Ευρωπαϊκής Ένωσης.</w:t>
      </w:r>
    </w:p>
    <w:p>
      <w:pPr>
        <w:rPr>
          <w:noProof/>
        </w:rPr>
      </w:pPr>
      <w:r>
        <w:rPr>
          <w:noProof/>
        </w:rPr>
        <w:t>Το άρθρο 4 παράγραφος 2 των όρων εντολής προβλέπει ότι η IPEEC είναι ανοικτή σε διακυβερνητικούς οργανισμούς και ότι η ιδιότητα του μέλους προϋποθέτει την υπογραφή των εν λόγω όρων. Για τον λόγο αυτόν, η Ένωση τους υπέγραψε και συνήψε την εταιρική σχέση σύμφωνα με την απόφαση 2009/954/EΚ του Συμβουλίου</w:t>
      </w:r>
      <w:r>
        <w:rPr>
          <w:rStyle w:val="FootnoteReference"/>
          <w:noProof/>
        </w:rPr>
        <w:footnoteReference w:id="1"/>
      </w:r>
      <w:r>
        <w:rPr>
          <w:noProof/>
        </w:rPr>
        <w:t xml:space="preserve">. </w:t>
      </w:r>
    </w:p>
    <w:p>
      <w:pPr>
        <w:rPr>
          <w:noProof/>
        </w:rPr>
      </w:pPr>
      <w:r>
        <w:rPr>
          <w:noProof/>
        </w:rPr>
        <w:t>Στους όρους εντολής περιγράφονται οι δραστηριότητες συνεργασίας της IPEEC, καθορίζεται η οργάνωσή της, προσδιορίζονται τα κριτήρια για πιθανά νέα μέλη και περιλαμβάνονται γενικές διατάξεις σχετικά με τη χρηματοδότηση της εταιρικής σχέσης και τα δικαιώματα διανοητικής ιδιοκτησίας.</w:t>
      </w:r>
    </w:p>
    <w:p>
      <w:pPr>
        <w:rPr>
          <w:noProof/>
        </w:rPr>
      </w:pPr>
      <w:r>
        <w:rPr>
          <w:noProof/>
        </w:rPr>
        <w:t>Τόσο η Ένωση όσο και τα κράτη μέλη της έχουν αρμοδιότητα στα πεδία που καλύπτει η συμφωνία. Κατά συνέπεια, πρέπει να λαμβάνονται συνεκτικές θέσεις σύμφωνα με τις αντίστοιχες αρμοδιότητές τους και ιδίως όσον αφορά το περιβάλλον και την ενέργεια.</w:t>
      </w:r>
    </w:p>
    <w:p>
      <w:pPr>
        <w:rPr>
          <w:noProof/>
        </w:rPr>
      </w:pPr>
      <w:r>
        <w:rPr>
          <w:noProof/>
        </w:rPr>
        <w:t xml:space="preserve">Η IPEEC τελεί υπό τη διαχείριση Γραμματείας, η οποία διοργανώνει τις συνεδριάσεις της οικείας επιτροπής πολιτικής και της οικείας εκτελεστικής επιτροπής. Η Γραμματεία παρέχει επίσης υποστήριξη σε υφιστάμενες ομάδες εργασίας και εξασφαλίζει την επικοινωνία μεταξύ των μελών της IPEEC και της ευρύτερης κοινότητας ενεργειακής πολιτικής. </w:t>
      </w:r>
    </w:p>
    <w:p>
      <w:pPr>
        <w:rPr>
          <w:noProof/>
        </w:rPr>
      </w:pPr>
      <w:r>
        <w:rPr>
          <w:noProof/>
        </w:rPr>
        <w:lastRenderedPageBreak/>
        <w:t>Σύμφωνα με το σημείο 7.1 των όρων εντολής, οι όροι ισχύουν για περίοδο 10 ετών, έως τις 24 Μαΐου 2019, εκτός εάν παραταθούν ή διακοπούν από τα μέλη.</w:t>
      </w:r>
    </w:p>
    <w:p>
      <w:pPr>
        <w:rPr>
          <w:rFonts w:ascii="Open Sans" w:hAnsi="Open Sans"/>
          <w:noProof/>
          <w:sz w:val="21"/>
          <w:szCs w:val="21"/>
        </w:rPr>
      </w:pPr>
      <w:r>
        <w:rPr>
          <w:noProof/>
        </w:rPr>
        <w:t xml:space="preserve">Η Γραμματεία φιλοξενείται από τον </w:t>
      </w:r>
      <w:hyperlink r:id="rId17">
        <w:r>
          <w:rPr>
            <w:noProof/>
          </w:rPr>
          <w:t>Διεθνή Οργανισμό Ενέργειας</w:t>
        </w:r>
      </w:hyperlink>
      <w:r>
        <w:rPr>
          <w:noProof/>
        </w:rPr>
        <w:t xml:space="preserve"> (ΔΟΕ) στο Παρίσι στη Γαλλία. Στις 24 Μαΐου και στις 22 Ιουνίου 2009, αντίστοιχα, υπεγράφη στη Ρώμη από δώδεκα κράτη, μεταξύ των οποίων τέσσερα κράτη μέλη της Ένωσης, μνημόνιο σχετικά με τη φιλοξενία της Γραμματείας της IPEEC από τον Διεθνή Οργανισμό Ενέργειας («το μνημόνιο»). Ο ΔΟΕ υπέγραψε το μνημόνιο στις 18 Ιουνίου 2009 και η Ένωση υπέγραψε επίσης και συνήψε το μνημόνιο σύμφωνα με την απόφαση 2009/954/ΕΚ του Συμβουλίου</w:t>
      </w:r>
      <w:r>
        <w:rPr>
          <w:rStyle w:val="FootnoteReference"/>
          <w:noProof/>
        </w:rPr>
        <w:footnoteReference w:id="2"/>
      </w:r>
      <w:r>
        <w:rPr>
          <w:noProof/>
        </w:rPr>
        <w:t>.</w:t>
      </w:r>
    </w:p>
    <w:p>
      <w:pPr>
        <w:rPr>
          <w:noProof/>
        </w:rPr>
      </w:pPr>
      <w:r>
        <w:rPr>
          <w:noProof/>
        </w:rPr>
        <w:t>Στο μνημόνιο περιγράφονται οι γενικές αρχές που διέπουν την οργάνωση της Γραμματείας και περιλαμβάνονται διατάξεις σχετικά με τη στελέχωση της Γραμματείας και τις προσλήψεις, καθώς και σχετικά με τα θέματα χρηματοδότησης και τις δημοσιονομικές διαδικασίες. Η Ευρωπαϊκή Ένωση καταβάλλει εισφορά στην IPEEC για τις διοικητικές δαπάνες της.</w:t>
      </w:r>
    </w:p>
    <w:p>
      <w:pPr>
        <w:rPr>
          <w:noProof/>
        </w:rPr>
      </w:pPr>
      <w:r>
        <w:rPr>
          <w:noProof/>
        </w:rPr>
        <w:t>Σύμφωνα με το σημείο 17 του μνημονίου, «</w:t>
      </w:r>
      <w:r>
        <w:rPr>
          <w:i/>
          <w:noProof/>
        </w:rPr>
        <w:t>το παρόν μνημόνιο μπορεί να καταγγελθεί ανά πάσα στιγμή από τον ΔΟΕ ή την εκτελεστική επιτροπή</w:t>
      </w:r>
      <w:r>
        <w:rPr>
          <w:noProof/>
        </w:rPr>
        <w:t xml:space="preserve"> [της IPEEC].</w:t>
      </w:r>
      <w:r>
        <w:rPr>
          <w:i/>
          <w:noProof/>
        </w:rPr>
        <w:t xml:space="preserve"> Στην περίπτωση αυτή, τα μέρη πρέπει να επιδιώκουν να παρέχουν αμοιβαίως γραπτή ειδοποίηση τουλάχιστον δώδεκα μήνες νωρίτερα</w:t>
      </w:r>
      <w:r>
        <w:rPr>
          <w:noProof/>
        </w:rPr>
        <w:t>». Από το σημείο αυτό συνάγεται ότι το μνημόνιο που συνήφθη είναι αορίστου διαρκείας.</w:t>
      </w:r>
    </w:p>
    <w:p>
      <w:pPr>
        <w:pStyle w:val="ManualHeading2"/>
        <w:rPr>
          <w:noProof/>
        </w:rPr>
      </w:pPr>
      <w:r>
        <w:t>2.2.</w:t>
      </w:r>
      <w:r>
        <w:tab/>
      </w:r>
      <w:r>
        <w:rPr>
          <w:noProof/>
        </w:rPr>
        <w:t>Η επιτροπή πολιτικής της IPEEC</w:t>
      </w:r>
    </w:p>
    <w:p>
      <w:pPr>
        <w:rPr>
          <w:noProof/>
        </w:rPr>
      </w:pPr>
      <w:r>
        <w:rPr>
          <w:noProof/>
        </w:rPr>
        <w:t>Η επιτροπή πολιτικής (της οποίας προς το παρόν προεδρεύει η Ευρωπαϊκή Επιτροπή) χειρίζεται το γενικό πλαίσιο και τις πρωτοβουλίες πολιτικής της IPEEC και αξιολογεί την πρόοδο των εργασιών της IPEEC με βάση τις ευρύτερες στρατηγικές προτεραιότητες. Η επιτροπή πολιτικής απαρτίζεται από ένα υψηλόβαθμο αντιπρόσωπο κάθε μέλους.</w:t>
      </w:r>
    </w:p>
    <w:p>
      <w:pPr>
        <w:rPr>
          <w:noProof/>
        </w:rPr>
      </w:pPr>
      <w:r>
        <w:rPr>
          <w:noProof/>
        </w:rPr>
        <w:t xml:space="preserve">Παράλληλα με την επιτροπή πολιτικής υπάρχει μια εκτελεστική επιτροπή (της οποίας προς το παρόν προεδρεύει ο Καναδάς), η οποία απαρτίζεται από έναν μέσου επιπέδου εκπρόσωπο από κάθε μέλος, εγκρίνει τις προτάσεις των χωρών μελών και εξετάζει τις αιτήσεις προσχώρησης. Εκπονεί επίσης προτάσεις για ομάδες εργασίας, παρακολουθεί την πρόοδο των ομάδων εργασίας, εγκρίνει το ετήσιο πρόγραμμα εργασιών και τον προϋπολογισμό και παρέχει καθοδήγηση στη Γραμματεία της IPEEC. </w:t>
      </w:r>
    </w:p>
    <w:p>
      <w:pPr>
        <w:rPr>
          <w:noProof/>
        </w:rPr>
      </w:pPr>
      <w:r>
        <w:rPr>
          <w:noProof/>
        </w:rPr>
        <w:t xml:space="preserve">Σύμφωνα με το σημείο 3.4 των όρων εντολής, η πολιτική επιτροπή και η εκτελεστική επιτροπή θα πρέπει να λαμβάνουν αποφάσεις συναινετικά, εκτός αν προβλέπεται διαφορετικά. </w:t>
      </w:r>
    </w:p>
    <w:p>
      <w:pPr>
        <w:rPr>
          <w:noProof/>
        </w:rPr>
      </w:pPr>
      <w:r>
        <w:rPr>
          <w:noProof/>
        </w:rPr>
        <w:t xml:space="preserve">Θέση της Γραμματείας της IPEEC είναι ότι η επιτροπή πολιτικής έχει την αρμοδιότητα να παρατείνει τους όρους εντολής της IPEEC με βάση τον ρόλο της ως σώμα αποτελούμενο από υψηλού επιπέδου αντιπροσώπους όλων των μελών της IPEEC. </w:t>
      </w:r>
    </w:p>
    <w:p>
      <w:pPr>
        <w:pStyle w:val="ManualHeading2"/>
        <w:rPr>
          <w:noProof/>
        </w:rPr>
      </w:pPr>
      <w:r>
        <w:t>2.3.</w:t>
      </w:r>
      <w:r>
        <w:tab/>
      </w:r>
      <w:r>
        <w:rPr>
          <w:noProof/>
        </w:rPr>
        <w:t xml:space="preserve">Η προβλεπόμενη πράξη της επιτροπής πολιτικής </w:t>
      </w:r>
    </w:p>
    <w:p>
      <w:pPr>
        <w:rPr>
          <w:noProof/>
        </w:rPr>
      </w:pPr>
      <w:r>
        <w:rPr>
          <w:noProof/>
        </w:rPr>
        <w:t>Στις 21 Φεβρουαρίου 2019, στη 16η συνεδρίαση της επιτροπής πολιτικής, τα μέλη της IPEEC ενέκριναν απόφαση παράτασης της διάρκειας των όρων εντολής της IPEEC έως τις 31 Δεκεμβρίου 2019, με την επιφύλαξη της θέσης της Ένωσης η οποία πρέπει να διατυπωθεί σύμφωνα με τη διαδικασία που προβλέπεται στο άρθρο 218 παράγραφος 9 της ΣΛΕΕ.</w:t>
      </w:r>
    </w:p>
    <w:p>
      <w:pPr>
        <w:rPr>
          <w:noProof/>
        </w:rPr>
      </w:pPr>
      <w:r>
        <w:rPr>
          <w:noProof/>
        </w:rPr>
        <w:lastRenderedPageBreak/>
        <w:t>Η Γραμματεία της IPEEC πρότεινε βραχυπρόθεσμη παράταση των όρων εντολής της IPEEC, προκειμένου να αποφευχθεί απότομη διακοπή των δραστηριοτήτων της IPEEC στις 24 Μαΐου 2019, όταν λήξει η 10ετής περίοδος διάρκειας που προβλέπεται για τους όρους εντολής.</w:t>
      </w:r>
    </w:p>
    <w:p>
      <w:pPr>
        <w:rPr>
          <w:rFonts w:eastAsia="Arial Unicode MS"/>
          <w:noProof/>
        </w:rPr>
      </w:pPr>
      <w:r>
        <w:rPr>
          <w:noProof/>
        </w:rPr>
        <w:t>Το 2017, προκειμένου «να ενισχυθεί η διεθνής συνεργασία στον τομέα της ενεργειακής απόδοσης, να αποφευχθεί η αλληλεπικάλυψη των ροών εργασίας μεταξύ διεθνών οργανισμών που εργάζονται στον τομέα της ενεργειακής απόδοσης και να δημιουργηθούν ευκαιρίες για αποτελεσματικότερη χρήση των πόρων με μεγαλύτερο αντίκτυπο από τη συνεργασία», η γερμανική Προεδρία της G20 πρότεινε να διερευνηθεί η δημιουργία ενός «κόμβου ενεργειακής απόδοσης» («κόμβος»). Έπειτα από εντατικές διαπραγματεύσεις, κατατέθηκε πρόταση για τη δημιουργία ενός τέτοιου κόμβου υπό τον ΔΟΕ, ο οποίος θα μπορούσε να επιτύχει συνέργειες μεταξύ της IPEEC και του ΔΟΕ και να εξασφαλίσει τη συνέχιση των εργασιών της IPEEC μετά τη λήξη των όρων εντολής της IPEEC στις 24 Μαΐου 2019.</w:t>
      </w:r>
    </w:p>
    <w:p>
      <w:pPr>
        <w:rPr>
          <w:rFonts w:eastAsia="Arial Unicode MS"/>
          <w:noProof/>
        </w:rPr>
      </w:pPr>
      <w:r>
        <w:rPr>
          <w:noProof/>
        </w:rPr>
        <w:t>Στις 20 Φεβρουαρίου 2019 το διοικητικό συμβούλιο του ΔΟΕ ενέκρινε τη δημιουργία του κόμβου ενεργειακής απόδοσης ως ειδικής δραστηριότητας δυνάμει του άρθρου 65 της συμφωνίας για ένα διεθνές ενεργειακό πρόγραμμα, αρχικά για μια περίοδο πέντε ετών. Το διοικητικό συμβούλιο συμφώνησε περαιτέρω ότι, εάν τα μέλη της IPEEC αποφασίσουν την παράταση των όρων εντολής της IPEEC, ο ΔΟΕ θα συνεχίσει να φιλοξενεί τη Γραμματεία της IPEEC έως τις 31 Δεκεμβρίου 2019, υπό την προϋπόθεση ότι θα έχουν ληφθεί επαρκής χρηματοδότηση και δεσμεύσεις πριν από την 23 Μαΐου 2019 για την κάλυψη των δαπανών της περιόδου παράτασης.</w:t>
      </w:r>
    </w:p>
    <w:p>
      <w:pPr>
        <w:rPr>
          <w:noProof/>
        </w:rPr>
      </w:pPr>
      <w:r>
        <w:rPr>
          <w:noProof/>
        </w:rPr>
        <w:t>Με αυτά τα δεδομένα, με την παράταση της διάρκειας των όρων εντολής της IPEEC θα υπάρχει πρόσθετος χρόνος για τη συζήτηση και τη λήψη απόφασης σχετικά με τη μετάβαση της IPEEC στον νέο κόμβο ενεργειακής απόδοσης.</w:t>
      </w:r>
    </w:p>
    <w:p>
      <w:pPr>
        <w:rPr>
          <w:noProof/>
        </w:rPr>
      </w:pPr>
      <w:r>
        <w:rPr>
          <w:noProof/>
        </w:rPr>
        <w:t>Σε επιχειρησιακό επίπεδο, με την παράταση έως τις 31 Δεκεμβρίου 2019 λαμβάνεται υπόψη η συνεχιζόμενη υλοποίηση του προγράμματος εργασιών και η παροχή των βασικών υπηρεσιών της IPEEC στα μέλη της IPEEC. Εν προκειμένω περιλαμβάνονται, παραδείγματος χάρη, οι εργασίες για την ενεργειακή απόδοση υπό την G20, οι οποίες εφέτος θα περιλαμβάνουν εκδηλώσεις που έχουν προγραμματιστεί μετά τη λήξη της τρέχουσας εντολής της IPEEC στις 24 Μαΐου. Εξετάζεται επίσης η διαθεσιμότητα κεφαλαίων για την κάλυψη δραστηριοτήτων κατά τη διάρκεια της περιόδου παράτασης, καθώς η Γραμματεία της IPEEC λαμβάνει επί του παρόντος εισφορές για ολόκληρο το ημερολογιακό έτος 2019.</w:t>
      </w:r>
    </w:p>
    <w:p>
      <w:pPr>
        <w:rPr>
          <w:noProof/>
        </w:rPr>
      </w:pPr>
      <w:r>
        <w:rPr>
          <w:noProof/>
        </w:rPr>
        <w:t xml:space="preserve">Η πληρωμή θα πραγματοποιηθεί για το 2019 και τα κονδύλια θα χρησιμοποιηθούν για τη λειτουργία της γραμματείας της IPEEC έως τα τέλη του 2019 και, εάν απομείνουν κονδύλια, θα στηριχθεί η συνέχιση των δραστηριοτήτων του διαδόχου της. Εάν δεν υπάρξει διεθνής συνεργασία σχετικά με την IPEEC ή τον διάδοχό της, πριν από τα τέλη του 2019, τα κεφάλαια κανονικά θα επιστραφούν σύμφωνα με τις διαδικασίες του ΔΟΕ. </w:t>
      </w:r>
    </w:p>
    <w:p>
      <w:pPr>
        <w:rPr>
          <w:noProof/>
        </w:rPr>
      </w:pPr>
      <w:r>
        <w:rPr>
          <w:noProof/>
        </w:rPr>
        <w:t xml:space="preserve">Η προβλεπόμενη απόφαση θα είναι δεσμευτική για τα μέρη σύμφωνα με το σημείο 7.1 της συμφωνίας. </w:t>
      </w:r>
    </w:p>
    <w:p>
      <w:pPr>
        <w:pStyle w:val="ManualHeading1"/>
        <w:rPr>
          <w:rFonts w:eastAsia="Arial Unicode MS"/>
          <w:noProof/>
        </w:rPr>
      </w:pPr>
      <w:r>
        <w:t>3.</w:t>
      </w:r>
      <w:r>
        <w:tab/>
      </w:r>
      <w:r>
        <w:rPr>
          <w:noProof/>
        </w:rPr>
        <w:t>Θέση που πρέπει να ληφθεί εξ ονόματος της Ένωσης</w:t>
      </w:r>
    </w:p>
    <w:p>
      <w:pPr>
        <w:rPr>
          <w:noProof/>
        </w:rPr>
      </w:pPr>
      <w:r>
        <w:rPr>
          <w:noProof/>
        </w:rPr>
        <w:t>Με βάση τους λόγους που εξηγήθηκαν στην ανωτέρω ενότητα, τα μέλη της IPEEC, στη 16η συνεδρίαση της επιτροπής πολιτικής στις 21 Φεβρουαρίου αποφάσισαν τα ακόλουθα, με την επιφύλαξη και με την προϋπόθεση της θέσης που θα λάβει η Ένωση η οποία αναμένεται να διατυπωθεί σύμφωνα με τη διαδικασία του άρθρου 218 παράγραφος 9 της ΣΛΕΕ:</w:t>
      </w:r>
    </w:p>
    <w:p>
      <w:pPr>
        <w:pStyle w:val="Bullet0"/>
        <w:numPr>
          <w:ilvl w:val="0"/>
          <w:numId w:val="13"/>
        </w:numPr>
        <w:rPr>
          <w:noProof/>
        </w:rPr>
      </w:pPr>
      <w:r>
        <w:rPr>
          <w:noProof/>
        </w:rPr>
        <w:lastRenderedPageBreak/>
        <w:t>έγκριση της παράτασης των όρων εντολής της Διεθνούς Εταιρικής Συνεργασίας για την Ενεργειακή Απόδοση για την περίοδο από τις 24 Μαΐου έως τις 31 Δεκεμβρίου 2019·</w:t>
      </w:r>
    </w:p>
    <w:p>
      <w:pPr>
        <w:pStyle w:val="Bullet0"/>
        <w:rPr>
          <w:noProof/>
        </w:rPr>
      </w:pPr>
      <w:r>
        <w:rPr>
          <w:noProof/>
        </w:rPr>
        <w:t>επικρότηση της απόφασης του διοικητικού συμβουλίου του ΔΟΕ να συνεχίσει να φιλοξενεί τη Γραμματεία της IPEEC έως τις 31 Δεκεμβρίου 2019 βάσει του μνημονίου·</w:t>
      </w:r>
    </w:p>
    <w:p>
      <w:pPr>
        <w:pStyle w:val="Bullet0"/>
        <w:numPr>
          <w:ilvl w:val="0"/>
          <w:numId w:val="12"/>
        </w:numPr>
        <w:rPr>
          <w:noProof/>
        </w:rPr>
      </w:pPr>
      <w:r>
        <w:rPr>
          <w:noProof/>
        </w:rPr>
        <w:t xml:space="preserve">ανάθεση στη Γραμματεία της IPEEC να διασφαλίσει τη διοικητική συνέχεια της IPEEC κατά την περίοδο της παράτασης, καθώς και τη συνεργασία με τον ΔΟΕ για την παράταση των συμβάσεων εργασίας του προσωπικού και την κατάρτιση αναθεωρημένου προγράμματος εργασιών και προϋπολογισμού για το 2019 στην επόμενη συνεδρίαση της εκτελεστικής επιτροπής στις 28-29 Μαρτίου 2019· </w:t>
      </w:r>
    </w:p>
    <w:p>
      <w:pPr>
        <w:pStyle w:val="Bullet0"/>
        <w:rPr>
          <w:noProof/>
        </w:rPr>
      </w:pPr>
      <w:r>
        <w:rPr>
          <w:noProof/>
        </w:rPr>
        <w:t>έκκληση στα μέλη να καταβάλουν κάθε δυνατή προσπάθεια για να παράσχουν την εθελοντική εισφορά τους το 2019 και να υποβάλουν τις επιστολές εθελοντικής εισφοράς το αργότερο έως τις 22 Μαΐου 2019. Η πρόθεση της υποβολής των εν λόγω επιστολών εθελοντικής εισφοράς θα πρέπει να ανακοινωθεί στη γραμματεία της εκτελεστικής επιτροπής έως τις 28-29 Μαρτίου·</w:t>
      </w:r>
    </w:p>
    <w:p>
      <w:pPr>
        <w:pStyle w:val="Bullet0"/>
        <w:rPr>
          <w:noProof/>
        </w:rPr>
      </w:pPr>
      <w:r>
        <w:rPr>
          <w:noProof/>
        </w:rPr>
        <w:t>αποδοχή της απόφασης του διοικητικού συμβουλίου του ΔΟΕ να φιλοξενήσει τη Γραμματεία του Κόμβου Ενεργειακής Απόδοσης στον ΔΟΕ και γνωστοποίηση του σχετικού ενημερωτικού σημειώματος που διανεμήθηκε στα μέλη της επιτροπής πολιτικής·</w:t>
      </w:r>
    </w:p>
    <w:p>
      <w:pPr>
        <w:pStyle w:val="Bullet0"/>
        <w:rPr>
          <w:noProof/>
        </w:rPr>
      </w:pPr>
      <w:r>
        <w:rPr>
          <w:noProof/>
        </w:rPr>
        <w:t xml:space="preserve">αναγνωρίζοντας ότι ο κόμβος ενεργειακής απόδοσης δεν θα αποτελέσει νέα οντότητα ή οργανισμό, αλλά μετατρέπει το έργο της IPEEC σε ένα νέο και ισχυρότερο μέσο παγκόσμιας συνεργασίας στην ενεργειακή απόδοση, ανάθεση στη Γραμματεία της IPEEC να συνεργαστεί με τον ΔΟΕ και τα ενδιαφερόμενα μέλη για τον καθορισμό και τη λειτουργία του κόμβου· </w:t>
      </w:r>
    </w:p>
    <w:p>
      <w:pPr>
        <w:pStyle w:val="Bullet0"/>
        <w:rPr>
          <w:noProof/>
        </w:rPr>
      </w:pPr>
      <w:r>
        <w:rPr>
          <w:noProof/>
        </w:rPr>
        <w:t>έκκληση ο πρόεδρος και οι αντιπρόεδροι της επιτροπής πολιτικής, από κοινού με τις άλλες ενδιαφερόμενες χώρες, να συνεργασθούν με τις Γραμματείες της IPEEC και του ΔΟΕ με σκοπό την ολοκλήρωση της διαδικασίας δημιουργίας του κόμβου ενεργειακής απόδοσης εντός του έτους· και</w:t>
      </w:r>
    </w:p>
    <w:p>
      <w:pPr>
        <w:pStyle w:val="Bullet0"/>
        <w:rPr>
          <w:noProof/>
        </w:rPr>
      </w:pPr>
      <w:r>
        <w:rPr>
          <w:noProof/>
        </w:rPr>
        <w:t>έγκριση της συνεχιζόμενης ομαλής διοικητικής μετάβασης της IPEEC σε κόμβο, ιδίως όσον αφορά τη μεταφορά ομάδων εργασίας, κεφαλαίων και του προσωπικού της Γραμματείας της IPEEC.</w:t>
      </w:r>
    </w:p>
    <w:p>
      <w:pPr>
        <w:rPr>
          <w:noProof/>
        </w:rPr>
      </w:pPr>
      <w:r>
        <w:rPr>
          <w:noProof/>
        </w:rPr>
        <w:t xml:space="preserve">Προτείνεται να συμφωνήσει η Ένωση με την παρούσα απόφαση. </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Η έννοια των «</w:t>
      </w:r>
      <w:r>
        <w:rPr>
          <w:i/>
          <w:noProof/>
        </w:rPr>
        <w:t>πράξεων που παράγουν έννομα αποτελέσματα</w:t>
      </w:r>
      <w:r>
        <w:rPr>
          <w:noProof/>
        </w:rPr>
        <w:t xml:space="preserve">» περιλαμβάνει πράξεις που παράγουν έννομα αποτελέσματα δυνάμει των κανόνων του διεθνούς δικαίου που διέπουν το συγκεκριμένο όργανο. Περιλαμβάνει επίσης πράξεις που δεν έχουν δεσμευτική ισχύ βάσει </w:t>
      </w:r>
      <w:r>
        <w:rPr>
          <w:noProof/>
        </w:rPr>
        <w:lastRenderedPageBreak/>
        <w:t>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rPr>
        <w:footnoteReference w:id="3"/>
      </w:r>
      <w:r>
        <w:rPr>
          <w:noProof/>
        </w:rPr>
        <w:t>.</w:t>
      </w:r>
    </w:p>
    <w:p>
      <w:pPr>
        <w:pStyle w:val="ManualHeading3"/>
        <w:rPr>
          <w:noProof/>
        </w:rPr>
      </w:pPr>
      <w:r>
        <w:t>4.1.2.</w:t>
      </w:r>
      <w:r>
        <w:tab/>
      </w:r>
      <w:r>
        <w:rPr>
          <w:noProof/>
        </w:rPr>
        <w:t>Εφαρμογή στην προκειμένη περίπτωση</w:t>
      </w:r>
    </w:p>
    <w:p>
      <w:pPr>
        <w:rPr>
          <w:noProof/>
        </w:rPr>
      </w:pPr>
      <w:r>
        <w:rPr>
          <w:noProof/>
        </w:rPr>
        <w:t xml:space="preserve">Η IPEEC είναι όργανο που έχει συσταθεί με συμφωνία, και συγκεκριμένα με τους όρους εντολής για τη Διεθνή Εταιρική Συνεργασία για την Ενεργειακή Απόδοση («όροι εντολής»). </w:t>
      </w:r>
    </w:p>
    <w:p>
      <w:pPr>
        <w:rPr>
          <w:noProof/>
        </w:rPr>
      </w:pPr>
      <w:r>
        <w:rPr>
          <w:noProof/>
        </w:rPr>
        <w:t>Η πράξη την οποία καλείται να εγκρίνει η IPEEC αποτελεί πράξη που παράγει έννομα αποτελέσματα. Η προβλεπόμενη πράξη θα είναι δεσμευτική βάσει του διεθνούς δικαίου σύμφωνα με το σημείο 7.1 των όρων εντολής, διότι παρατείνει εγκαίρως τις δεσμεύσεις που ανέλαβαν τα μέλη της IPEEC όταν συνήψαν τους αρχικούς όρους εντολής.</w:t>
      </w:r>
    </w:p>
    <w:p>
      <w:pPr>
        <w:rPr>
          <w:noProof/>
        </w:rPr>
      </w:pPr>
      <w:r>
        <w:rPr>
          <w:noProof/>
        </w:rPr>
        <w:t>Η προβλεπόμενη πράξη δεν συμπληρώνει ούτε τροποποιεί το θεσμικό πλαίσιο της συμφωνίας· το θεσμικό πλαίσιο που δημιουργήθηκε με τους όρους εντολής παραμένει ως έχει.</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για την οποία λαμβάνεται θέση εξ ονόματος της Ένωσης. Εάν η προβλεπόμενη πράξη επιδιώκει διττό σκοπό ή έχει δύο συνιστώσες και εάν ένας από τους σκοπούς ή μία από τις συνιστώσες μπορεί να χαρακτηριστεί ως ο/η κύριος/-α, ενώ ο/η άλλος/-η έχει απλώς παρεπόμενο χαρακτήρα, η απόφαση δυνάμει του άρθρου 218 παράγραφος 9 της ΣΛΕΕ πρέπει να στηρίζεται σε μία και μόνη ουσιαστική νομική βάση, ήτοι εκείνη που επιβάλλει ο/η κύριος/-α ή πρωτεύων/-ουσα σκοπός ή συνιστώσα.</w:t>
      </w:r>
    </w:p>
    <w:p>
      <w:pPr>
        <w:pStyle w:val="ManualHeading3"/>
        <w:rPr>
          <w:noProof/>
        </w:rPr>
      </w:pPr>
      <w:r>
        <w:t>4.2.2.</w:t>
      </w:r>
      <w:r>
        <w:tab/>
      </w:r>
      <w:r>
        <w:rPr>
          <w:noProof/>
        </w:rPr>
        <w:t>Εφαρμογή στην προκειμένη περίπτωση</w:t>
      </w:r>
    </w:p>
    <w:p>
      <w:pPr>
        <w:rPr>
          <w:noProof/>
        </w:rPr>
      </w:pPr>
      <w:r>
        <w:rPr>
          <w:noProof/>
        </w:rPr>
        <w:t>Ο κύριος στόχος και το περιεχόμενο της προβλεπόμενης πράξης αφορούν την προώθηση της ενεργειακής απόδοσης στον τομέα της ενέργειας.</w:t>
      </w:r>
    </w:p>
    <w:p>
      <w:pPr>
        <w:rPr>
          <w:noProof/>
        </w:rPr>
      </w:pPr>
      <w:r>
        <w:rPr>
          <w:noProof/>
        </w:rPr>
        <w:t>Συνεπώς, η ουσιαστική νομική βάση για την προτεινόμενη απόφαση είναι το άρθρο 194 παράγραφος 2 της ΣΛΕΕ. [</w:t>
      </w:r>
      <w:r>
        <w:rPr>
          <w:i/>
          <w:noProof/>
        </w:rPr>
        <w:t>Να χρησιμοποιηθούν οι συντομογραφίες σε όλο το κείμεν</w:t>
      </w:r>
      <w:r>
        <w:rPr>
          <w:noProof/>
        </w:rPr>
        <w:t>ο]</w:t>
      </w:r>
    </w:p>
    <w:p>
      <w:pPr>
        <w:pStyle w:val="ManualHeading2"/>
        <w:rPr>
          <w:noProof/>
        </w:rPr>
      </w:pPr>
      <w:r>
        <w:t>4.3.</w:t>
      </w:r>
      <w:r>
        <w:tab/>
      </w:r>
      <w:r>
        <w:rPr>
          <w:noProof/>
        </w:rPr>
        <w:t>Συμπέρασμα</w:t>
      </w:r>
    </w:p>
    <w:p>
      <w:pPr>
        <w:rPr>
          <w:noProof/>
        </w:rPr>
      </w:pPr>
      <w:r>
        <w:rPr>
          <w:noProof/>
        </w:rPr>
        <w:t>Το άρθρο 194 παράγραφος 2 σε συνδυασμό με το άρθρο 218 παράγραφος 9 της ΣΛΕΕ θα πρέπει να αποτελέσουν τη νομική βάση της προτεινόμενης απόφασης.</w:t>
      </w:r>
    </w:p>
    <w:p>
      <w:pPr>
        <w:rPr>
          <w:noProof/>
        </w:rPr>
        <w:sectPr>
          <w:footerReference w:type="default" r:id="rId18"/>
          <w:footerReference w:type="first" r:id="rId19"/>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2019/0110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 xml:space="preserve">για τη θέση που πρέπει να ληφθεί εξ ονόματος της Ευρωπαϊκής Ένωσης στη Διεθνή Εταιρική Συνεργασία για την Ενεργειακή Απόδοση (IPEEC) όσον αφορά την παράταση των όρων εντολής της IPEEC από τις 24 Μαΐου έως τις 31 Δεκεμβρίου 2019 </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194 παράγραφος 2,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rPr>
          <w:noProof/>
        </w:rPr>
      </w:pPr>
    </w:p>
    <w:p>
      <w:pPr>
        <w:pStyle w:val="ManualConsidrant"/>
        <w:rPr>
          <w:noProof/>
        </w:rPr>
      </w:pPr>
      <w:r>
        <w:t>(1)</w:t>
      </w:r>
      <w:r>
        <w:tab/>
      </w:r>
      <w:r>
        <w:rPr>
          <w:noProof/>
        </w:rPr>
        <w:t>Οι όροι εντολής για τη Διεθνή Εταιρική Συνεργασία για την Ενεργειακή Απόδοση (IPEEC) («η συμφωνία») άρχισαν να ισχύουν στις 24 Μαΐου 2009 και συνήφθησαν από την Ένωση με την απόφαση 2009/954/ΕΚ του Συμβουλίου</w:t>
      </w:r>
      <w:r>
        <w:rPr>
          <w:rStyle w:val="FootnoteReference"/>
          <w:noProof/>
        </w:rPr>
        <w:footnoteReference w:id="4"/>
      </w:r>
      <w:r>
        <w:rPr>
          <w:noProof/>
        </w:rPr>
        <w:t xml:space="preserve">. </w:t>
      </w:r>
    </w:p>
    <w:p>
      <w:pPr>
        <w:pStyle w:val="ManualConsidrant"/>
        <w:rPr>
          <w:noProof/>
        </w:rPr>
      </w:pPr>
      <w:r>
        <w:t>(2)</w:t>
      </w:r>
      <w:r>
        <w:tab/>
      </w:r>
      <w:r>
        <w:rPr>
          <w:noProof/>
        </w:rPr>
        <w:t xml:space="preserve">Σύμφωνα με το σημείο 7.1 της συμφωνίας, τα μέλη της IPEEC μπορούν να αποφασίσουν να παρατείνουν τη διάρκειά της. Η επιτροπή πολιτικής, ως όργανο της ολομέλειας της IPEEC απαρτιζόμενο από υψηλόβαθμους αντιπροσώπους όλων των μελών της, στην οποία έχει ανατεθεί να χειρίζεται το γενικό πλαίσιο και τις πολιτικές της IPEEC, είναι το αρμόδιο όργανο στο οποίο τα μέλη της IPEEC μπορούν να αποφασίσουν παράταση της ισχύος της συμφωνίας. </w:t>
      </w:r>
    </w:p>
    <w:p>
      <w:pPr>
        <w:pStyle w:val="ManualConsidrant"/>
        <w:rPr>
          <w:noProof/>
        </w:rPr>
      </w:pPr>
      <w:r>
        <w:t>(3)</w:t>
      </w:r>
      <w:r>
        <w:tab/>
      </w:r>
      <w:r>
        <w:rPr>
          <w:noProof/>
        </w:rPr>
        <w:t xml:space="preserve">Τα μέλη της IPEEC, πλην της Ένωσης, ενέκριναν την παράταση των όρων εντολής της IPEEC για την περίοδο από τις 24 Μαΐου έως τις 31 Δεκεμβρίου 2019 στη συνεδρίαση της επιτροπής πολιτικής στις 21 Φεβρουαρίου 2019. </w:t>
      </w:r>
    </w:p>
    <w:p>
      <w:pPr>
        <w:pStyle w:val="ManualConsidrant"/>
        <w:rPr>
          <w:noProof/>
        </w:rPr>
      </w:pPr>
      <w:r>
        <w:t>(4)</w:t>
      </w:r>
      <w:r>
        <w:tab/>
      </w:r>
      <w:r>
        <w:rPr>
          <w:noProof/>
        </w:rPr>
        <w:t xml:space="preserve">Είναι σκόπιμο να οριστεί η θέση σχετικά με την παράταση των όρων εντολής της IPEEC που πρέπει να ληφθεί εξ ονόματος της Ένωσης, διότι η παράταση των όρων εντολής θα είναι δεσμευτική για την Ένωση. </w:t>
      </w:r>
    </w:p>
    <w:p>
      <w:pPr>
        <w:pStyle w:val="ManualConsidrant"/>
        <w:rPr>
          <w:noProof/>
        </w:rPr>
      </w:pPr>
      <w:r>
        <w:t>(5)</w:t>
      </w:r>
      <w:r>
        <w:tab/>
      </w:r>
      <w:r>
        <w:rPr>
          <w:noProof/>
        </w:rPr>
        <w:t xml:space="preserve">Τα μέλη της IPEEC εξετάζουν τη δυνατότητα συνδυασμού των τρεχουσών δραστηριοτήτων της IPEEC με τις δραστηριότητες ενεργειακής απόδοσης του Διεθνούς Οργανισμού Ενέργειας (ΔΟΕ) σε έναν κόμβο ενεργειακής απόδοσης προκειμένου να επιτευχθούν συνέργειες στον τομέα αυτό. Με τη βραχυπρόθεσμη παράταση των όρων εντολής της IPEEC επιδιώκεται να προβλεφθεί, ως προσωρινό μέτρο, ο αναγκαίος χρόνος για τη δημιουργία του κόμβου ενεργειακής απόδοσης και, </w:t>
      </w:r>
      <w:r>
        <w:rPr>
          <w:noProof/>
        </w:rPr>
        <w:lastRenderedPageBreak/>
        <w:t xml:space="preserve">παράλληλα, να διασφαλισθεί η συνέχιση των δραστηριοτήτων της IPEEC και η μεταβίβασή τους στον νέο κόμβο ενεργειακής απόδοσης χωρίς να διακοπούν. </w:t>
      </w:r>
    </w:p>
    <w:p>
      <w:pPr>
        <w:pStyle w:val="ManualConsidrant"/>
        <w:rPr>
          <w:noProof/>
        </w:rPr>
      </w:pPr>
      <w:r>
        <w:t>(6)</w:t>
      </w:r>
      <w:r>
        <w:tab/>
      </w:r>
      <w:r>
        <w:rPr>
          <w:noProof/>
        </w:rPr>
        <w:t>Σε επιχειρησιακό επίπεδο, με την παράταση έως τις 31 Δεκεμβρίου 2019 λαμβάνεται υπόψη η συνεχιζόμενη υλοποίηση του προγράμματος εργασιών της IPEEC και η παροχή των βασικών υπηρεσιών στα μέλη της IPEEC. Εν προκειμένω περιλαμβάνονται οι εργασίες στο πεδίο της ενεργειακής απόδοσης υπό την G20, οι οποίες εφέτος θα περιλαμβάνουν εκδηλώσεις που έχουν προγραμματιστεί μετά τη λήξη της τρέχουσας θητείας της IPEEC στις 24 Μαΐου 2019. Εξετάζεται επίσης η διαθεσιμότητα πόρων για την κάλυψη βασικών δραστηριοτήτων κατά τη διάρκεια της περιόδου παράτασης, καθώς η Γραμματεία της IPEEC λαμβάνει προς το παρόν εισφορές για ολόκληρο το ημερολογιακό έτος 2019 και οι δραστηριότητες, το υπόλοιπο προσωπικό και οι πιθανοί πόροι θα μπορούν να μεταβιβασθούν στον νέο κόμβο ενεργειακής απόδοσης.</w:t>
      </w:r>
    </w:p>
    <w:p>
      <w:pPr>
        <w:pStyle w:val="ManualConsidrant"/>
        <w:rPr>
          <w:noProof/>
        </w:rPr>
      </w:pPr>
      <w:r>
        <w:t>(7)</w:t>
      </w:r>
      <w:r>
        <w:tab/>
      </w:r>
      <w:r>
        <w:rPr>
          <w:noProof/>
        </w:rPr>
        <w:t xml:space="preserve">Συνεπώς, η βραχυπρόθεσμη παράταση των όρων εντολής της IPEEC είναι σημαντική για να αποφευχθεί τυχόν απότομη διακοπή των δραστηριοτήτων της IPEEC στις 24 Μαΐου 2019. Σύμφωνα με το σημείο 3.4 των όρων εντολής της IPEEC, η τελική απόφαση για την παράταση πρέπει να ληφθεί με συναίνεση των μελών της IPEEC και, μετά τη συνεδρίαση της επιτροπής πολιτικής στις 21 Φεβρουαρίου 2019, εκκρεμεί η απόφαση του Συμβουλίου σχετικά με τη θέση, </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Η θέση που πρέπει να ληφθεί εξ ονόματος της Ένωσης είναι η ακόλουθη:</w:t>
      </w:r>
    </w:p>
    <w:p>
      <w:pPr>
        <w:pStyle w:val="Point0number"/>
        <w:numPr>
          <w:ilvl w:val="0"/>
          <w:numId w:val="11"/>
        </w:numPr>
        <w:rPr>
          <w:noProof/>
        </w:rPr>
      </w:pPr>
      <w:r>
        <w:rPr>
          <w:noProof/>
        </w:rPr>
        <w:t>έγκριση της παράτασης των όρων εντολής της IPEEC για την περίοδο από τις 24 Μαΐου έως τις 31 Δεκεμβρίου 2019·</w:t>
      </w:r>
    </w:p>
    <w:p>
      <w:pPr>
        <w:pStyle w:val="Point0number"/>
        <w:numPr>
          <w:ilvl w:val="0"/>
          <w:numId w:val="11"/>
        </w:numPr>
        <w:rPr>
          <w:noProof/>
        </w:rPr>
      </w:pPr>
      <w:r>
        <w:rPr>
          <w:noProof/>
        </w:rPr>
        <w:t>συμφωνία επί της απόφασης του διοικητικού συμβουλίου του Διεθνούς Οργανισμού Ενέργειας (ΔΟΕ) να συνεχισθεί η φιλοξενία της Γραμματείας της IPEEC στον ΔΟΕ έως τις 31 Δεκεμβρίου 2019, με βάση το μνημόνιο φιλοξενίας της Γραμματείας της IPEEC από τον ΔΟΕ·</w:t>
      </w:r>
    </w:p>
    <w:p>
      <w:pPr>
        <w:pStyle w:val="Point0number"/>
        <w:rPr>
          <w:noProof/>
        </w:rPr>
      </w:pPr>
      <w:r>
        <w:rPr>
          <w:noProof/>
        </w:rPr>
        <w:t>έγκριση της ομαλής διοικητικής μετάβασης της IPEEC σε νέο κόμβο ενεργειακής απόδοσης, ιδίως όσον αφορά τη μεταφορά των ομάδων εργασίας, των κονδυλίων και του προσωπικού της Γραμματείας της IPEEC.</w:t>
      </w:r>
    </w:p>
    <w:p>
      <w:pPr>
        <w:pStyle w:val="Titrearticle"/>
        <w:rPr>
          <w:noProof/>
        </w:rPr>
      </w:pPr>
      <w:r>
        <w:rPr>
          <w:noProof/>
        </w:rPr>
        <w:t>Άρθρο 2</w:t>
      </w:r>
    </w:p>
    <w:p>
      <w:pPr>
        <w:rPr>
          <w:noProof/>
        </w:rPr>
      </w:pPr>
      <w:r>
        <w:rPr>
          <w:noProof/>
        </w:rPr>
        <w:t>Η παρούσα απόφαση απευθύνεται στην Επιτροπή.</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Απόφαση του Συμβουλίου</w:t>
      </w:r>
      <w:r>
        <w:rPr>
          <w:rStyle w:val="FootnoteReference"/>
        </w:rPr>
        <w:footnoteRef/>
      </w:r>
      <w:r>
        <w:t>, της 30ής Νοεμβρίου 2009, για την υπογραφή και σύναψη των «όρων εντολής για τη διεθνή εταιρική σχέση για τη συνεργασία σχετικά με την ενεργειακή απόδοση» (IPEEC) και του «μνημονίου για τη φιλοξενία, από τον Διεθνή Οργανισμό Ενέργειας, της γραμματείας της διεθνούς εταιρικής σχέσης σχετικά με την ενεργειακή απόδοση» από την Ευρωπαϊκή Κοινότητα (ΕΕ L 330 της 16.12.2009, σ. 37).</w:t>
      </w:r>
    </w:p>
  </w:footnote>
  <w:footnote w:id="2">
    <w:p>
      <w:pPr>
        <w:pStyle w:val="FootnoteText"/>
      </w:pPr>
      <w:r>
        <w:rPr>
          <w:rStyle w:val="FootnoteReference"/>
        </w:rPr>
        <w:footnoteRef/>
      </w:r>
      <w:r>
        <w:tab/>
        <w:t>Απόφαση 2009/954/ΕΚ του Συμβουλίου</w:t>
      </w:r>
      <w:r>
        <w:rPr>
          <w:rStyle w:val="FootnoteReference"/>
        </w:rPr>
        <w:footnoteRef/>
      </w:r>
      <w:r>
        <w:t xml:space="preserve">, της 20ής Νοεμβρίου 2009 </w:t>
      </w:r>
      <w:r>
        <w:rPr>
          <w:i/>
        </w:rPr>
        <w:t>(ΕΕ L 330 της 16.12.2009, σ. 37-47)</w:t>
      </w:r>
      <w:r>
        <w:t>.</w:t>
      </w:r>
      <w:r>
        <w:rPr>
          <w:i/>
        </w:rPr>
        <w:t xml:space="preserve"> </w:t>
      </w:r>
    </w:p>
    <w:p>
      <w:pPr>
        <w:pStyle w:val="FootnoteText"/>
      </w:pPr>
    </w:p>
  </w:footnote>
  <w:footnote w:id="3">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σκέψεις 61 έως 64. </w:t>
      </w:r>
    </w:p>
  </w:footnote>
  <w:footnote w:id="4">
    <w:p>
      <w:pPr>
        <w:pStyle w:val="FootnoteText"/>
      </w:pPr>
      <w:r>
        <w:rPr>
          <w:rStyle w:val="FootnoteReference"/>
        </w:rPr>
        <w:footnoteRef/>
      </w:r>
      <w:r>
        <w:tab/>
        <w:t xml:space="preserve">Απόφαση 2009/954/EΚ του Συμβουλίου, της 30ής Νοεμβρίου 2009, για την υπογραφή και σύναψη των «όρων εντολής για τη Διεθνή Εταιρική Συνεργασία για την Ενεργειακή Απόδοση» (IPEEC) και του «μνημονίου για τη φιλοξενία, από τον Διεθνή Οργανισμό Ενέργειας, της γραμματείας της διεθνούς εταιρικής σχέσης σχετικά με την ενεργειακή απόδοση» από την Ευρωπαϊκή Κοινότητα (ΕΕ L 330 της 16.12.2009, σ.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4"/>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06 09:10: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71802F9-4EFA-428F-A698-C50128866E3D"/>
    <w:docVar w:name="LW_COVERPAGE_TYPE" w:val="1"/>
    <w:docVar w:name="LW_CROSSREFERENCE" w:val="&lt;UNUSED&gt;"/>
    <w:docVar w:name="LW_DocType" w:val="COM"/>
    <w:docVar w:name="LW_EMISSION" w:val="14.5.2019"/>
    <w:docVar w:name="LW_EMISSION_ISODATE" w:val="2019-05-14"/>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10"/>
    <w:docVar w:name="LW_REF.II.NEW.CP_YEAR" w:val="2019"/>
    <w:docVar w:name="LW_REF.INST.NEW" w:val="COM"/>
    <w:docVar w:name="LW_REF.INST.NEW_ADOPTED" w:val="final"/>
    <w:docVar w:name="LW_REF.INST.NEW_TEXT" w:val="(2019) 2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47?\u953?\u945? \u964?\u951? \u952?\u941?\u963?\u951? \u960?\u959?\u965? \u960?\u961?\u941?\u960?\u949?\u953? \u957?\u945? \u955?\u951?\u966?\u952?\u949?\u943? \u949?\u958? \u959?\u957?\u972?\u956?\u945?\u964?\u959?\u962? \u964?\u951?\u962? \u917?\u965?\u961?\u969?\u960?\u945?\u970?\u954?\u942?\u962? \u904?\u957?\u969?\u963?\u951?\u962? \u963?\u964?\u951? \u916?\u953?\u949?\u952?\u957?\u942? \u917?\u964?\u945?\u953?\u961?\u953?\u954?\u942? \u931?\u965?\u957?\u949?\u961?\u947?\u945?\u963?\u943?\u945? \u947?\u953?\u945? \u964?\u951?\u957? \u917?\u957?\u949?\u961?\u947?\u949?\u953?\u945?\u954?\u942? \u913?\u960?\u972?\u948?\u959?\u963?\u951? (IPEEC) \u972?\u963?\u959?\u957? \u945?\u966?\u959?\u961?\u940? \u964?\u951?\u957? \u960?\u945?\u961?\u940?\u964?\u945?\u963?\u951? \u964?\u969?\u957? \u972?\u961?\u969?\u957? \u949?\u957?\u964?\u959?\u955?\u942?\u962? \u964?\u951?\u962? IPEEC \u945?\u960?\u972? \u964?\u953?\u962? 24 \u924?\u945?\u912?\u959?\u965? \u941?\u969?\u962? \u964?\u953?\u962? 31 \u916?\u949?\u954?\u949?\u956?\u946?\u961?\u943?\u959?\u965? 2019 "/>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8959">
      <w:bodyDiv w:val="1"/>
      <w:marLeft w:val="0"/>
      <w:marRight w:val="0"/>
      <w:marTop w:val="0"/>
      <w:marBottom w:val="0"/>
      <w:divBdr>
        <w:top w:val="none" w:sz="0" w:space="0" w:color="auto"/>
        <w:left w:val="none" w:sz="0" w:space="0" w:color="auto"/>
        <w:bottom w:val="none" w:sz="0" w:space="0" w:color="auto"/>
        <w:right w:val="none" w:sz="0" w:space="0" w:color="auto"/>
      </w:divBdr>
      <w:divsChild>
        <w:div w:id="1360204217">
          <w:marLeft w:val="634"/>
          <w:marRight w:val="0"/>
          <w:marTop w:val="0"/>
          <w:marBottom w:val="0"/>
          <w:divBdr>
            <w:top w:val="none" w:sz="0" w:space="0" w:color="auto"/>
            <w:left w:val="none" w:sz="0" w:space="0" w:color="auto"/>
            <w:bottom w:val="none" w:sz="0" w:space="0" w:color="auto"/>
            <w:right w:val="none" w:sz="0" w:space="0" w:color="auto"/>
          </w:divBdr>
        </w:div>
        <w:div w:id="1806119793">
          <w:marLeft w:val="634"/>
          <w:marRight w:val="0"/>
          <w:marTop w:val="0"/>
          <w:marBottom w:val="0"/>
          <w:divBdr>
            <w:top w:val="none" w:sz="0" w:space="0" w:color="auto"/>
            <w:left w:val="none" w:sz="0" w:space="0" w:color="auto"/>
            <w:bottom w:val="none" w:sz="0" w:space="0" w:color="auto"/>
            <w:right w:val="none" w:sz="0" w:space="0" w:color="auto"/>
          </w:divBdr>
        </w:div>
      </w:divsChild>
    </w:div>
    <w:div w:id="414589708">
      <w:bodyDiv w:val="1"/>
      <w:marLeft w:val="0"/>
      <w:marRight w:val="0"/>
      <w:marTop w:val="0"/>
      <w:marBottom w:val="0"/>
      <w:divBdr>
        <w:top w:val="none" w:sz="0" w:space="0" w:color="auto"/>
        <w:left w:val="none" w:sz="0" w:space="0" w:color="auto"/>
        <w:bottom w:val="none" w:sz="0" w:space="0" w:color="auto"/>
        <w:right w:val="none" w:sz="0" w:space="0" w:color="auto"/>
      </w:divBdr>
      <w:divsChild>
        <w:div w:id="1897205611">
          <w:marLeft w:val="0"/>
          <w:marRight w:val="0"/>
          <w:marTop w:val="0"/>
          <w:marBottom w:val="0"/>
          <w:divBdr>
            <w:top w:val="none" w:sz="0" w:space="0" w:color="auto"/>
            <w:left w:val="none" w:sz="0" w:space="0" w:color="auto"/>
            <w:bottom w:val="none" w:sz="0" w:space="0" w:color="auto"/>
            <w:right w:val="none" w:sz="0" w:space="0" w:color="auto"/>
          </w:divBdr>
        </w:div>
      </w:divsChild>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829103027">
      <w:bodyDiv w:val="1"/>
      <w:marLeft w:val="0"/>
      <w:marRight w:val="0"/>
      <w:marTop w:val="0"/>
      <w:marBottom w:val="0"/>
      <w:divBdr>
        <w:top w:val="none" w:sz="0" w:space="0" w:color="auto"/>
        <w:left w:val="none" w:sz="0" w:space="0" w:color="auto"/>
        <w:bottom w:val="none" w:sz="0" w:space="0" w:color="auto"/>
        <w:right w:val="none" w:sz="0" w:space="0" w:color="auto"/>
      </w:divBdr>
    </w:div>
    <w:div w:id="1094977325">
      <w:bodyDiv w:val="1"/>
      <w:marLeft w:val="0"/>
      <w:marRight w:val="0"/>
      <w:marTop w:val="0"/>
      <w:marBottom w:val="0"/>
      <w:divBdr>
        <w:top w:val="none" w:sz="0" w:space="0" w:color="auto"/>
        <w:left w:val="none" w:sz="0" w:space="0" w:color="auto"/>
        <w:bottom w:val="none" w:sz="0" w:space="0" w:color="auto"/>
        <w:right w:val="none" w:sz="0" w:space="0" w:color="auto"/>
      </w:divBdr>
    </w:div>
    <w:div w:id="1319461363">
      <w:bodyDiv w:val="1"/>
      <w:marLeft w:val="0"/>
      <w:marRight w:val="0"/>
      <w:marTop w:val="0"/>
      <w:marBottom w:val="0"/>
      <w:divBdr>
        <w:top w:val="none" w:sz="0" w:space="0" w:color="auto"/>
        <w:left w:val="none" w:sz="0" w:space="0" w:color="auto"/>
        <w:bottom w:val="none" w:sz="0" w:space="0" w:color="auto"/>
        <w:right w:val="none" w:sz="0" w:space="0" w:color="auto"/>
      </w:divBdr>
      <w:divsChild>
        <w:div w:id="1278875770">
          <w:marLeft w:val="634"/>
          <w:marRight w:val="0"/>
          <w:marTop w:val="0"/>
          <w:marBottom w:val="0"/>
          <w:divBdr>
            <w:top w:val="none" w:sz="0" w:space="0" w:color="auto"/>
            <w:left w:val="none" w:sz="0" w:space="0" w:color="auto"/>
            <w:bottom w:val="none" w:sz="0" w:space="0" w:color="auto"/>
            <w:right w:val="none" w:sz="0" w:space="0" w:color="auto"/>
          </w:divBdr>
        </w:div>
        <w:div w:id="1206527708">
          <w:marLeft w:val="634"/>
          <w:marRight w:val="0"/>
          <w:marTop w:val="0"/>
          <w:marBottom w:val="0"/>
          <w:divBdr>
            <w:top w:val="none" w:sz="0" w:space="0" w:color="auto"/>
            <w:left w:val="none" w:sz="0" w:space="0" w:color="auto"/>
            <w:bottom w:val="none" w:sz="0" w:space="0" w:color="auto"/>
            <w:right w:val="none" w:sz="0" w:space="0" w:color="auto"/>
          </w:divBdr>
        </w:div>
      </w:divsChild>
    </w:div>
    <w:div w:id="1463111945">
      <w:bodyDiv w:val="1"/>
      <w:marLeft w:val="0"/>
      <w:marRight w:val="0"/>
      <w:marTop w:val="0"/>
      <w:marBottom w:val="0"/>
      <w:divBdr>
        <w:top w:val="none" w:sz="0" w:space="0" w:color="auto"/>
        <w:left w:val="none" w:sz="0" w:space="0" w:color="auto"/>
        <w:bottom w:val="none" w:sz="0" w:space="0" w:color="auto"/>
        <w:right w:val="none" w:sz="0" w:space="0" w:color="auto"/>
      </w:divBdr>
      <w:divsChild>
        <w:div w:id="1287195125">
          <w:marLeft w:val="634"/>
          <w:marRight w:val="0"/>
          <w:marTop w:val="0"/>
          <w:marBottom w:val="0"/>
          <w:divBdr>
            <w:top w:val="none" w:sz="0" w:space="0" w:color="auto"/>
            <w:left w:val="none" w:sz="0" w:space="0" w:color="auto"/>
            <w:bottom w:val="none" w:sz="0" w:space="0" w:color="auto"/>
            <w:right w:val="none" w:sz="0" w:space="0" w:color="auto"/>
          </w:divBdr>
        </w:div>
        <w:div w:id="2050494234">
          <w:marLeft w:val="634"/>
          <w:marRight w:val="0"/>
          <w:marTop w:val="0"/>
          <w:marBottom w:val="0"/>
          <w:divBdr>
            <w:top w:val="none" w:sz="0" w:space="0" w:color="auto"/>
            <w:left w:val="none" w:sz="0" w:space="0" w:color="auto"/>
            <w:bottom w:val="none" w:sz="0" w:space="0" w:color="auto"/>
            <w:right w:val="none" w:sz="0" w:space="0" w:color="auto"/>
          </w:divBdr>
        </w:div>
      </w:divsChild>
    </w:div>
    <w:div w:id="1969774631">
      <w:bodyDiv w:val="1"/>
      <w:marLeft w:val="0"/>
      <w:marRight w:val="0"/>
      <w:marTop w:val="0"/>
      <w:marBottom w:val="0"/>
      <w:divBdr>
        <w:top w:val="none" w:sz="0" w:space="0" w:color="auto"/>
        <w:left w:val="none" w:sz="0" w:space="0" w:color="auto"/>
        <w:bottom w:val="none" w:sz="0" w:space="0" w:color="auto"/>
        <w:right w:val="none" w:sz="0" w:space="0" w:color="auto"/>
      </w:divBdr>
      <w:divsChild>
        <w:div w:id="1740857596">
          <w:marLeft w:val="547"/>
          <w:marRight w:val="0"/>
          <w:marTop w:val="0"/>
          <w:marBottom w:val="120"/>
          <w:divBdr>
            <w:top w:val="none" w:sz="0" w:space="0" w:color="auto"/>
            <w:left w:val="none" w:sz="0" w:space="0" w:color="auto"/>
            <w:bottom w:val="none" w:sz="0" w:space="0" w:color="auto"/>
            <w:right w:val="none" w:sz="0" w:space="0" w:color="auto"/>
          </w:divBdr>
        </w:div>
        <w:div w:id="1677538431">
          <w:marLeft w:val="547"/>
          <w:marRight w:val="0"/>
          <w:marTop w:val="0"/>
          <w:marBottom w:val="120"/>
          <w:divBdr>
            <w:top w:val="none" w:sz="0" w:space="0" w:color="auto"/>
            <w:left w:val="none" w:sz="0" w:space="0" w:color="auto"/>
            <w:bottom w:val="none" w:sz="0" w:space="0" w:color="auto"/>
            <w:right w:val="none" w:sz="0" w:space="0" w:color="auto"/>
          </w:divBdr>
        </w:div>
      </w:divsChild>
    </w:div>
    <w:div w:id="204027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iea.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E3F72467-64D5-4288-B8EC-83F9C697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2785</Words>
  <Characters>15374</Characters>
  <Application>Microsoft Office Word</Application>
  <DocSecurity>0</DocSecurity>
  <Lines>274</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2019-04-24T08:43:00Z</dcterms:created>
  <dcterms:modified xsi:type="dcterms:W3CDTF">2019-05-06T07:10:00Z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