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326547C6-C340-4A06-ABC2-D2D1534E93C8" style="width:450.75pt;height:351.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MOTIVERING</w:t>
      </w:r>
    </w:p>
    <w:p>
      <w:pPr>
        <w:pStyle w:val="ManualHeading1"/>
        <w:rPr>
          <w:noProof/>
        </w:rPr>
      </w:pPr>
      <w:r>
        <w:rPr>
          <w:noProof/>
        </w:rPr>
        <w:t>1.</w:t>
      </w:r>
      <w:r>
        <w:rPr>
          <w:noProof/>
        </w:rPr>
        <w:tab/>
        <w:t>BAKGRUND TILL FÖRSLAGET</w:t>
      </w:r>
    </w:p>
    <w:p>
      <w:pPr>
        <w:pStyle w:val="ManualHeading2"/>
        <w:rPr>
          <w:rFonts w:eastAsia="Arial Unicode MS"/>
          <w:noProof/>
        </w:rPr>
      </w:pPr>
      <w:r>
        <w:rPr>
          <w:noProof/>
          <w:color w:val="000000"/>
          <w:u w:color="000000"/>
          <w:bdr w:val="nil"/>
        </w:rPr>
        <w:t>•</w:t>
      </w:r>
      <w:r>
        <w:rPr>
          <w:noProof/>
        </w:rPr>
        <w:tab/>
        <w:t>Motiv och syfte med förslaget</w:t>
      </w:r>
    </w:p>
    <w:p>
      <w:pPr>
        <w:rPr>
          <w:noProof/>
        </w:rPr>
      </w:pPr>
      <w:r>
        <w:rPr>
          <w:noProof/>
        </w:rPr>
        <w:t xml:space="preserve">För att säkerställa en tillräcklig och oavbruten tillgång på vissa jordbruks- och industriprodukter som produceras i en otillräcklig eller obefintlig mängd i unionen, och för att undvika störningar på marknaderna för dessa produkter, har dessa varor genom rådets förordning (EU) nr 1387/2013 (nedan kallad </w:t>
      </w:r>
      <w:r>
        <w:rPr>
          <w:i/>
          <w:noProof/>
        </w:rPr>
        <w:t>förordningen</w:t>
      </w:r>
      <w:r>
        <w:rPr>
          <w:noProof/>
        </w:rPr>
        <w:t>) helt eller delvis befriats från Gemensamma tulltaxans autonoma tullar.</w:t>
      </w:r>
    </w:p>
    <w:p>
      <w:pPr>
        <w:rPr>
          <w:noProof/>
        </w:rPr>
      </w:pPr>
      <w:r>
        <w:rPr>
          <w:noProof/>
        </w:rPr>
        <w:t>Förordningen uppdateras en gång i halvåret för att tillgodose unionsindustrins behov. Kommissionen har med hjälp av gruppen för tulltaxefrågor av ekonomisk art granskat alla framställningar från medlemsstaterna om autonoma tullbefrielser.</w:t>
      </w:r>
    </w:p>
    <w:p>
      <w:pPr>
        <w:rPr>
          <w:noProof/>
        </w:rPr>
      </w:pPr>
      <w:r>
        <w:rPr>
          <w:noProof/>
        </w:rPr>
        <w:t>Efter denna granskning anser kommissionen att tullbefrielsen är motiverad för vissa nya produkter som för närvarande inte förtecknas i bilagan till förordningen. När det gäller vissa andra produkter är det nödvändigt att ändra villkoren i fråga om produktbeskrivningen, klassificeringen, tullsatserna eller krav för slutanvändning. Produkter för vilka tullbefrielse inte längre ligger i unionens ekonomiska intresse föreslås utgå ur bilagan.</w:t>
      </w:r>
    </w:p>
    <w:p>
      <w:pPr>
        <w:pStyle w:val="ManualHeading2"/>
        <w:rPr>
          <w:rFonts w:eastAsia="Arial Unicode MS"/>
          <w:noProof/>
          <w:color w:val="000000"/>
          <w:u w:color="000000"/>
          <w:bdr w:val="nil"/>
        </w:rPr>
      </w:pPr>
      <w:r>
        <w:rPr>
          <w:noProof/>
          <w:color w:val="000000"/>
          <w:u w:color="000000"/>
          <w:bdr w:val="nil"/>
        </w:rPr>
        <w:t>•</w:t>
      </w:r>
      <w:r>
        <w:rPr>
          <w:noProof/>
        </w:rPr>
        <w:tab/>
        <w:t>Förenlighet med befintliga bestämmelser inom området</w:t>
      </w:r>
    </w:p>
    <w:p>
      <w:pPr>
        <w:rPr>
          <w:noProof/>
        </w:rPr>
      </w:pPr>
      <w:r>
        <w:rPr>
          <w:noProof/>
        </w:rPr>
        <w:t>Detta förslag har ingen inverkan på de länder som har avtal om förmånshandel med unionen eller länder som är kandidater eller potentiella kandidater till avtal om förmånshandel (t.ex. det allmänna preferenssystemet, ordningen för gruppen av stater i Afrika, Västindien och Stillahavsområdet, frihandelsavtal).</w:t>
      </w:r>
    </w:p>
    <w:p>
      <w:pPr>
        <w:pStyle w:val="ManualHeading2"/>
        <w:rPr>
          <w:rFonts w:eastAsia="Arial Unicode MS"/>
          <w:noProof/>
        </w:rPr>
      </w:pPr>
      <w:r>
        <w:rPr>
          <w:noProof/>
          <w:color w:val="000000"/>
          <w:u w:color="000000"/>
          <w:bdr w:val="nil"/>
        </w:rPr>
        <w:t>•</w:t>
      </w:r>
      <w:r>
        <w:rPr>
          <w:noProof/>
        </w:rPr>
        <w:tab/>
        <w:t>Förenlighet med unionens politik inom andra områden</w:t>
      </w:r>
    </w:p>
    <w:p>
      <w:pPr>
        <w:rPr>
          <w:noProof/>
        </w:rPr>
      </w:pPr>
      <w:r>
        <w:rPr>
          <w:noProof/>
        </w:rPr>
        <w:t>Förslaget är förenligt med unionens politik på områdena jordbruk, handel, näringsliv, miljö, utveckling och yttre förbindelser.</w:t>
      </w:r>
    </w:p>
    <w:p>
      <w:pPr>
        <w:pStyle w:val="ManualHeading1"/>
        <w:rPr>
          <w:noProof/>
        </w:rPr>
      </w:pPr>
      <w:r>
        <w:rPr>
          <w:noProof/>
        </w:rPr>
        <w:t>2.</w:t>
      </w:r>
      <w:r>
        <w:rPr>
          <w:noProof/>
        </w:rPr>
        <w:tab/>
        <w:t>RÄTTSLIG GRUND, SUBSIDIARITETSPRINCIPEN OCH PROPORTIONALITETSPRINCIPEN</w:t>
      </w:r>
    </w:p>
    <w:p>
      <w:pPr>
        <w:pStyle w:val="ManualHeading2"/>
        <w:rPr>
          <w:rFonts w:eastAsia="Arial Unicode MS"/>
          <w:noProof/>
          <w:u w:color="000000"/>
          <w:bdr w:val="nil"/>
        </w:rPr>
      </w:pPr>
      <w:r>
        <w:rPr>
          <w:noProof/>
        </w:rPr>
        <w:t>•</w:t>
      </w:r>
      <w:r>
        <w:rPr>
          <w:noProof/>
        </w:rPr>
        <w:tab/>
        <w:t>Rättslig grund</w:t>
      </w:r>
    </w:p>
    <w:p>
      <w:pPr>
        <w:rPr>
          <w:noProof/>
        </w:rPr>
      </w:pPr>
      <w:r>
        <w:rPr>
          <w:noProof/>
        </w:rPr>
        <w:t>Den rättsliga grunden för detta förslag är artikel 31 i fördraget om Europeiska unionens funktionssätt (EUF-fördraget).</w:t>
      </w:r>
    </w:p>
    <w:p>
      <w:pPr>
        <w:pStyle w:val="ManualHeading2"/>
        <w:rPr>
          <w:rFonts w:eastAsia="Arial Unicode MS"/>
          <w:noProof/>
          <w:u w:color="000000"/>
          <w:bdr w:val="nil"/>
        </w:rPr>
      </w:pPr>
      <w:r>
        <w:rPr>
          <w:noProof/>
        </w:rPr>
        <w:t>•</w:t>
      </w:r>
      <w:r>
        <w:rPr>
          <w:noProof/>
        </w:rPr>
        <w:tab/>
        <w:t xml:space="preserve">Subsidiaritetsprincipen (för icke-exklusiv befogenhet) </w:t>
      </w:r>
    </w:p>
    <w:p>
      <w:pPr>
        <w:rPr>
          <w:noProof/>
        </w:rPr>
      </w:pPr>
      <w:r>
        <w:rPr>
          <w:noProof/>
        </w:rPr>
        <w:t>Förslaget avser ett område där unionen har exklusiv befogenhet. Subsidiaritetsprincipen är därför inte tillämplig.</w:t>
      </w:r>
    </w:p>
    <w:p>
      <w:pPr>
        <w:pStyle w:val="ManualHeading2"/>
        <w:rPr>
          <w:rFonts w:eastAsia="Arial Unicode MS"/>
          <w:noProof/>
          <w:u w:color="000000"/>
          <w:bdr w:val="nil"/>
        </w:rPr>
      </w:pPr>
      <w:r>
        <w:rPr>
          <w:noProof/>
        </w:rPr>
        <w:t>•</w:t>
      </w:r>
      <w:r>
        <w:rPr>
          <w:noProof/>
        </w:rPr>
        <w:tab/>
        <w:t>Proportionalitetsprincipen</w:t>
      </w:r>
    </w:p>
    <w:p>
      <w:pPr>
        <w:rPr>
          <w:noProof/>
        </w:rPr>
      </w:pPr>
      <w:r>
        <w:rPr>
          <w:noProof/>
        </w:rPr>
        <w:t>Förslaget överensstämmer med proportionalitetsprincipen. De planerade åtgärderna är i linje med principerna om att förenkla förfarandena för aktörerna inom utrikeshandeln, såsom de anges i kommissionens meddelande om autonoma tullbefrielser och tullkvoter</w:t>
      </w:r>
      <w:bookmarkStart w:id="1" w:name="_Ref5357254"/>
      <w:r>
        <w:rPr>
          <w:rStyle w:val="FootnoteReference"/>
          <w:noProof/>
        </w:rPr>
        <w:footnoteReference w:id="1"/>
      </w:r>
      <w:bookmarkEnd w:id="1"/>
      <w:r>
        <w:rPr>
          <w:noProof/>
        </w:rPr>
        <w:t>. Denna förordning går inte utöver vad som är nödvändigt för att uppnå de eftersträvade målen i enlighet med artikel 5.4 i fördraget om Europeiska unionen (EU-fördraget).</w:t>
      </w:r>
    </w:p>
    <w:p>
      <w:pPr>
        <w:pStyle w:val="ManualHeading2"/>
        <w:rPr>
          <w:rFonts w:eastAsia="Arial Unicode MS"/>
          <w:noProof/>
          <w:u w:color="000000"/>
          <w:bdr w:val="nil"/>
        </w:rPr>
      </w:pPr>
      <w:r>
        <w:rPr>
          <w:noProof/>
        </w:rPr>
        <w:lastRenderedPageBreak/>
        <w:t>•</w:t>
      </w:r>
      <w:r>
        <w:rPr>
          <w:noProof/>
        </w:rPr>
        <w:tab/>
        <w:t>Val av instrument</w:t>
      </w:r>
    </w:p>
    <w:p>
      <w:pPr>
        <w:rPr>
          <w:noProof/>
        </w:rPr>
      </w:pPr>
      <w:r>
        <w:rPr>
          <w:noProof/>
        </w:rPr>
        <w:t>I artikel 31 i EUF-fördraget föreskrivs att ”[t]ullsatser i den gemensamma tulltaxan ska fastställas av rådet på förslag från kommissionen”. En förordning är därför det lämpliga instrumentet.</w:t>
      </w:r>
    </w:p>
    <w:p>
      <w:pPr>
        <w:pStyle w:val="ManualHeading1"/>
        <w:rPr>
          <w:noProof/>
        </w:rPr>
      </w:pPr>
      <w:r>
        <w:rPr>
          <w:noProof/>
        </w:rPr>
        <w:t>3.</w:t>
      </w:r>
      <w:r>
        <w:rPr>
          <w:noProof/>
        </w:rPr>
        <w:tab/>
        <w:t>RESULTAT AV EFTERHANDSUTVÄRDERINGAR, SAMRÅD MED BERÖRDA PARTER OCH KONSEKVENSBEDÖMNINGAR</w:t>
      </w:r>
    </w:p>
    <w:p>
      <w:pPr>
        <w:pStyle w:val="ManualHeading2"/>
        <w:rPr>
          <w:rFonts w:eastAsia="Arial Unicode MS"/>
          <w:noProof/>
          <w:u w:color="000000"/>
          <w:bdr w:val="nil"/>
        </w:rPr>
      </w:pPr>
      <w:r>
        <w:rPr>
          <w:noProof/>
        </w:rPr>
        <w:t>•</w:t>
      </w:r>
      <w:r>
        <w:rPr>
          <w:noProof/>
        </w:rPr>
        <w:tab/>
        <w:t>Efterhandsutvärderingar/kontroller av ändamålsenligheten med befintlig lagstiftning</w:t>
      </w:r>
    </w:p>
    <w:p>
      <w:pPr>
        <w:rPr>
          <w:noProof/>
        </w:rPr>
      </w:pPr>
      <w:r>
        <w:rPr>
          <w:noProof/>
        </w:rPr>
        <w:t>Hela systemet med autonoma befrielser var föremål för en utvärderingsstudie som genomfördes under 2013. I utvärderingen slogs det fast att ordningens centrala grund fortfarande är giltig. De EU-företag som importerar varor inom ramen för ordningen kan göra avsevärda besparingar. Dessa besparingar kan i sin tur – beroende på produkten, företaget och sektorn – innebära mer övergripande fördelar (t.ex. ökad konkurrenskraft, effektivare tillverkningsmetoder och möjligheter att skapa eller behålla jobb inom unionen). Uppgifter om besparingarna genom denna förordning återfinns i den bifogade finansieringsöversikten.</w:t>
      </w:r>
    </w:p>
    <w:p>
      <w:pPr>
        <w:pStyle w:val="ManualHeading2"/>
        <w:rPr>
          <w:rFonts w:eastAsia="Arial Unicode MS"/>
          <w:noProof/>
          <w:u w:color="000000"/>
          <w:bdr w:val="nil"/>
        </w:rPr>
      </w:pPr>
      <w:r>
        <w:rPr>
          <w:noProof/>
        </w:rPr>
        <w:t>•</w:t>
      </w:r>
      <w:r>
        <w:rPr>
          <w:noProof/>
        </w:rPr>
        <w:tab/>
        <w:t>Samråd med berörda parter</w:t>
      </w:r>
    </w:p>
    <w:p>
      <w:pPr>
        <w:rPr>
          <w:rFonts w:eastAsia="Calibri"/>
          <w:noProof/>
        </w:rPr>
      </w:pPr>
      <w:r>
        <w:rPr>
          <w:noProof/>
        </w:rPr>
        <w:t>Gruppen för tulltaxefrågor av ekonomisk art, som består av delegationer från alla medlemsstater samt Turkiet, har hjälpt kommissionen att bedöma detta förslag. Gruppen sammanträdde tre gånger innan den enades om de ändringar som ingår i förslaget.</w:t>
      </w:r>
    </w:p>
    <w:p>
      <w:pPr>
        <w:rPr>
          <w:rFonts w:eastAsia="Calibri"/>
          <w:noProof/>
        </w:rPr>
      </w:pPr>
      <w:r>
        <w:rPr>
          <w:noProof/>
        </w:rPr>
        <w:t>Gruppen bedömde noggrant varje begäran (ny begäran eller begäran om ändring). I synnerhet undersökte den varje enskilt fall för att säkerställa att förslaget inte vållade tillverkare i unionen någon skada och att det stärkte och befäste unionstillverkningens konkurrenskraft. Gruppen genomförde bedömningen genom diskussioner, och medlemsstaterna samrådde med berörda industrisektorer, intresseorganisationer, handelskammare och andra berörda parter.</w:t>
      </w:r>
    </w:p>
    <w:p>
      <w:pPr>
        <w:rPr>
          <w:noProof/>
        </w:rPr>
      </w:pPr>
      <w:r>
        <w:rPr>
          <w:noProof/>
        </w:rPr>
        <w:t>Alla tullbefrielser som anges i det föreliggande förslaget omfattades av de överenskommelser eller kompromisser som nåddes vid diskussionerna i arbetsgruppen för tulltaxefrågor av ekonomisk art. Inga potentiellt allvarliga risker med oåterkalleliga konsekvenser togs upp.</w:t>
      </w:r>
    </w:p>
    <w:p>
      <w:pPr>
        <w:pStyle w:val="ManualHeading2"/>
        <w:rPr>
          <w:rFonts w:eastAsia="Arial Unicode MS"/>
          <w:noProof/>
          <w:u w:color="000000"/>
          <w:bdr w:val="nil"/>
        </w:rPr>
      </w:pPr>
      <w:r>
        <w:rPr>
          <w:noProof/>
        </w:rPr>
        <w:t>•</w:t>
      </w:r>
      <w:r>
        <w:rPr>
          <w:noProof/>
        </w:rPr>
        <w:tab/>
        <w:t>Konsekvensbedömning</w:t>
      </w:r>
    </w:p>
    <w:p>
      <w:pPr>
        <w:rPr>
          <w:noProof/>
        </w:rPr>
      </w:pPr>
      <w:r>
        <w:rPr>
          <w:noProof/>
        </w:rPr>
        <w:t>Den föreslagna ändringen är helt och hållet teknisk och rör endast de befrielser som förtecknas i bilagan till rådets förordning (EU) nr 1387/2013. Därför genomfördes ingen konsekvensbedömning för detta förslag.</w:t>
      </w:r>
    </w:p>
    <w:p>
      <w:pPr>
        <w:pStyle w:val="ManualHeading2"/>
        <w:rPr>
          <w:rFonts w:eastAsia="Arial Unicode MS"/>
          <w:noProof/>
          <w:u w:color="000000"/>
          <w:bdr w:val="nil"/>
        </w:rPr>
      </w:pPr>
      <w:r>
        <w:rPr>
          <w:noProof/>
        </w:rPr>
        <w:t>•</w:t>
      </w:r>
      <w:r>
        <w:rPr>
          <w:noProof/>
        </w:rPr>
        <w:tab/>
        <w:t>Grundläggande rättigheter</w:t>
      </w:r>
    </w:p>
    <w:p>
      <w:pPr>
        <w:rPr>
          <w:noProof/>
        </w:rPr>
      </w:pPr>
      <w:r>
        <w:rPr>
          <w:noProof/>
        </w:rPr>
        <w:t>Förslaget har inga konsekvenser för de grundläggande rättigheterna.</w:t>
      </w:r>
    </w:p>
    <w:p>
      <w:pPr>
        <w:pStyle w:val="ManualHeading1"/>
        <w:rPr>
          <w:noProof/>
        </w:rPr>
      </w:pPr>
      <w:r>
        <w:rPr>
          <w:noProof/>
        </w:rPr>
        <w:t>4.</w:t>
      </w:r>
      <w:r>
        <w:rPr>
          <w:noProof/>
        </w:rPr>
        <w:tab/>
        <w:t>BUDGETKONSEKVENSER</w:t>
      </w:r>
    </w:p>
    <w:p>
      <w:pPr>
        <w:rPr>
          <w:noProof/>
        </w:rPr>
      </w:pPr>
      <w:r>
        <w:rPr>
          <w:noProof/>
        </w:rPr>
        <w:t xml:space="preserve">Detta förslag påverkar inte utgifterna, men däremot inkomsterna. </w:t>
      </w:r>
      <w:r>
        <w:rPr>
          <w:noProof/>
        </w:rPr>
        <w:br/>
        <w:t xml:space="preserve"> Intäkterna från tullar minskar med ungefär 27,8 miljoner euro per år. Inverkan på de traditionella egna medlen i budgeten uppgår till 22,2 miljoner euro per år (dvs. 80 % av den totala minskningen). Finansieringsöversikten innehåller mer detaljerade uppgifter om budgetkonsekvenserna av förslaget.</w:t>
      </w:r>
    </w:p>
    <w:p>
      <w:pPr>
        <w:rPr>
          <w:noProof/>
        </w:rPr>
      </w:pPr>
      <w:r>
        <w:rPr>
          <w:noProof/>
        </w:rPr>
        <w:t>Förlusten av traditionella egna medel ska kompenseras genom medlemsstaternas BNI-baserade egna medel.</w:t>
      </w:r>
    </w:p>
    <w:p>
      <w:pPr>
        <w:pStyle w:val="ManualHeading1"/>
        <w:rPr>
          <w:noProof/>
        </w:rPr>
      </w:pPr>
      <w:r>
        <w:rPr>
          <w:noProof/>
        </w:rPr>
        <w:lastRenderedPageBreak/>
        <w:t>5.</w:t>
      </w:r>
      <w:r>
        <w:rPr>
          <w:noProof/>
        </w:rPr>
        <w:tab/>
        <w:t>ÖVRIGA INSLAG</w:t>
      </w:r>
    </w:p>
    <w:p>
      <w:pPr>
        <w:pStyle w:val="ManualHeading2"/>
        <w:rPr>
          <w:rFonts w:eastAsia="Arial Unicode MS"/>
          <w:noProof/>
          <w:u w:color="000000"/>
          <w:bdr w:val="nil"/>
        </w:rPr>
      </w:pPr>
      <w:r>
        <w:rPr>
          <w:noProof/>
        </w:rPr>
        <w:t>•</w:t>
      </w:r>
      <w:r>
        <w:rPr>
          <w:noProof/>
        </w:rPr>
        <w:tab/>
        <w:t>Genomförandeplaner samt åtgärder för övervakning, utvärdering och rapportering</w:t>
      </w:r>
    </w:p>
    <w:p>
      <w:pPr>
        <w:rPr>
          <w:noProof/>
        </w:rPr>
      </w:pPr>
      <w:r>
        <w:rPr>
          <w:noProof/>
        </w:rPr>
        <w:t>De åtgärder som föreslagits behandlas inom ramen för Europeiska unionens integrerade tulltaxa (Taric) och tillämpas av medlemsstaternas tullmyndigheter.</w:t>
      </w:r>
    </w:p>
    <w:p>
      <w:pPr>
        <w:rPr>
          <w:noProof/>
        </w:rPr>
        <w:sectPr>
          <w:footerReference w:type="default" r:id="rId16"/>
          <w:footerReference w:type="first" r:id="rId17"/>
          <w:pgSz w:w="11907" w:h="16839"/>
          <w:pgMar w:top="1134" w:right="1417" w:bottom="1134" w:left="1417" w:header="709" w:footer="709" w:gutter="0"/>
          <w:pgNumType w:start="1"/>
          <w:cols w:space="708"/>
          <w:docGrid w:linePitch="360"/>
        </w:sectPr>
      </w:pPr>
    </w:p>
    <w:p>
      <w:pPr>
        <w:pStyle w:val="Rfrenceinterinstitutionnelle"/>
        <w:rPr>
          <w:noProof/>
        </w:rPr>
      </w:pPr>
      <w:r>
        <w:rPr>
          <w:noProof/>
        </w:rPr>
        <w:lastRenderedPageBreak/>
        <w:t>2019/0106 (NLE)</w:t>
      </w:r>
    </w:p>
    <w:p>
      <w:pPr>
        <w:pStyle w:val="Statut"/>
        <w:rPr>
          <w:noProof/>
        </w:rPr>
      </w:pPr>
      <w:r>
        <w:rPr>
          <w:noProof/>
        </w:rPr>
        <w:t>Förslag till</w:t>
      </w:r>
    </w:p>
    <w:p>
      <w:pPr>
        <w:pStyle w:val="Typedudocument"/>
        <w:rPr>
          <w:noProof/>
        </w:rPr>
      </w:pPr>
      <w:r>
        <w:rPr>
          <w:noProof/>
        </w:rPr>
        <w:t>RÅDETS FÖRORDNING</w:t>
      </w:r>
    </w:p>
    <w:p>
      <w:pPr>
        <w:pStyle w:val="Titreobjet"/>
        <w:rPr>
          <w:noProof/>
        </w:rPr>
      </w:pPr>
      <w:r>
        <w:rPr>
          <w:noProof/>
        </w:rPr>
        <w:t>om ändring av förordning (EU) nr 1387/2013 om befrielse från Gemensamma tulltaxans autonoma tullar för vissa jordbruks- och industriprodukter</w:t>
      </w:r>
    </w:p>
    <w:p>
      <w:pPr>
        <w:pStyle w:val="Institutionquiagit"/>
        <w:rPr>
          <w:noProof/>
        </w:rPr>
      </w:pPr>
      <w:r>
        <w:rPr>
          <w:noProof/>
        </w:rPr>
        <w:t>EUROPEISKA UNIONENS RÅD HAR ANTAGIT DENNA FÖRORDNING</w:t>
      </w:r>
    </w:p>
    <w:p>
      <w:pPr>
        <w:rPr>
          <w:noProof/>
        </w:rPr>
      </w:pPr>
      <w:r>
        <w:rPr>
          <w:noProof/>
        </w:rPr>
        <w:t>med beaktande av fördraget om Europeiska unionens funktionssätt, särskilt artikel 31,</w:t>
      </w:r>
    </w:p>
    <w:p>
      <w:pPr>
        <w:rPr>
          <w:noProof/>
        </w:rPr>
      </w:pPr>
      <w:r>
        <w:rPr>
          <w:noProof/>
        </w:rPr>
        <w:t>med beaktande av Europeiska kommissionens förslag, och</w:t>
      </w:r>
    </w:p>
    <w:p>
      <w:pPr>
        <w:rPr>
          <w:noProof/>
        </w:rPr>
      </w:pPr>
      <w:r>
        <w:rPr>
          <w:noProof/>
        </w:rPr>
        <w:t>av följande skäl:</w:t>
      </w:r>
    </w:p>
    <w:p>
      <w:pPr>
        <w:pStyle w:val="ManualConsidrant"/>
        <w:rPr>
          <w:noProof/>
        </w:rPr>
      </w:pPr>
      <w:r>
        <w:t>(1)</w:t>
      </w:r>
      <w:r>
        <w:tab/>
      </w:r>
      <w:r>
        <w:rPr>
          <w:noProof/>
        </w:rPr>
        <w:t>För att säkerställa en tillräcklig och oavbruten tillgång på vissa jordbruks- och industriprodukter som inte finns tillgängliga i unionen, och därigenom undvika störningar på marknaderna för dessa produkter, har befrielse beviljats från Gemensamma tulltaxans autonoma tullar för dessa produkter genom rådets förordning (EU) nr 1387/2013</w:t>
      </w:r>
      <w:r>
        <w:rPr>
          <w:rStyle w:val="FootnoteReference"/>
          <w:noProof/>
        </w:rPr>
        <w:footnoteReference w:id="2"/>
      </w:r>
      <w:r>
        <w:rPr>
          <w:noProof/>
        </w:rPr>
        <w:t>. Dessa produkter kan importeras till unionen med nedsatt tullsats eller nolltullsats.</w:t>
      </w:r>
    </w:p>
    <w:p>
      <w:pPr>
        <w:pStyle w:val="ManualConsidrant"/>
        <w:rPr>
          <w:noProof/>
        </w:rPr>
      </w:pPr>
      <w:r>
        <w:t>(2)</w:t>
      </w:r>
      <w:r>
        <w:tab/>
      </w:r>
      <w:r>
        <w:rPr>
          <w:noProof/>
        </w:rPr>
        <w:t>Unionsproduktionen av 97 produkter som för närvarande inte förtecknas i bilagan till rådets förordning (EU) nr 1387/2013 är otillräcklig eller obefintlig. Det ligger därför i unionens intresse att bevilja fullständig befrielse från Gemensamma tulltaxans autonoma tullar för dessa produkter.</w:t>
      </w:r>
    </w:p>
    <w:p>
      <w:pPr>
        <w:pStyle w:val="ManualConsidrant"/>
        <w:rPr>
          <w:noProof/>
        </w:rPr>
      </w:pPr>
      <w:r>
        <w:t>(3)</w:t>
      </w:r>
      <w:r>
        <w:tab/>
      </w:r>
      <w:r>
        <w:rPr>
          <w:noProof/>
        </w:rPr>
        <w:t>Det är nödvändigt att ändra villkoren för de befrielser från Gemensamma tulltaxans autonoma tullar för 47 produkter som för närvarande förtecknas i bilagan till förordning (EU) nr 1387/2013, för att ta hänsyn till den tekniska produktutvecklingen och ekonomiska trender på marknaden.</w:t>
      </w:r>
    </w:p>
    <w:p>
      <w:pPr>
        <w:pStyle w:val="ManualConsidrant"/>
        <w:rPr>
          <w:noProof/>
        </w:rPr>
      </w:pPr>
      <w:r>
        <w:t>(4)</w:t>
      </w:r>
      <w:r>
        <w:tab/>
      </w:r>
      <w:r>
        <w:rPr>
          <w:noProof/>
        </w:rPr>
        <w:t>Det är inte längre i unionens intresse att bibehålla befrielsen från Gemensamma tulltaxans autonoma tullsatser för 26 av de produkter som för närvarande förtecknas i bilagan till förordning (EU) nr 1387/2013. För att främja en integrerad batteriproduktion i unionen och i enlighet med Europeiska unionens politiska mål på det området</w:t>
      </w:r>
      <w:r>
        <w:rPr>
          <w:rStyle w:val="FootnoteReference"/>
          <w:noProof/>
        </w:rPr>
        <w:footnoteReference w:id="3"/>
      </w:r>
      <w:r>
        <w:rPr>
          <w:noProof/>
        </w:rPr>
        <w:t xml:space="preserve"> bör befrielserna för ytterligare 20 produkter dras tillbaka. Dessutom bör ytterligare 50 befrielser strykas från den bilagan till följd av genomförandet av en överenskommelse i form av en förklaring om utvidgning av handeln med informationsteknikprodukter</w:t>
      </w:r>
      <w:r>
        <w:rPr>
          <w:rStyle w:val="FootnoteReference"/>
          <w:noProof/>
        </w:rPr>
        <w:footnoteReference w:id="4"/>
      </w:r>
      <w:r>
        <w:rPr>
          <w:noProof/>
        </w:rPr>
        <w:t>, genom vilken tullsatsen för de berörda produkterna sattes ner till noll.</w:t>
      </w:r>
    </w:p>
    <w:p>
      <w:pPr>
        <w:pStyle w:val="ManualConsidrant"/>
        <w:rPr>
          <w:noProof/>
        </w:rPr>
      </w:pPr>
      <w:r>
        <w:t>(5)</w:t>
      </w:r>
      <w:r>
        <w:tab/>
      </w:r>
      <w:r>
        <w:rPr>
          <w:noProof/>
        </w:rPr>
        <w:t>Förordning (EU) nr 1387/2013 bör därför ändras i enlighet med detta.</w:t>
      </w:r>
    </w:p>
    <w:p>
      <w:pPr>
        <w:pStyle w:val="ManualConsidrant"/>
        <w:rPr>
          <w:noProof/>
        </w:rPr>
      </w:pPr>
      <w:r>
        <w:t>(6)</w:t>
      </w:r>
      <w:r>
        <w:tab/>
      </w:r>
      <w:r>
        <w:rPr>
          <w:noProof/>
        </w:rPr>
        <w:t xml:space="preserve">För att undvika avbrott i tillämpningen av systemet med autonoma befrielser och för att följa de riktlinjer som anges i kommissionens meddelande om autonoma </w:t>
      </w:r>
      <w:r>
        <w:rPr>
          <w:noProof/>
        </w:rPr>
        <w:lastRenderedPageBreak/>
        <w:t>tullbefrielser och tullkvoter</w:t>
      </w:r>
      <w:r>
        <w:rPr>
          <w:rStyle w:val="FootnoteReference"/>
          <w:noProof/>
        </w:rPr>
        <w:footnoteReference w:id="5"/>
      </w:r>
      <w:r>
        <w:rPr>
          <w:noProof/>
        </w:rPr>
        <w:t xml:space="preserve"> måste de ändringar som föreskrivs i denna förordning och som rör tullbefrielserna för de berörda produkterna tillämpas från och med den 1 juli 2019. Denna förordning bör därför träda i kraft så snart som möjligt.</w:t>
      </w:r>
    </w:p>
    <w:p>
      <w:pPr>
        <w:pStyle w:val="Formuledadoption"/>
        <w:rPr>
          <w:noProof/>
        </w:rPr>
      </w:pPr>
      <w:r>
        <w:rPr>
          <w:noProof/>
        </w:rPr>
        <w:t>HÄRIGENOM FÖRESKRIVS FÖLJANDE.</w:t>
      </w:r>
    </w:p>
    <w:p>
      <w:pPr>
        <w:pStyle w:val="Titrearticle"/>
        <w:rPr>
          <w:noProof/>
        </w:rPr>
      </w:pPr>
      <w:r>
        <w:rPr>
          <w:noProof/>
        </w:rPr>
        <w:t>Artikel 1</w:t>
      </w:r>
    </w:p>
    <w:p>
      <w:pPr>
        <w:rPr>
          <w:noProof/>
        </w:rPr>
      </w:pPr>
      <w:r>
        <w:rPr>
          <w:noProof/>
        </w:rPr>
        <w:t xml:space="preserve">Bilagan till förordning (EU) nr 1387/2013 ska ändras på följande sätt: </w:t>
      </w:r>
    </w:p>
    <w:p>
      <w:pPr>
        <w:pStyle w:val="ManualNumPar1"/>
        <w:rPr>
          <w:noProof/>
        </w:rPr>
      </w:pPr>
      <w:r>
        <w:t>1.</w:t>
      </w:r>
      <w:r>
        <w:tab/>
      </w:r>
      <w:r>
        <w:rPr>
          <w:noProof/>
        </w:rPr>
        <w:t>Alla asterisker i tabellen och slutnoten (*) med texten ”Nytt nummer, ändrat nummer eller nummer med förlängd giltighetstid” ska utgå.</w:t>
      </w:r>
    </w:p>
    <w:p>
      <w:pPr>
        <w:pStyle w:val="ManualNumPar1"/>
        <w:rPr>
          <w:noProof/>
        </w:rPr>
      </w:pPr>
      <w:r>
        <w:t>2.</w:t>
      </w:r>
      <w:r>
        <w:tab/>
      </w:r>
      <w:r>
        <w:rPr>
          <w:noProof/>
        </w:rPr>
        <w:t>I tabellen ska raderna för de produkter vars KN- och Taric-nummer anges i bilaga I till den här förordningen utgå.</w:t>
      </w:r>
    </w:p>
    <w:p>
      <w:pPr>
        <w:pStyle w:val="ManualNumPar1"/>
        <w:rPr>
          <w:noProof/>
        </w:rPr>
      </w:pPr>
      <w:r>
        <w:t>3.</w:t>
      </w:r>
      <w:r>
        <w:tab/>
      </w:r>
      <w:r>
        <w:rPr>
          <w:noProof/>
        </w:rPr>
        <w:t>Raderna för de produkter som förtecknas i bilaga II till den här förordningen ska införas i tabellen i enlighet med ordningsföljden för de KN- och Taric-nummer som anges i den första respektive andra kolumnen i tabellen.</w:t>
      </w:r>
    </w:p>
    <w:p>
      <w:pPr>
        <w:pStyle w:val="Titrearticle"/>
        <w:rPr>
          <w:noProof/>
        </w:rPr>
      </w:pPr>
      <w:r>
        <w:rPr>
          <w:noProof/>
        </w:rPr>
        <w:t>Artikel 2</w:t>
      </w:r>
    </w:p>
    <w:p>
      <w:pPr>
        <w:rPr>
          <w:noProof/>
        </w:rPr>
      </w:pPr>
      <w:r>
        <w:rPr>
          <w:noProof/>
        </w:rPr>
        <w:t xml:space="preserve">Denna förordning träder i kraft samma dag som den offentliggörs i </w:t>
      </w:r>
      <w:r>
        <w:rPr>
          <w:i/>
          <w:noProof/>
        </w:rPr>
        <w:t>Europeiska unionens officiella tidning</w:t>
      </w:r>
      <w:r>
        <w:rPr>
          <w:noProof/>
        </w:rPr>
        <w:t xml:space="preserve">. </w:t>
      </w:r>
    </w:p>
    <w:p>
      <w:pPr>
        <w:rPr>
          <w:noProof/>
        </w:rPr>
      </w:pPr>
      <w:r>
        <w:rPr>
          <w:noProof/>
        </w:rPr>
        <w:t>Den ska tillämpas från och med den 1 juli 2019.</w:t>
      </w:r>
    </w:p>
    <w:p>
      <w:pPr>
        <w:pStyle w:val="Applicationdirecte"/>
        <w:rPr>
          <w:noProof/>
        </w:rPr>
      </w:pPr>
      <w:r>
        <w:rPr>
          <w:noProof/>
        </w:rPr>
        <w:t>Denna förordning är till alla delar bindande och direkt tillämplig i alla medlemsstater.</w:t>
      </w:r>
    </w:p>
    <w:p>
      <w:pPr>
        <w:pStyle w:val="Fait"/>
        <w:rPr>
          <w:noProof/>
        </w:rPr>
      </w:pPr>
      <w:r>
        <w:t>Utfärdad i Bryssel den</w:t>
      </w:r>
    </w:p>
    <w:p>
      <w:pPr>
        <w:pStyle w:val="Institutionquisigne"/>
        <w:rPr>
          <w:noProof/>
        </w:rPr>
      </w:pPr>
      <w:r>
        <w:rPr>
          <w:noProof/>
        </w:rPr>
        <w:tab/>
        <w:t>På rådets vägnar</w:t>
      </w:r>
    </w:p>
    <w:p>
      <w:pPr>
        <w:pStyle w:val="Personnequisigne"/>
        <w:rPr>
          <w:noProof/>
        </w:rPr>
      </w:pPr>
      <w:r>
        <w:rPr>
          <w:noProof/>
        </w:rPr>
        <w:tab/>
        <w:t>Ordförande</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lastRenderedPageBreak/>
        <w:t>FINANSIERINGSÖVERSIKT FÖR RÄTTSAKT</w:t>
      </w:r>
    </w:p>
    <w:p>
      <w:pPr>
        <w:pStyle w:val="ManualHeading1"/>
        <w:rPr>
          <w:bCs/>
          <w:noProof/>
          <w:szCs w:val="24"/>
        </w:rPr>
      </w:pPr>
      <w:r>
        <w:t>1.</w:t>
      </w:r>
      <w:r>
        <w:tab/>
      </w:r>
      <w:r>
        <w:rPr>
          <w:noProof/>
        </w:rPr>
        <w:t>FÖRSLAGETS BETECKNING</w:t>
      </w:r>
    </w:p>
    <w:p>
      <w:pPr>
        <w:pStyle w:val="Text1"/>
        <w:rPr>
          <w:noProof/>
        </w:rPr>
      </w:pPr>
      <w:r>
        <w:rPr>
          <w:noProof/>
        </w:rPr>
        <w:t>Rådets förordning om ändring av förordning (EU) nr 1387/2013 om befrielse från Gemensamma tulltaxans autonoma tullar för vissa jordbruks- och industriprodukter</w:t>
      </w:r>
    </w:p>
    <w:p>
      <w:pPr>
        <w:pStyle w:val="ManualHeading1"/>
        <w:rPr>
          <w:noProof/>
          <w:szCs w:val="24"/>
        </w:rPr>
      </w:pPr>
      <w:r>
        <w:t>2.</w:t>
      </w:r>
      <w:r>
        <w:tab/>
      </w:r>
      <w:r>
        <w:rPr>
          <w:noProof/>
        </w:rPr>
        <w:t>BERÖRDA BUDGETRUBRIKER</w:t>
      </w:r>
    </w:p>
    <w:p>
      <w:pPr>
        <w:pStyle w:val="Text1"/>
        <w:rPr>
          <w:noProof/>
        </w:rPr>
      </w:pPr>
      <w:r>
        <w:rPr>
          <w:noProof/>
        </w:rPr>
        <w:t>Kapitel och artikel: Kapitel 12, artikel 120.</w:t>
      </w:r>
    </w:p>
    <w:p>
      <w:pPr>
        <w:pStyle w:val="Text1"/>
        <w:rPr>
          <w:noProof/>
        </w:rPr>
      </w:pPr>
      <w:r>
        <w:rPr>
          <w:noProof/>
        </w:rPr>
        <w:t>Budgeterat belopp för 2019: 21 471 164 786  €</w:t>
      </w:r>
    </w:p>
    <w:p>
      <w:pPr>
        <w:pStyle w:val="ManualHeading1"/>
        <w:rPr>
          <w:bCs/>
          <w:noProof/>
          <w:szCs w:val="24"/>
        </w:rPr>
      </w:pPr>
      <w:r>
        <w:t>3.</w:t>
      </w:r>
      <w:r>
        <w:tab/>
      </w:r>
      <w:r>
        <w:rPr>
          <w:noProof/>
        </w:rPr>
        <w:t>BUDGETKONSEKVENSER</w:t>
      </w:r>
    </w:p>
    <w:p>
      <w:pPr>
        <w:pStyle w:val="Text1"/>
        <w:rPr>
          <w:noProof/>
        </w:rPr>
      </w:pPr>
      <w:r>
        <w:rPr>
          <w:noProof/>
        </w:rPr>
        <w:sym w:font="Wingdings" w:char="F0A8"/>
      </w:r>
      <w:r>
        <w:rPr>
          <w:noProof/>
        </w:rPr>
        <w:tab/>
        <w:t>Förslaget påverkar inte budgeten</w:t>
      </w:r>
    </w:p>
    <w:p>
      <w:pPr>
        <w:pStyle w:val="Text1"/>
        <w:rPr>
          <w:noProof/>
        </w:rPr>
      </w:pPr>
      <w:r>
        <w:rPr>
          <w:noProof/>
        </w:rPr>
        <w:t>X Förslaget påverkar inte utgifterna, men däremot inkomsterna på följande sätt:</w:t>
      </w:r>
    </w:p>
    <w:p>
      <w:pPr>
        <w:jc w:val="right"/>
        <w:rPr>
          <w:noProof/>
        </w:rPr>
      </w:pPr>
      <w:r>
        <w:rPr>
          <w:noProof/>
        </w:rPr>
        <w:t>Miljoner euro (avrundat till en decimal</w:t>
      </w:r>
      <w:r>
        <w:rPr>
          <w:rStyle w:val="FootnoteReference"/>
          <w:noProof/>
        </w:rPr>
        <w:footnoteReference w:id="6"/>
      </w:r>
      <w:r>
        <w:rPr>
          <w:noProof/>
        </w:rPr>
        <w:t>)</w:t>
      </w:r>
    </w:p>
    <w:tbl>
      <w:tblPr>
        <w:tblW w:w="83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322"/>
        <w:gridCol w:w="2880"/>
        <w:gridCol w:w="2070"/>
        <w:gridCol w:w="2070"/>
      </w:tblGrid>
      <w:tr>
        <w:trPr>
          <w:gridAfter w:val="2"/>
          <w:wAfter w:w="4140" w:type="dxa"/>
          <w:cantSplit/>
        </w:trPr>
        <w:tc>
          <w:tcPr>
            <w:tcW w:w="1322" w:type="dxa"/>
          </w:tcPr>
          <w:p>
            <w:pPr>
              <w:spacing w:before="0" w:after="0"/>
              <w:jc w:val="left"/>
              <w:rPr>
                <w:noProof/>
                <w:snapToGrid w:val="0"/>
                <w:sz w:val="18"/>
              </w:rPr>
            </w:pPr>
          </w:p>
        </w:tc>
        <w:tc>
          <w:tcPr>
            <w:tcW w:w="2880" w:type="dxa"/>
          </w:tcPr>
          <w:p>
            <w:pPr>
              <w:spacing w:before="0" w:after="0"/>
              <w:jc w:val="left"/>
              <w:rPr>
                <w:noProof/>
                <w:snapToGrid w:val="0"/>
                <w:sz w:val="18"/>
              </w:rPr>
            </w:pPr>
          </w:p>
        </w:tc>
      </w:tr>
      <w:tr>
        <w:trPr>
          <w:cantSplit/>
        </w:trPr>
        <w:tc>
          <w:tcPr>
            <w:tcW w:w="1322" w:type="dxa"/>
          </w:tcPr>
          <w:p>
            <w:pPr>
              <w:spacing w:before="0" w:after="0"/>
              <w:jc w:val="left"/>
              <w:rPr>
                <w:noProof/>
                <w:snapToGrid w:val="0"/>
              </w:rPr>
            </w:pPr>
            <w:r>
              <w:rPr>
                <w:noProof/>
                <w:sz w:val="22"/>
              </w:rPr>
              <w:t>Budgetpost</w:t>
            </w:r>
          </w:p>
        </w:tc>
        <w:tc>
          <w:tcPr>
            <w:tcW w:w="2880" w:type="dxa"/>
          </w:tcPr>
          <w:p>
            <w:pPr>
              <w:spacing w:before="0" w:after="0"/>
              <w:jc w:val="center"/>
              <w:rPr>
                <w:noProof/>
                <w:snapToGrid w:val="0"/>
              </w:rPr>
            </w:pPr>
            <w:r>
              <w:rPr>
                <w:noProof/>
                <w:sz w:val="22"/>
              </w:rPr>
              <w:t>Inkomster</w:t>
            </w:r>
            <w:r>
              <w:rPr>
                <w:rStyle w:val="FootnoteReference"/>
                <w:noProof/>
                <w:snapToGrid w:val="0"/>
                <w:sz w:val="22"/>
              </w:rPr>
              <w:footnoteReference w:id="7"/>
            </w:r>
          </w:p>
          <w:p>
            <w:pPr>
              <w:spacing w:before="0" w:after="0"/>
              <w:jc w:val="center"/>
              <w:rPr>
                <w:noProof/>
                <w:snapToGrid w:val="0"/>
              </w:rPr>
            </w:pPr>
          </w:p>
        </w:tc>
        <w:tc>
          <w:tcPr>
            <w:tcW w:w="2070" w:type="dxa"/>
            <w:shd w:val="clear" w:color="auto" w:fill="auto"/>
          </w:tcPr>
          <w:p>
            <w:pPr>
              <w:spacing w:before="0" w:after="0"/>
              <w:jc w:val="center"/>
              <w:rPr>
                <w:noProof/>
                <w:snapToGrid w:val="0"/>
              </w:rPr>
            </w:pPr>
            <w:r>
              <w:rPr>
                <w:noProof/>
                <w:sz w:val="22"/>
              </w:rPr>
              <w:t>6-månadersperiod, startdatum dd/mm/åååå</w:t>
            </w:r>
          </w:p>
        </w:tc>
        <w:tc>
          <w:tcPr>
            <w:tcW w:w="2070" w:type="dxa"/>
            <w:shd w:val="clear" w:color="auto" w:fill="auto"/>
          </w:tcPr>
          <w:p>
            <w:pPr>
              <w:jc w:val="center"/>
              <w:rPr>
                <w:noProof/>
              </w:rPr>
            </w:pPr>
            <w:r>
              <w:rPr>
                <w:noProof/>
              </w:rPr>
              <w:t>[År: andra halvåret 2019]</w:t>
            </w:r>
          </w:p>
          <w:p>
            <w:pPr>
              <w:spacing w:before="0" w:after="0"/>
              <w:jc w:val="center"/>
              <w:rPr>
                <w:noProof/>
                <w:snapToGrid w:val="0"/>
              </w:rPr>
            </w:pPr>
          </w:p>
        </w:tc>
      </w:tr>
      <w:tr>
        <w:trPr>
          <w:cantSplit/>
        </w:trPr>
        <w:tc>
          <w:tcPr>
            <w:tcW w:w="1322" w:type="dxa"/>
            <w:shd w:val="clear" w:color="auto" w:fill="auto"/>
          </w:tcPr>
          <w:p>
            <w:pPr>
              <w:spacing w:before="0" w:after="0"/>
              <w:jc w:val="left"/>
              <w:rPr>
                <w:noProof/>
              </w:rPr>
            </w:pPr>
            <w:r>
              <w:rPr>
                <w:noProof/>
                <w:sz w:val="22"/>
              </w:rPr>
              <w:t xml:space="preserve">Artikel 120 </w:t>
            </w:r>
          </w:p>
          <w:p>
            <w:pPr>
              <w:spacing w:before="0" w:after="0"/>
              <w:jc w:val="left"/>
              <w:rPr>
                <w:noProof/>
                <w:snapToGrid w:val="0"/>
              </w:rPr>
            </w:pPr>
          </w:p>
        </w:tc>
        <w:tc>
          <w:tcPr>
            <w:tcW w:w="2880" w:type="dxa"/>
          </w:tcPr>
          <w:p>
            <w:pPr>
              <w:spacing w:before="0" w:after="0"/>
              <w:jc w:val="left"/>
              <w:rPr>
                <w:i/>
                <w:noProof/>
                <w:snapToGrid w:val="0"/>
              </w:rPr>
            </w:pPr>
            <w:r>
              <w:rPr>
                <w:i/>
                <w:noProof/>
                <w:sz w:val="22"/>
              </w:rPr>
              <w:t>Påverkan på egna medel</w:t>
            </w:r>
          </w:p>
        </w:tc>
        <w:tc>
          <w:tcPr>
            <w:tcW w:w="2070" w:type="dxa"/>
            <w:shd w:val="clear" w:color="auto" w:fill="auto"/>
          </w:tcPr>
          <w:p>
            <w:pPr>
              <w:spacing w:before="0" w:after="0"/>
              <w:jc w:val="left"/>
              <w:rPr>
                <w:noProof/>
                <w:snapToGrid w:val="0"/>
              </w:rPr>
            </w:pPr>
            <w:r>
              <w:rPr>
                <w:noProof/>
                <w:snapToGrid w:val="0"/>
                <w:sz w:val="22"/>
              </w:rPr>
              <w:t xml:space="preserve">      1/7/2019</w:t>
            </w:r>
          </w:p>
        </w:tc>
        <w:tc>
          <w:tcPr>
            <w:tcW w:w="2070" w:type="dxa"/>
            <w:shd w:val="clear" w:color="auto" w:fill="auto"/>
          </w:tcPr>
          <w:p>
            <w:pPr>
              <w:spacing w:before="0" w:after="0"/>
              <w:jc w:val="left"/>
              <w:rPr>
                <w:noProof/>
                <w:snapToGrid w:val="0"/>
              </w:rPr>
            </w:pPr>
            <w:r>
              <w:rPr>
                <w:noProof/>
                <w:snapToGrid w:val="0"/>
                <w:sz w:val="22"/>
              </w:rPr>
              <w:t xml:space="preserve">           -11,1</w:t>
            </w:r>
          </w:p>
        </w:tc>
      </w:tr>
    </w:tbl>
    <w:p>
      <w:pPr>
        <w:rPr>
          <w:b/>
          <w:i/>
          <w:noProof/>
          <w:snapToGrid w:val="0"/>
        </w:rPr>
      </w:pPr>
    </w:p>
    <w:tbl>
      <w:tblPr>
        <w:tblW w:w="84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6"/>
        <w:gridCol w:w="1321"/>
        <w:gridCol w:w="823"/>
        <w:gridCol w:w="2144"/>
        <w:gridCol w:w="4106"/>
      </w:tblGrid>
      <w:tr>
        <w:trPr>
          <w:gridBefore w:val="1"/>
          <w:wBefore w:w="6" w:type="dxa"/>
          <w:cantSplit/>
        </w:trPr>
        <w:tc>
          <w:tcPr>
            <w:tcW w:w="8394" w:type="dxa"/>
            <w:gridSpan w:val="4"/>
            <w:tcBorders>
              <w:top w:val="single" w:sz="4" w:space="0" w:color="auto"/>
              <w:left w:val="single" w:sz="4" w:space="0" w:color="auto"/>
              <w:bottom w:val="single" w:sz="4" w:space="0" w:color="auto"/>
              <w:right w:val="single" w:sz="4" w:space="0" w:color="auto"/>
            </w:tcBorders>
          </w:tcPr>
          <w:p>
            <w:pPr>
              <w:spacing w:line="276" w:lineRule="auto"/>
              <w:jc w:val="center"/>
              <w:rPr>
                <w:noProof/>
                <w:szCs w:val="24"/>
              </w:rPr>
            </w:pPr>
            <w:r>
              <w:rPr>
                <w:noProof/>
                <w:sz w:val="22"/>
              </w:rPr>
              <w:t>Situation efter åtgärden</w:t>
            </w:r>
          </w:p>
        </w:tc>
      </w:tr>
      <w:tr>
        <w:trPr>
          <w:gridBefore w:val="1"/>
          <w:wBefore w:w="6" w:type="dxa"/>
          <w:cantSplit/>
        </w:trPr>
        <w:tc>
          <w:tcPr>
            <w:tcW w:w="1321" w:type="dxa"/>
            <w:tcBorders>
              <w:top w:val="single" w:sz="4" w:space="0" w:color="auto"/>
              <w:left w:val="single" w:sz="4" w:space="0" w:color="auto"/>
              <w:bottom w:val="single" w:sz="4" w:space="0" w:color="auto"/>
              <w:right w:val="single" w:sz="4" w:space="0" w:color="auto"/>
            </w:tcBorders>
          </w:tcPr>
          <w:p>
            <w:pPr>
              <w:spacing w:line="276" w:lineRule="auto"/>
              <w:jc w:val="center"/>
              <w:rPr>
                <w:noProof/>
                <w:szCs w:val="24"/>
              </w:rPr>
            </w:pPr>
          </w:p>
        </w:tc>
        <w:tc>
          <w:tcPr>
            <w:tcW w:w="7073" w:type="dxa"/>
            <w:gridSpan w:val="3"/>
            <w:tcBorders>
              <w:top w:val="single" w:sz="4" w:space="0" w:color="auto"/>
              <w:left w:val="single" w:sz="4" w:space="0" w:color="auto"/>
              <w:bottom w:val="single" w:sz="4" w:space="0" w:color="auto"/>
              <w:right w:val="single" w:sz="4" w:space="0" w:color="auto"/>
            </w:tcBorders>
          </w:tcPr>
          <w:p>
            <w:pPr>
              <w:spacing w:line="276" w:lineRule="auto"/>
              <w:jc w:val="center"/>
              <w:rPr>
                <w:noProof/>
                <w:szCs w:val="24"/>
              </w:rPr>
            </w:pPr>
            <w:r>
              <w:rPr>
                <w:noProof/>
                <w:sz w:val="22"/>
              </w:rPr>
              <w:t>[2019 – 2023]</w:t>
            </w:r>
          </w:p>
        </w:tc>
      </w:tr>
      <w:tr>
        <w:trPr>
          <w:gridBefore w:val="1"/>
          <w:wBefore w:w="6" w:type="dxa"/>
          <w:cantSplit/>
        </w:trPr>
        <w:tc>
          <w:tcPr>
            <w:tcW w:w="1321" w:type="dxa"/>
            <w:tcBorders>
              <w:top w:val="single" w:sz="4" w:space="0" w:color="auto"/>
              <w:left w:val="single" w:sz="4" w:space="0" w:color="auto"/>
              <w:bottom w:val="single" w:sz="4" w:space="0" w:color="auto"/>
              <w:right w:val="single" w:sz="4" w:space="0" w:color="auto"/>
            </w:tcBorders>
          </w:tcPr>
          <w:p>
            <w:pPr>
              <w:spacing w:line="276" w:lineRule="auto"/>
              <w:rPr>
                <w:noProof/>
                <w:szCs w:val="24"/>
              </w:rPr>
            </w:pPr>
            <w:r>
              <w:rPr>
                <w:noProof/>
                <w:sz w:val="22"/>
              </w:rPr>
              <w:t>Artikel 120</w:t>
            </w:r>
          </w:p>
        </w:tc>
        <w:tc>
          <w:tcPr>
            <w:tcW w:w="7073" w:type="dxa"/>
            <w:gridSpan w:val="3"/>
            <w:tcBorders>
              <w:top w:val="single" w:sz="4" w:space="0" w:color="auto"/>
              <w:left w:val="single" w:sz="4" w:space="0" w:color="auto"/>
              <w:bottom w:val="single" w:sz="4" w:space="0" w:color="auto"/>
              <w:right w:val="single" w:sz="4" w:space="0" w:color="auto"/>
            </w:tcBorders>
          </w:tcPr>
          <w:p>
            <w:pPr>
              <w:spacing w:line="276" w:lineRule="auto"/>
              <w:jc w:val="center"/>
              <w:rPr>
                <w:noProof/>
                <w:szCs w:val="24"/>
              </w:rPr>
            </w:pPr>
            <w:r>
              <w:rPr>
                <w:noProof/>
                <w:sz w:val="22"/>
              </w:rPr>
              <w:t>- 22,2/år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4106" w:type="dxa"/>
        </w:trPr>
        <w:tc>
          <w:tcPr>
            <w:tcW w:w="215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pPr>
              <w:pStyle w:val="Text1"/>
              <w:rPr>
                <w:noProof/>
              </w:rPr>
            </w:pPr>
          </w:p>
        </w:tc>
        <w:tc>
          <w:tcPr>
            <w:tcW w:w="21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pPr>
              <w:pStyle w:val="Text1"/>
              <w:rPr>
                <w:noProof/>
              </w:rPr>
            </w:pPr>
          </w:p>
        </w:tc>
      </w:tr>
    </w:tbl>
    <w:p>
      <w:pPr>
        <w:pStyle w:val="Text1"/>
        <w:rPr>
          <w:noProof/>
        </w:rPr>
      </w:pPr>
      <w:r>
        <w:rPr>
          <w:noProof/>
        </w:rPr>
        <w:t>Bilaga II innehåller 97 nya produkter. De icke uttagna tullar som motsvarar nämnda befrielser, beräknade på grundval av den ansökande medlemsstatens uppskattningar för perioden 2019–2023, uppgår till 28,1 miljoner euro per år.</w:t>
      </w:r>
    </w:p>
    <w:p>
      <w:pPr>
        <w:pStyle w:val="Text1"/>
        <w:rPr>
          <w:noProof/>
        </w:rPr>
      </w:pPr>
      <w:r>
        <w:rPr>
          <w:noProof/>
        </w:rPr>
        <w:t>Statistik för de föregående åren visar emellertid att detta belopp måste multipliceras med en genomsnittlig faktor som uppskattas till 1,8 för att ta hänsyn till importen till de andra medlemsstater som tillämpar samma befrielser. Detta innebär icke uttagna tullar på ungefär 50,6 miljoner euro om året.</w:t>
      </w:r>
    </w:p>
    <w:p>
      <w:pPr>
        <w:pStyle w:val="Text1"/>
        <w:rPr>
          <w:noProof/>
        </w:rPr>
      </w:pPr>
      <w:r>
        <w:rPr>
          <w:noProof/>
        </w:rPr>
        <w:t>26 produkter stryks från bilagan, vilket innebär att tullar återigen tas ut. Detta leder till att tullintäkterna ökar med 22,8 miljoner euro om året, beräknat på grundval av statistiska uppgifter för 2018.</w:t>
      </w:r>
    </w:p>
    <w:p>
      <w:pPr>
        <w:pStyle w:val="Text1"/>
        <w:rPr>
          <w:noProof/>
        </w:rPr>
      </w:pPr>
      <w:r>
        <w:rPr>
          <w:noProof/>
        </w:rPr>
        <w:lastRenderedPageBreak/>
        <w:t>På grundval av ovanstående uppskattas de förlorade inkomsterna för EU-budgeten till följd av denna förordning till 50,6 – 22,8 = 27,8 miljoner euro (bruttobelopp, inklusive uppbördskostnader) x 0,8 = 22,2 miljoner euro/år för perioden 1.7.2019–31.12.2023.</w:t>
      </w:r>
    </w:p>
    <w:p>
      <w:pPr>
        <w:pStyle w:val="ManualHeading1"/>
        <w:rPr>
          <w:bCs/>
          <w:noProof/>
          <w:szCs w:val="24"/>
        </w:rPr>
      </w:pPr>
      <w:r>
        <w:t>4.</w:t>
      </w:r>
      <w:r>
        <w:tab/>
      </w:r>
      <w:r>
        <w:rPr>
          <w:noProof/>
        </w:rPr>
        <w:t>BESTÄMMELSER OM BEDRÄGERIBEKÄMPNING</w:t>
      </w:r>
    </w:p>
    <w:p>
      <w:pPr>
        <w:pStyle w:val="Text1"/>
        <w:rPr>
          <w:noProof/>
        </w:rPr>
      </w:pPr>
      <w:r>
        <w:rPr>
          <w:noProof/>
        </w:rPr>
        <w:t>Användningen för särskilda ändamål av vissa produkter som omfattas av den här rådsförordningen kommer att kontrolleras i enlighet med artikel 254 i Europaparlamentets och rådets förordning (EU) nr 952/2013 av den 9 oktober 2013 om fastställande av en tullkodex för unionen.</w:t>
      </w:r>
    </w:p>
    <w:p>
      <w:pPr>
        <w:pStyle w:val="ManualHeading1"/>
        <w:rPr>
          <w:noProof/>
          <w:kern w:val="32"/>
          <w:szCs w:val="24"/>
        </w:rPr>
      </w:pPr>
      <w:r>
        <w:t>5.</w:t>
      </w:r>
      <w:r>
        <w:tab/>
      </w:r>
      <w:r>
        <w:rPr>
          <w:noProof/>
        </w:rPr>
        <w:t>ÖVRIGA ANMÄRKNINGAR</w:t>
      </w:r>
    </w:p>
    <w:p>
      <w:pPr>
        <w:pStyle w:val="Text1"/>
        <w:rPr>
          <w:noProof/>
        </w:rPr>
      </w:pPr>
      <w:r>
        <w:rPr>
          <w:noProof/>
        </w:rPr>
        <w:t>Förlusten av traditionella egna medel ska kompenseras genom medlemsstaternas BNI-bidrag.</w:t>
      </w: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EUT C 363, 13.12.2011, s. 6.</w:t>
      </w:r>
    </w:p>
  </w:footnote>
  <w:footnote w:id="2">
    <w:p>
      <w:pPr>
        <w:pStyle w:val="FootnoteText"/>
      </w:pPr>
      <w:r>
        <w:rPr>
          <w:rStyle w:val="FootnoteReference"/>
        </w:rPr>
        <w:footnoteRef/>
      </w:r>
      <w:r>
        <w:tab/>
        <w:t xml:space="preserve">Rådets förordning (EU) nr </w:t>
      </w:r>
      <w:r>
        <w:rPr>
          <w:rStyle w:val="highlight"/>
        </w:rPr>
        <w:t>1387/2013</w:t>
      </w:r>
      <w:r>
        <w:t xml:space="preserve"> av den 17 december 2013 om befrielse från Gemensamma tulltaxans autonoma tullar för vissa jordbruks- och industriprodukter och om upphävande av förordning (EU) nr 1344/2011 (EUT L 354, 28.12.2013, s. 201).</w:t>
      </w:r>
    </w:p>
  </w:footnote>
  <w:footnote w:id="3">
    <w:p>
      <w:pPr>
        <w:pStyle w:val="FootnoteText"/>
        <w:rPr>
          <w:lang w:val="pt-PT"/>
        </w:rPr>
      </w:pPr>
      <w:r>
        <w:rPr>
          <w:rStyle w:val="FootnoteReference"/>
        </w:rPr>
        <w:footnoteRef/>
      </w:r>
      <w:r>
        <w:rPr>
          <w:lang w:val="pt-PT"/>
        </w:rPr>
        <w:tab/>
        <w:t>COM(2018) 293 final</w:t>
      </w:r>
    </w:p>
  </w:footnote>
  <w:footnote w:id="4">
    <w:p>
      <w:pPr>
        <w:pStyle w:val="FootnoteText"/>
        <w:rPr>
          <w:lang w:val="pt-PT"/>
        </w:rPr>
      </w:pPr>
      <w:r>
        <w:rPr>
          <w:rStyle w:val="FootnoteReference"/>
        </w:rPr>
        <w:footnoteRef/>
      </w:r>
      <w:r>
        <w:rPr>
          <w:lang w:val="pt-PT"/>
        </w:rPr>
        <w:tab/>
      </w:r>
      <w:hyperlink r:id="rId1">
        <w:r>
          <w:rPr>
            <w:rStyle w:val="Hyperlink"/>
            <w:color w:val="auto"/>
            <w:u w:val="none"/>
            <w:shd w:val="clear" w:color="auto" w:fill="FFFFFF"/>
            <w:lang w:val="pt-PT"/>
          </w:rPr>
          <w:t>EUT L 161, 18.6.2016, s. 4</w:t>
        </w:r>
      </w:hyperlink>
      <w:r>
        <w:rPr>
          <w:lang w:val="pt-PT"/>
        </w:rPr>
        <w:t>.</w:t>
      </w:r>
    </w:p>
  </w:footnote>
  <w:footnote w:id="5">
    <w:p>
      <w:pPr>
        <w:pStyle w:val="FootnoteText"/>
      </w:pPr>
      <w:r>
        <w:rPr>
          <w:rStyle w:val="FootnoteReference"/>
        </w:rPr>
        <w:footnoteRef/>
      </w:r>
      <w:r>
        <w:tab/>
        <w:t>EUT C 363, 13.12.2011, s. 6.</w:t>
      </w:r>
    </w:p>
  </w:footnote>
  <w:footnote w:id="6">
    <w:p>
      <w:pPr>
        <w:pStyle w:val="FootnoteText"/>
        <w:rPr>
          <w:lang w:val="cs-CZ"/>
        </w:rPr>
      </w:pPr>
      <w:r>
        <w:rPr>
          <w:rStyle w:val="FootnoteReference"/>
        </w:rPr>
        <w:footnoteRef/>
      </w:r>
      <w:r>
        <w:tab/>
        <w:t>Uppskattningarna av årliga belopp ska bygga på formeln i avsnitt 5, vilket också ska anges i en fotnot, t.ex. med texten ”vägledande belopp baserat på den överenskomna formeln”. För det första året betalas vanligen det årliga beloppet utan reducering eller proportionell avräkning.</w:t>
      </w:r>
    </w:p>
  </w:footnote>
  <w:footnote w:id="7">
    <w:p>
      <w:pPr>
        <w:pStyle w:val="FootnoteText"/>
      </w:pPr>
      <w:r>
        <w:rPr>
          <w:rStyle w:val="FootnoteReference"/>
        </w:rPr>
        <w:footnoteRef/>
      </w:r>
      <w:r>
        <w:tab/>
        <w:t>När det gäller traditionella egna medel (jordbrukstullar, tullar) ska nettobeloppen anges, dvs. bruttobeloppen minus 20 % i avdrag för uppbördskostnader.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5C059B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AD24B28"/>
    <w:lvl w:ilvl="0">
      <w:start w:val="1"/>
      <w:numFmt w:val="decimal"/>
      <w:pStyle w:val="ListNumber3"/>
      <w:lvlText w:val="%1."/>
      <w:lvlJc w:val="left"/>
      <w:pPr>
        <w:tabs>
          <w:tab w:val="num" w:pos="926"/>
        </w:tabs>
        <w:ind w:left="926" w:hanging="360"/>
      </w:pPr>
    </w:lvl>
  </w:abstractNum>
  <w:abstractNum w:abstractNumId="2">
    <w:nsid w:val="FFFFFF7F"/>
    <w:multiLevelType w:val="singleLevel"/>
    <w:tmpl w:val="B052D1C4"/>
    <w:lvl w:ilvl="0">
      <w:start w:val="1"/>
      <w:numFmt w:val="decimal"/>
      <w:pStyle w:val="ListNumber2"/>
      <w:lvlText w:val="%1."/>
      <w:lvlJc w:val="left"/>
      <w:pPr>
        <w:tabs>
          <w:tab w:val="num" w:pos="643"/>
        </w:tabs>
        <w:ind w:left="643" w:hanging="360"/>
      </w:pPr>
    </w:lvl>
  </w:abstractNum>
  <w:abstractNum w:abstractNumId="3">
    <w:nsid w:val="FFFFFF81"/>
    <w:multiLevelType w:val="singleLevel"/>
    <w:tmpl w:val="EB165FD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A8ED23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2"/>
  </w:num>
  <w:num w:numId="5">
    <w:abstractNumId w:val="19"/>
  </w:num>
  <w:num w:numId="6">
    <w:abstractNumId w:val="23"/>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 w:numId="10">
    <w:abstractNumId w:val="2"/>
  </w:num>
  <w:num w:numId="11">
    <w:abstractNumId w:val="24"/>
    <w:lvlOverride w:ilvl="0">
      <w:startOverride w:val="1"/>
    </w:lvlOverride>
  </w:num>
  <w:num w:numId="12">
    <w:abstractNumId w:val="1"/>
  </w:num>
  <w:num w:numId="13">
    <w:abstractNumId w:val="0"/>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0"/>
  </w:num>
  <w:num w:numId="17">
    <w:abstractNumId w:val="21"/>
  </w:num>
  <w:num w:numId="18">
    <w:abstractNumId w:val="9"/>
  </w:num>
  <w:num w:numId="19">
    <w:abstractNumId w:val="11"/>
  </w:num>
  <w:num w:numId="20">
    <w:abstractNumId w:val="7"/>
  </w:num>
  <w:num w:numId="21">
    <w:abstractNumId w:val="20"/>
  </w:num>
  <w:num w:numId="22">
    <w:abstractNumId w:val="6"/>
  </w:num>
  <w:num w:numId="23">
    <w:abstractNumId w:val="12"/>
  </w:num>
  <w:num w:numId="24">
    <w:abstractNumId w:val="16"/>
  </w:num>
  <w:num w:numId="25">
    <w:abstractNumId w:val="17"/>
  </w:num>
  <w:num w:numId="26">
    <w:abstractNumId w:val="8"/>
  </w:num>
  <w:num w:numId="27">
    <w:abstractNumId w:val="15"/>
  </w:num>
  <w:num w:numId="28">
    <w:abstractNumId w:val="24"/>
  </w:num>
  <w:num w:numId="29">
    <w:abstractNumId w:val="18"/>
  </w:num>
  <w:num w:numId="30">
    <w:abstractNumId w:val="10"/>
  </w:num>
  <w:num w:numId="31">
    <w:abstractNumId w:val="21"/>
  </w:num>
  <w:num w:numId="32">
    <w:abstractNumId w:val="9"/>
  </w:num>
  <w:num w:numId="33">
    <w:abstractNumId w:val="11"/>
  </w:num>
  <w:num w:numId="34">
    <w:abstractNumId w:val="7"/>
  </w:num>
  <w:num w:numId="35">
    <w:abstractNumId w:val="20"/>
  </w:num>
  <w:num w:numId="36">
    <w:abstractNumId w:val="6"/>
  </w:num>
  <w:num w:numId="37">
    <w:abstractNumId w:val="12"/>
  </w:num>
  <w:num w:numId="38">
    <w:abstractNumId w:val="16"/>
  </w:num>
  <w:num w:numId="39">
    <w:abstractNumId w:val="17"/>
  </w:num>
  <w:num w:numId="40">
    <w:abstractNumId w:val="8"/>
  </w:num>
  <w:num w:numId="41">
    <w:abstractNumId w:val="15"/>
  </w:num>
  <w:num w:numId="42">
    <w:abstractNumId w:val="24"/>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RBORN Marieluise (TAXUD)">
    <w15:presenceInfo w15:providerId="None" w15:userId="HERBORN Marieluise (TAXU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5-14 18:06:2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326547C6-C340-4A06-ABC2-D2D1534E93C8"/>
    <w:docVar w:name="LW_COVERPAGE_TYPE" w:val="1"/>
    <w:docVar w:name="LW_CROSSREFERENCE" w:val="&lt;UNUSED&gt;"/>
    <w:docVar w:name="LW_DocType" w:val="COM"/>
    <w:docVar w:name="LW_EMISSION" w:val="16.5.2019"/>
    <w:docVar w:name="LW_EMISSION_ISODATE" w:val="2019-05-16"/>
    <w:docVar w:name="LW_EMISSION_LOCATION" w:val="BRX"/>
    <w:docVar w:name="LW_EMISSION_PREFIX" w:val="Bryssel den "/>
    <w:docVar w:name="LW_EMISSION_SUFFIX" w:val=" "/>
    <w:docVar w:name="LW_ID_DOCMODEL" w:val="SJ-016"/>
    <w:docVar w:name="LW_ID_DOCSIGNATURE" w:val="SJ-016"/>
    <w:docVar w:name="LW_ID_DOCSTRUCTURE" w:val="COM/PL/ORG"/>
    <w:docVar w:name="LW_ID_DOCTYPE" w:val="SJ-016"/>
    <w:docVar w:name="LW_ID_STATUT" w:val="SJ-016"/>
    <w:docVar w:name="LW_INTERETEEE.CP" w:val="&lt;UNUSED&gt;"/>
    <w:docVar w:name="LW_LANGUE" w:val="SV"/>
    <w:docVar w:name="LW_LEVEL_OF_SENSITIVITY" w:val="Standard treatment"/>
    <w:docVar w:name="LW_NOM.INST" w:val="EUROPEISKA KOMMISSIONEN"/>
    <w:docVar w:name="LW_NOM.INST_JOINTDOC" w:val="&lt;EMPTY&gt;"/>
    <w:docVar w:name="LW_PART_NBR" w:val="1"/>
    <w:docVar w:name="LW_PART_NBR_TOTAL" w:val="1"/>
    <w:docVar w:name="LW_REF.II.NEW.CP" w:val="NLE"/>
    <w:docVar w:name="LW_REF.II.NEW.CP_NUMBER" w:val="0106"/>
    <w:docVar w:name="LW_REF.II.NEW.CP_YEAR" w:val="2019"/>
    <w:docVar w:name="LW_REF.INST.NEW" w:val="COM"/>
    <w:docVar w:name="LW_REF.INST.NEW_ADOPTED" w:val="final"/>
    <w:docVar w:name="LW_REF.INST.NEW_TEXT" w:val="(2019) 21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Förslag till"/>
    <w:docVar w:name="LW_SUPERTITRE" w:val="&lt;UNUSED&gt;"/>
    <w:docVar w:name="LW_TITRE.OBJ.CP" w:val="om ändring av förordning (EU) nr 1387/2013 om befrielse från Gemensamma tulltaxans autonoma tullar för vissa jordbruks- och industriprodukter"/>
    <w:docVar w:name="LW_TYPE.DOC.CP" w:val="RÅDETS FÖRORDNING"/>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Bullet" w:uiPriority="0"/>
    <w:lsdException w:name="List Number" w:uiPriority="0"/>
    <w:lsdException w:name="List Bullet 2"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Bullet3">
    <w:name w:val="List Bullet 3"/>
    <w:basedOn w:val="Normal"/>
    <w:uiPriority w:val="99"/>
    <w:semiHidden/>
    <w:unhideWhenUsed/>
    <w:pPr>
      <w:numPr>
        <w:numId w:val="8"/>
      </w:numPr>
      <w:contextualSpacing/>
    </w:pPr>
  </w:style>
  <w:style w:type="paragraph" w:styleId="ListBullet4">
    <w:name w:val="List Bullet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ListNumber2">
    <w:name w:val="List Number 2"/>
    <w:basedOn w:val="Normal"/>
    <w:pPr>
      <w:numPr>
        <w:numId w:val="10"/>
      </w:numPr>
      <w:contextualSpacing/>
    </w:pPr>
    <w:rPr>
      <w:rFonts w:eastAsia="Times New Roman"/>
    </w:rPr>
  </w:style>
  <w:style w:type="character" w:customStyle="1" w:styleId="highlight">
    <w:name w:val="highlight"/>
    <w:basedOn w:val="DefaultParagraphFont"/>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Bullet" w:uiPriority="0"/>
    <w:lsdException w:name="List Number" w:uiPriority="0"/>
    <w:lsdException w:name="List Bullet 2"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Bullet3">
    <w:name w:val="List Bullet 3"/>
    <w:basedOn w:val="Normal"/>
    <w:uiPriority w:val="99"/>
    <w:semiHidden/>
    <w:unhideWhenUsed/>
    <w:pPr>
      <w:numPr>
        <w:numId w:val="8"/>
      </w:numPr>
      <w:contextualSpacing/>
    </w:pPr>
  </w:style>
  <w:style w:type="paragraph" w:styleId="ListBullet4">
    <w:name w:val="List Bullet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ListNumber2">
    <w:name w:val="List Number 2"/>
    <w:basedOn w:val="Normal"/>
    <w:pPr>
      <w:numPr>
        <w:numId w:val="10"/>
      </w:numPr>
      <w:contextualSpacing/>
    </w:pPr>
    <w:rPr>
      <w:rFonts w:eastAsia="Times New Roman"/>
    </w:rPr>
  </w:style>
  <w:style w:type="character" w:customStyle="1" w:styleId="highlight">
    <w:name w:val="highlight"/>
    <w:basedOn w:val="DefaultParagraphFont"/>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72610">
      <w:bodyDiv w:val="1"/>
      <w:marLeft w:val="0"/>
      <w:marRight w:val="0"/>
      <w:marTop w:val="0"/>
      <w:marBottom w:val="0"/>
      <w:divBdr>
        <w:top w:val="none" w:sz="0" w:space="0" w:color="auto"/>
        <w:left w:val="none" w:sz="0" w:space="0" w:color="auto"/>
        <w:bottom w:val="none" w:sz="0" w:space="0" w:color="auto"/>
        <w:right w:val="none" w:sz="0" w:space="0" w:color="auto"/>
      </w:divBdr>
      <w:divsChild>
        <w:div w:id="870608553">
          <w:marLeft w:val="0"/>
          <w:marRight w:val="0"/>
          <w:marTop w:val="0"/>
          <w:marBottom w:val="0"/>
          <w:divBdr>
            <w:top w:val="none" w:sz="0" w:space="0" w:color="auto"/>
            <w:left w:val="none" w:sz="0" w:space="0" w:color="auto"/>
            <w:bottom w:val="none" w:sz="0" w:space="0" w:color="auto"/>
            <w:right w:val="none" w:sz="0" w:space="0" w:color="auto"/>
          </w:divBdr>
          <w:divsChild>
            <w:div w:id="469858113">
              <w:marLeft w:val="0"/>
              <w:marRight w:val="0"/>
              <w:marTop w:val="0"/>
              <w:marBottom w:val="0"/>
              <w:divBdr>
                <w:top w:val="none" w:sz="0" w:space="0" w:color="auto"/>
                <w:left w:val="none" w:sz="0" w:space="0" w:color="auto"/>
                <w:bottom w:val="none" w:sz="0" w:space="0" w:color="auto"/>
                <w:right w:val="none" w:sz="0" w:space="0" w:color="auto"/>
              </w:divBdr>
              <w:divsChild>
                <w:div w:id="348458442">
                  <w:marLeft w:val="0"/>
                  <w:marRight w:val="0"/>
                  <w:marTop w:val="0"/>
                  <w:marBottom w:val="0"/>
                  <w:divBdr>
                    <w:top w:val="none" w:sz="0" w:space="0" w:color="auto"/>
                    <w:left w:val="none" w:sz="0" w:space="0" w:color="auto"/>
                    <w:bottom w:val="none" w:sz="0" w:space="0" w:color="auto"/>
                    <w:right w:val="none" w:sz="0" w:space="0" w:color="auto"/>
                  </w:divBdr>
                  <w:divsChild>
                    <w:div w:id="1439835553">
                      <w:marLeft w:val="1"/>
                      <w:marRight w:val="1"/>
                      <w:marTop w:val="0"/>
                      <w:marBottom w:val="0"/>
                      <w:divBdr>
                        <w:top w:val="none" w:sz="0" w:space="0" w:color="auto"/>
                        <w:left w:val="none" w:sz="0" w:space="0" w:color="auto"/>
                        <w:bottom w:val="none" w:sz="0" w:space="0" w:color="auto"/>
                        <w:right w:val="none" w:sz="0" w:space="0" w:color="auto"/>
                      </w:divBdr>
                      <w:divsChild>
                        <w:div w:id="1596787558">
                          <w:marLeft w:val="0"/>
                          <w:marRight w:val="0"/>
                          <w:marTop w:val="0"/>
                          <w:marBottom w:val="0"/>
                          <w:divBdr>
                            <w:top w:val="none" w:sz="0" w:space="0" w:color="auto"/>
                            <w:left w:val="none" w:sz="0" w:space="0" w:color="auto"/>
                            <w:bottom w:val="none" w:sz="0" w:space="0" w:color="auto"/>
                            <w:right w:val="none" w:sz="0" w:space="0" w:color="auto"/>
                          </w:divBdr>
                          <w:divsChild>
                            <w:div w:id="1005090943">
                              <w:marLeft w:val="0"/>
                              <w:marRight w:val="0"/>
                              <w:marTop w:val="0"/>
                              <w:marBottom w:val="360"/>
                              <w:divBdr>
                                <w:top w:val="none" w:sz="0" w:space="0" w:color="auto"/>
                                <w:left w:val="none" w:sz="0" w:space="0" w:color="auto"/>
                                <w:bottom w:val="none" w:sz="0" w:space="0" w:color="auto"/>
                                <w:right w:val="none" w:sz="0" w:space="0" w:color="auto"/>
                              </w:divBdr>
                              <w:divsChild>
                                <w:div w:id="956060776">
                                  <w:marLeft w:val="0"/>
                                  <w:marRight w:val="0"/>
                                  <w:marTop w:val="0"/>
                                  <w:marBottom w:val="0"/>
                                  <w:divBdr>
                                    <w:top w:val="none" w:sz="0" w:space="0" w:color="auto"/>
                                    <w:left w:val="none" w:sz="0" w:space="0" w:color="auto"/>
                                    <w:bottom w:val="none" w:sz="0" w:space="0" w:color="auto"/>
                                    <w:right w:val="none" w:sz="0" w:space="0" w:color="auto"/>
                                  </w:divBdr>
                                  <w:divsChild>
                                    <w:div w:id="992880060">
                                      <w:marLeft w:val="0"/>
                                      <w:marRight w:val="0"/>
                                      <w:marTop w:val="0"/>
                                      <w:marBottom w:val="0"/>
                                      <w:divBdr>
                                        <w:top w:val="none" w:sz="0" w:space="0" w:color="auto"/>
                                        <w:left w:val="none" w:sz="0" w:space="0" w:color="auto"/>
                                        <w:bottom w:val="none" w:sz="0" w:space="0" w:color="auto"/>
                                        <w:right w:val="none" w:sz="0" w:space="0" w:color="auto"/>
                                      </w:divBdr>
                                      <w:divsChild>
                                        <w:div w:id="1032998542">
                                          <w:marLeft w:val="0"/>
                                          <w:marRight w:val="0"/>
                                          <w:marTop w:val="0"/>
                                          <w:marBottom w:val="0"/>
                                          <w:divBdr>
                                            <w:top w:val="none" w:sz="0" w:space="0" w:color="auto"/>
                                            <w:left w:val="none" w:sz="0" w:space="0" w:color="auto"/>
                                            <w:bottom w:val="none" w:sz="0" w:space="0" w:color="auto"/>
                                            <w:right w:val="none" w:sz="0" w:space="0" w:color="auto"/>
                                          </w:divBdr>
                                          <w:divsChild>
                                            <w:div w:id="567107782">
                                              <w:marLeft w:val="0"/>
                                              <w:marRight w:val="0"/>
                                              <w:marTop w:val="0"/>
                                              <w:marBottom w:val="0"/>
                                              <w:divBdr>
                                                <w:top w:val="none" w:sz="0" w:space="0" w:color="auto"/>
                                                <w:left w:val="none" w:sz="0" w:space="0" w:color="auto"/>
                                                <w:bottom w:val="none" w:sz="0" w:space="0" w:color="auto"/>
                                                <w:right w:val="none" w:sz="0" w:space="0" w:color="auto"/>
                                              </w:divBdr>
                                              <w:divsChild>
                                                <w:div w:id="65037580">
                                                  <w:marLeft w:val="0"/>
                                                  <w:marRight w:val="0"/>
                                                  <w:marTop w:val="0"/>
                                                  <w:marBottom w:val="0"/>
                                                  <w:divBdr>
                                                    <w:top w:val="none" w:sz="0" w:space="0" w:color="auto"/>
                                                    <w:left w:val="none" w:sz="0" w:space="0" w:color="auto"/>
                                                    <w:bottom w:val="none" w:sz="0" w:space="0" w:color="auto"/>
                                                    <w:right w:val="none" w:sz="0" w:space="0" w:color="auto"/>
                                                  </w:divBdr>
                                                  <w:divsChild>
                                                    <w:div w:id="616373303">
                                                      <w:marLeft w:val="0"/>
                                                      <w:marRight w:val="0"/>
                                                      <w:marTop w:val="0"/>
                                                      <w:marBottom w:val="0"/>
                                                      <w:divBdr>
                                                        <w:top w:val="none" w:sz="0" w:space="0" w:color="auto"/>
                                                        <w:left w:val="none" w:sz="0" w:space="0" w:color="auto"/>
                                                        <w:bottom w:val="none" w:sz="0" w:space="0" w:color="auto"/>
                                                        <w:right w:val="none" w:sz="0" w:space="0" w:color="auto"/>
                                                      </w:divBdr>
                                                      <w:divsChild>
                                                        <w:div w:id="1683358307">
                                                          <w:marLeft w:val="0"/>
                                                          <w:marRight w:val="0"/>
                                                          <w:marTop w:val="0"/>
                                                          <w:marBottom w:val="0"/>
                                                          <w:divBdr>
                                                            <w:top w:val="none" w:sz="0" w:space="0" w:color="auto"/>
                                                            <w:left w:val="none" w:sz="0" w:space="0" w:color="auto"/>
                                                            <w:bottom w:val="none" w:sz="0" w:space="0" w:color="auto"/>
                                                            <w:right w:val="none" w:sz="0" w:space="0" w:color="auto"/>
                                                          </w:divBdr>
                                                          <w:divsChild>
                                                            <w:div w:id="1570731546">
                                                              <w:marLeft w:val="0"/>
                                                              <w:marRight w:val="0"/>
                                                              <w:marTop w:val="0"/>
                                                              <w:marBottom w:val="0"/>
                                                              <w:divBdr>
                                                                <w:top w:val="single" w:sz="6" w:space="0" w:color="000000"/>
                                                                <w:left w:val="single" w:sz="6" w:space="2" w:color="000000"/>
                                                                <w:bottom w:val="single" w:sz="6" w:space="0" w:color="000000"/>
                                                                <w:right w:val="single" w:sz="6" w:space="2" w:color="000000"/>
                                                              </w:divBdr>
                                                            </w:div>
                                                          </w:divsChild>
                                                        </w:div>
                                                      </w:divsChild>
                                                    </w:div>
                                                  </w:divsChild>
                                                </w:div>
                                              </w:divsChild>
                                            </w:div>
                                          </w:divsChild>
                                        </w:div>
                                      </w:divsChild>
                                    </w:div>
                                  </w:divsChild>
                                </w:div>
                              </w:divsChild>
                            </w:div>
                          </w:divsChild>
                        </w:div>
                      </w:divsChild>
                    </w:div>
                  </w:divsChild>
                </w:div>
              </w:divsChild>
            </w:div>
          </w:divsChild>
        </w:div>
      </w:divsChild>
    </w:div>
    <w:div w:id="40443003">
      <w:bodyDiv w:val="1"/>
      <w:marLeft w:val="0"/>
      <w:marRight w:val="0"/>
      <w:marTop w:val="0"/>
      <w:marBottom w:val="0"/>
      <w:divBdr>
        <w:top w:val="none" w:sz="0" w:space="0" w:color="auto"/>
        <w:left w:val="none" w:sz="0" w:space="0" w:color="auto"/>
        <w:bottom w:val="none" w:sz="0" w:space="0" w:color="auto"/>
        <w:right w:val="none" w:sz="0" w:space="0" w:color="auto"/>
      </w:divBdr>
      <w:divsChild>
        <w:div w:id="123617481">
          <w:marLeft w:val="0"/>
          <w:marRight w:val="0"/>
          <w:marTop w:val="0"/>
          <w:marBottom w:val="0"/>
          <w:divBdr>
            <w:top w:val="none" w:sz="0" w:space="0" w:color="auto"/>
            <w:left w:val="none" w:sz="0" w:space="0" w:color="auto"/>
            <w:bottom w:val="none" w:sz="0" w:space="0" w:color="auto"/>
            <w:right w:val="none" w:sz="0" w:space="0" w:color="auto"/>
          </w:divBdr>
          <w:divsChild>
            <w:div w:id="1642466502">
              <w:marLeft w:val="0"/>
              <w:marRight w:val="0"/>
              <w:marTop w:val="0"/>
              <w:marBottom w:val="0"/>
              <w:divBdr>
                <w:top w:val="none" w:sz="0" w:space="0" w:color="auto"/>
                <w:left w:val="none" w:sz="0" w:space="0" w:color="auto"/>
                <w:bottom w:val="none" w:sz="0" w:space="0" w:color="auto"/>
                <w:right w:val="none" w:sz="0" w:space="0" w:color="auto"/>
              </w:divBdr>
              <w:divsChild>
                <w:div w:id="207497411">
                  <w:marLeft w:val="0"/>
                  <w:marRight w:val="0"/>
                  <w:marTop w:val="0"/>
                  <w:marBottom w:val="0"/>
                  <w:divBdr>
                    <w:top w:val="none" w:sz="0" w:space="0" w:color="auto"/>
                    <w:left w:val="none" w:sz="0" w:space="0" w:color="auto"/>
                    <w:bottom w:val="none" w:sz="0" w:space="0" w:color="auto"/>
                    <w:right w:val="none" w:sz="0" w:space="0" w:color="auto"/>
                  </w:divBdr>
                  <w:divsChild>
                    <w:div w:id="1970740336">
                      <w:marLeft w:val="1"/>
                      <w:marRight w:val="1"/>
                      <w:marTop w:val="0"/>
                      <w:marBottom w:val="0"/>
                      <w:divBdr>
                        <w:top w:val="none" w:sz="0" w:space="0" w:color="auto"/>
                        <w:left w:val="none" w:sz="0" w:space="0" w:color="auto"/>
                        <w:bottom w:val="none" w:sz="0" w:space="0" w:color="auto"/>
                        <w:right w:val="none" w:sz="0" w:space="0" w:color="auto"/>
                      </w:divBdr>
                      <w:divsChild>
                        <w:div w:id="1484588182">
                          <w:marLeft w:val="0"/>
                          <w:marRight w:val="0"/>
                          <w:marTop w:val="0"/>
                          <w:marBottom w:val="0"/>
                          <w:divBdr>
                            <w:top w:val="none" w:sz="0" w:space="0" w:color="auto"/>
                            <w:left w:val="none" w:sz="0" w:space="0" w:color="auto"/>
                            <w:bottom w:val="none" w:sz="0" w:space="0" w:color="auto"/>
                            <w:right w:val="none" w:sz="0" w:space="0" w:color="auto"/>
                          </w:divBdr>
                          <w:divsChild>
                            <w:div w:id="1671788007">
                              <w:marLeft w:val="0"/>
                              <w:marRight w:val="0"/>
                              <w:marTop w:val="0"/>
                              <w:marBottom w:val="360"/>
                              <w:divBdr>
                                <w:top w:val="none" w:sz="0" w:space="0" w:color="auto"/>
                                <w:left w:val="none" w:sz="0" w:space="0" w:color="auto"/>
                                <w:bottom w:val="none" w:sz="0" w:space="0" w:color="auto"/>
                                <w:right w:val="none" w:sz="0" w:space="0" w:color="auto"/>
                              </w:divBdr>
                              <w:divsChild>
                                <w:div w:id="1934238648">
                                  <w:marLeft w:val="0"/>
                                  <w:marRight w:val="0"/>
                                  <w:marTop w:val="0"/>
                                  <w:marBottom w:val="0"/>
                                  <w:divBdr>
                                    <w:top w:val="none" w:sz="0" w:space="0" w:color="auto"/>
                                    <w:left w:val="none" w:sz="0" w:space="0" w:color="auto"/>
                                    <w:bottom w:val="none" w:sz="0" w:space="0" w:color="auto"/>
                                    <w:right w:val="none" w:sz="0" w:space="0" w:color="auto"/>
                                  </w:divBdr>
                                  <w:divsChild>
                                    <w:div w:id="840438064">
                                      <w:marLeft w:val="0"/>
                                      <w:marRight w:val="0"/>
                                      <w:marTop w:val="0"/>
                                      <w:marBottom w:val="0"/>
                                      <w:divBdr>
                                        <w:top w:val="none" w:sz="0" w:space="0" w:color="auto"/>
                                        <w:left w:val="none" w:sz="0" w:space="0" w:color="auto"/>
                                        <w:bottom w:val="none" w:sz="0" w:space="0" w:color="auto"/>
                                        <w:right w:val="none" w:sz="0" w:space="0" w:color="auto"/>
                                      </w:divBdr>
                                      <w:divsChild>
                                        <w:div w:id="279192780">
                                          <w:marLeft w:val="0"/>
                                          <w:marRight w:val="0"/>
                                          <w:marTop w:val="0"/>
                                          <w:marBottom w:val="0"/>
                                          <w:divBdr>
                                            <w:top w:val="none" w:sz="0" w:space="0" w:color="auto"/>
                                            <w:left w:val="none" w:sz="0" w:space="0" w:color="auto"/>
                                            <w:bottom w:val="none" w:sz="0" w:space="0" w:color="auto"/>
                                            <w:right w:val="none" w:sz="0" w:space="0" w:color="auto"/>
                                          </w:divBdr>
                                          <w:divsChild>
                                            <w:div w:id="951741341">
                                              <w:marLeft w:val="0"/>
                                              <w:marRight w:val="0"/>
                                              <w:marTop w:val="0"/>
                                              <w:marBottom w:val="0"/>
                                              <w:divBdr>
                                                <w:top w:val="none" w:sz="0" w:space="0" w:color="auto"/>
                                                <w:left w:val="none" w:sz="0" w:space="0" w:color="auto"/>
                                                <w:bottom w:val="none" w:sz="0" w:space="0" w:color="auto"/>
                                                <w:right w:val="none" w:sz="0" w:space="0" w:color="auto"/>
                                              </w:divBdr>
                                              <w:divsChild>
                                                <w:div w:id="1320186085">
                                                  <w:marLeft w:val="0"/>
                                                  <w:marRight w:val="0"/>
                                                  <w:marTop w:val="0"/>
                                                  <w:marBottom w:val="0"/>
                                                  <w:divBdr>
                                                    <w:top w:val="none" w:sz="0" w:space="0" w:color="auto"/>
                                                    <w:left w:val="none" w:sz="0" w:space="0" w:color="auto"/>
                                                    <w:bottom w:val="none" w:sz="0" w:space="0" w:color="auto"/>
                                                    <w:right w:val="none" w:sz="0" w:space="0" w:color="auto"/>
                                                  </w:divBdr>
                                                  <w:divsChild>
                                                    <w:div w:id="292829287">
                                                      <w:marLeft w:val="0"/>
                                                      <w:marRight w:val="0"/>
                                                      <w:marTop w:val="0"/>
                                                      <w:marBottom w:val="0"/>
                                                      <w:divBdr>
                                                        <w:top w:val="none" w:sz="0" w:space="0" w:color="auto"/>
                                                        <w:left w:val="none" w:sz="0" w:space="0" w:color="auto"/>
                                                        <w:bottom w:val="none" w:sz="0" w:space="0" w:color="auto"/>
                                                        <w:right w:val="none" w:sz="0" w:space="0" w:color="auto"/>
                                                      </w:divBdr>
                                                      <w:divsChild>
                                                        <w:div w:id="1982688315">
                                                          <w:marLeft w:val="0"/>
                                                          <w:marRight w:val="0"/>
                                                          <w:marTop w:val="0"/>
                                                          <w:marBottom w:val="0"/>
                                                          <w:divBdr>
                                                            <w:top w:val="none" w:sz="0" w:space="0" w:color="auto"/>
                                                            <w:left w:val="none" w:sz="0" w:space="0" w:color="auto"/>
                                                            <w:bottom w:val="none" w:sz="0" w:space="0" w:color="auto"/>
                                                            <w:right w:val="none" w:sz="0" w:space="0" w:color="auto"/>
                                                          </w:divBdr>
                                                        </w:div>
                                                        <w:div w:id="75759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1012844">
      <w:bodyDiv w:val="1"/>
      <w:marLeft w:val="0"/>
      <w:marRight w:val="0"/>
      <w:marTop w:val="0"/>
      <w:marBottom w:val="0"/>
      <w:divBdr>
        <w:top w:val="none" w:sz="0" w:space="0" w:color="auto"/>
        <w:left w:val="none" w:sz="0" w:space="0" w:color="auto"/>
        <w:bottom w:val="none" w:sz="0" w:space="0" w:color="auto"/>
        <w:right w:val="none" w:sz="0" w:space="0" w:color="auto"/>
      </w:divBdr>
    </w:div>
    <w:div w:id="454911197">
      <w:bodyDiv w:val="1"/>
      <w:marLeft w:val="0"/>
      <w:marRight w:val="0"/>
      <w:marTop w:val="0"/>
      <w:marBottom w:val="0"/>
      <w:divBdr>
        <w:top w:val="none" w:sz="0" w:space="0" w:color="auto"/>
        <w:left w:val="none" w:sz="0" w:space="0" w:color="auto"/>
        <w:bottom w:val="none" w:sz="0" w:space="0" w:color="auto"/>
        <w:right w:val="none" w:sz="0" w:space="0" w:color="auto"/>
      </w:divBdr>
      <w:divsChild>
        <w:div w:id="1594318115">
          <w:marLeft w:val="0"/>
          <w:marRight w:val="0"/>
          <w:marTop w:val="0"/>
          <w:marBottom w:val="0"/>
          <w:divBdr>
            <w:top w:val="none" w:sz="0" w:space="0" w:color="auto"/>
            <w:left w:val="none" w:sz="0" w:space="0" w:color="auto"/>
            <w:bottom w:val="none" w:sz="0" w:space="0" w:color="auto"/>
            <w:right w:val="none" w:sz="0" w:space="0" w:color="auto"/>
          </w:divBdr>
          <w:divsChild>
            <w:div w:id="541328176">
              <w:marLeft w:val="0"/>
              <w:marRight w:val="0"/>
              <w:marTop w:val="0"/>
              <w:marBottom w:val="0"/>
              <w:divBdr>
                <w:top w:val="none" w:sz="0" w:space="0" w:color="auto"/>
                <w:left w:val="none" w:sz="0" w:space="0" w:color="auto"/>
                <w:bottom w:val="none" w:sz="0" w:space="0" w:color="auto"/>
                <w:right w:val="none" w:sz="0" w:space="0" w:color="auto"/>
              </w:divBdr>
              <w:divsChild>
                <w:div w:id="588656507">
                  <w:marLeft w:val="0"/>
                  <w:marRight w:val="0"/>
                  <w:marTop w:val="0"/>
                  <w:marBottom w:val="0"/>
                  <w:divBdr>
                    <w:top w:val="none" w:sz="0" w:space="0" w:color="auto"/>
                    <w:left w:val="none" w:sz="0" w:space="0" w:color="auto"/>
                    <w:bottom w:val="none" w:sz="0" w:space="0" w:color="auto"/>
                    <w:right w:val="none" w:sz="0" w:space="0" w:color="auto"/>
                  </w:divBdr>
                  <w:divsChild>
                    <w:div w:id="290136567">
                      <w:marLeft w:val="1"/>
                      <w:marRight w:val="1"/>
                      <w:marTop w:val="0"/>
                      <w:marBottom w:val="0"/>
                      <w:divBdr>
                        <w:top w:val="none" w:sz="0" w:space="0" w:color="auto"/>
                        <w:left w:val="none" w:sz="0" w:space="0" w:color="auto"/>
                        <w:bottom w:val="none" w:sz="0" w:space="0" w:color="auto"/>
                        <w:right w:val="none" w:sz="0" w:space="0" w:color="auto"/>
                      </w:divBdr>
                      <w:divsChild>
                        <w:div w:id="1376393091">
                          <w:marLeft w:val="0"/>
                          <w:marRight w:val="0"/>
                          <w:marTop w:val="0"/>
                          <w:marBottom w:val="0"/>
                          <w:divBdr>
                            <w:top w:val="none" w:sz="0" w:space="0" w:color="auto"/>
                            <w:left w:val="none" w:sz="0" w:space="0" w:color="auto"/>
                            <w:bottom w:val="none" w:sz="0" w:space="0" w:color="auto"/>
                            <w:right w:val="none" w:sz="0" w:space="0" w:color="auto"/>
                          </w:divBdr>
                          <w:divsChild>
                            <w:div w:id="208995554">
                              <w:marLeft w:val="0"/>
                              <w:marRight w:val="0"/>
                              <w:marTop w:val="0"/>
                              <w:marBottom w:val="360"/>
                              <w:divBdr>
                                <w:top w:val="none" w:sz="0" w:space="0" w:color="auto"/>
                                <w:left w:val="none" w:sz="0" w:space="0" w:color="auto"/>
                                <w:bottom w:val="none" w:sz="0" w:space="0" w:color="auto"/>
                                <w:right w:val="none" w:sz="0" w:space="0" w:color="auto"/>
                              </w:divBdr>
                              <w:divsChild>
                                <w:div w:id="1794209277">
                                  <w:marLeft w:val="0"/>
                                  <w:marRight w:val="0"/>
                                  <w:marTop w:val="0"/>
                                  <w:marBottom w:val="0"/>
                                  <w:divBdr>
                                    <w:top w:val="none" w:sz="0" w:space="0" w:color="auto"/>
                                    <w:left w:val="none" w:sz="0" w:space="0" w:color="auto"/>
                                    <w:bottom w:val="none" w:sz="0" w:space="0" w:color="auto"/>
                                    <w:right w:val="none" w:sz="0" w:space="0" w:color="auto"/>
                                  </w:divBdr>
                                  <w:divsChild>
                                    <w:div w:id="1839879867">
                                      <w:marLeft w:val="0"/>
                                      <w:marRight w:val="0"/>
                                      <w:marTop w:val="0"/>
                                      <w:marBottom w:val="0"/>
                                      <w:divBdr>
                                        <w:top w:val="none" w:sz="0" w:space="0" w:color="auto"/>
                                        <w:left w:val="none" w:sz="0" w:space="0" w:color="auto"/>
                                        <w:bottom w:val="none" w:sz="0" w:space="0" w:color="auto"/>
                                        <w:right w:val="none" w:sz="0" w:space="0" w:color="auto"/>
                                      </w:divBdr>
                                      <w:divsChild>
                                        <w:div w:id="1242986911">
                                          <w:marLeft w:val="0"/>
                                          <w:marRight w:val="0"/>
                                          <w:marTop w:val="0"/>
                                          <w:marBottom w:val="0"/>
                                          <w:divBdr>
                                            <w:top w:val="none" w:sz="0" w:space="0" w:color="auto"/>
                                            <w:left w:val="none" w:sz="0" w:space="0" w:color="auto"/>
                                            <w:bottom w:val="none" w:sz="0" w:space="0" w:color="auto"/>
                                            <w:right w:val="none" w:sz="0" w:space="0" w:color="auto"/>
                                          </w:divBdr>
                                          <w:divsChild>
                                            <w:div w:id="1938635632">
                                              <w:marLeft w:val="0"/>
                                              <w:marRight w:val="0"/>
                                              <w:marTop w:val="0"/>
                                              <w:marBottom w:val="0"/>
                                              <w:divBdr>
                                                <w:top w:val="none" w:sz="0" w:space="0" w:color="auto"/>
                                                <w:left w:val="none" w:sz="0" w:space="0" w:color="auto"/>
                                                <w:bottom w:val="none" w:sz="0" w:space="0" w:color="auto"/>
                                                <w:right w:val="none" w:sz="0" w:space="0" w:color="auto"/>
                                              </w:divBdr>
                                              <w:divsChild>
                                                <w:div w:id="125902049">
                                                  <w:marLeft w:val="0"/>
                                                  <w:marRight w:val="0"/>
                                                  <w:marTop w:val="0"/>
                                                  <w:marBottom w:val="0"/>
                                                  <w:divBdr>
                                                    <w:top w:val="none" w:sz="0" w:space="0" w:color="auto"/>
                                                    <w:left w:val="none" w:sz="0" w:space="0" w:color="auto"/>
                                                    <w:bottom w:val="none" w:sz="0" w:space="0" w:color="auto"/>
                                                    <w:right w:val="none" w:sz="0" w:space="0" w:color="auto"/>
                                                  </w:divBdr>
                                                  <w:divsChild>
                                                    <w:div w:id="2111121257">
                                                      <w:marLeft w:val="0"/>
                                                      <w:marRight w:val="0"/>
                                                      <w:marTop w:val="0"/>
                                                      <w:marBottom w:val="0"/>
                                                      <w:divBdr>
                                                        <w:top w:val="none" w:sz="0" w:space="0" w:color="auto"/>
                                                        <w:left w:val="none" w:sz="0" w:space="0" w:color="auto"/>
                                                        <w:bottom w:val="none" w:sz="0" w:space="0" w:color="auto"/>
                                                        <w:right w:val="none" w:sz="0" w:space="0" w:color="auto"/>
                                                      </w:divBdr>
                                                      <w:divsChild>
                                                        <w:div w:id="162727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9665751">
      <w:bodyDiv w:val="1"/>
      <w:marLeft w:val="0"/>
      <w:marRight w:val="0"/>
      <w:marTop w:val="0"/>
      <w:marBottom w:val="0"/>
      <w:divBdr>
        <w:top w:val="none" w:sz="0" w:space="0" w:color="auto"/>
        <w:left w:val="none" w:sz="0" w:space="0" w:color="auto"/>
        <w:bottom w:val="none" w:sz="0" w:space="0" w:color="auto"/>
        <w:right w:val="none" w:sz="0" w:space="0" w:color="auto"/>
      </w:divBdr>
    </w:div>
    <w:div w:id="969091523">
      <w:bodyDiv w:val="1"/>
      <w:marLeft w:val="0"/>
      <w:marRight w:val="0"/>
      <w:marTop w:val="0"/>
      <w:marBottom w:val="0"/>
      <w:divBdr>
        <w:top w:val="none" w:sz="0" w:space="0" w:color="auto"/>
        <w:left w:val="none" w:sz="0" w:space="0" w:color="auto"/>
        <w:bottom w:val="none" w:sz="0" w:space="0" w:color="auto"/>
        <w:right w:val="none" w:sz="0" w:space="0" w:color="auto"/>
      </w:divBdr>
      <w:divsChild>
        <w:div w:id="168251472">
          <w:marLeft w:val="0"/>
          <w:marRight w:val="0"/>
          <w:marTop w:val="0"/>
          <w:marBottom w:val="0"/>
          <w:divBdr>
            <w:top w:val="none" w:sz="0" w:space="0" w:color="auto"/>
            <w:left w:val="none" w:sz="0" w:space="0" w:color="auto"/>
            <w:bottom w:val="none" w:sz="0" w:space="0" w:color="auto"/>
            <w:right w:val="none" w:sz="0" w:space="0" w:color="auto"/>
          </w:divBdr>
          <w:divsChild>
            <w:div w:id="1723669543">
              <w:marLeft w:val="0"/>
              <w:marRight w:val="0"/>
              <w:marTop w:val="0"/>
              <w:marBottom w:val="0"/>
              <w:divBdr>
                <w:top w:val="none" w:sz="0" w:space="0" w:color="auto"/>
                <w:left w:val="none" w:sz="0" w:space="0" w:color="auto"/>
                <w:bottom w:val="none" w:sz="0" w:space="0" w:color="auto"/>
                <w:right w:val="none" w:sz="0" w:space="0" w:color="auto"/>
              </w:divBdr>
              <w:divsChild>
                <w:div w:id="1787581652">
                  <w:marLeft w:val="0"/>
                  <w:marRight w:val="0"/>
                  <w:marTop w:val="0"/>
                  <w:marBottom w:val="0"/>
                  <w:divBdr>
                    <w:top w:val="none" w:sz="0" w:space="0" w:color="auto"/>
                    <w:left w:val="none" w:sz="0" w:space="0" w:color="auto"/>
                    <w:bottom w:val="none" w:sz="0" w:space="0" w:color="auto"/>
                    <w:right w:val="none" w:sz="0" w:space="0" w:color="auto"/>
                  </w:divBdr>
                  <w:divsChild>
                    <w:div w:id="1250848091">
                      <w:marLeft w:val="1"/>
                      <w:marRight w:val="1"/>
                      <w:marTop w:val="0"/>
                      <w:marBottom w:val="0"/>
                      <w:divBdr>
                        <w:top w:val="none" w:sz="0" w:space="0" w:color="auto"/>
                        <w:left w:val="none" w:sz="0" w:space="0" w:color="auto"/>
                        <w:bottom w:val="none" w:sz="0" w:space="0" w:color="auto"/>
                        <w:right w:val="none" w:sz="0" w:space="0" w:color="auto"/>
                      </w:divBdr>
                      <w:divsChild>
                        <w:div w:id="606159388">
                          <w:marLeft w:val="0"/>
                          <w:marRight w:val="0"/>
                          <w:marTop w:val="0"/>
                          <w:marBottom w:val="0"/>
                          <w:divBdr>
                            <w:top w:val="none" w:sz="0" w:space="0" w:color="auto"/>
                            <w:left w:val="none" w:sz="0" w:space="0" w:color="auto"/>
                            <w:bottom w:val="none" w:sz="0" w:space="0" w:color="auto"/>
                            <w:right w:val="none" w:sz="0" w:space="0" w:color="auto"/>
                          </w:divBdr>
                          <w:divsChild>
                            <w:div w:id="2077899324">
                              <w:marLeft w:val="0"/>
                              <w:marRight w:val="0"/>
                              <w:marTop w:val="0"/>
                              <w:marBottom w:val="360"/>
                              <w:divBdr>
                                <w:top w:val="none" w:sz="0" w:space="0" w:color="auto"/>
                                <w:left w:val="none" w:sz="0" w:space="0" w:color="auto"/>
                                <w:bottom w:val="none" w:sz="0" w:space="0" w:color="auto"/>
                                <w:right w:val="none" w:sz="0" w:space="0" w:color="auto"/>
                              </w:divBdr>
                              <w:divsChild>
                                <w:div w:id="440538560">
                                  <w:marLeft w:val="0"/>
                                  <w:marRight w:val="0"/>
                                  <w:marTop w:val="0"/>
                                  <w:marBottom w:val="0"/>
                                  <w:divBdr>
                                    <w:top w:val="none" w:sz="0" w:space="0" w:color="auto"/>
                                    <w:left w:val="none" w:sz="0" w:space="0" w:color="auto"/>
                                    <w:bottom w:val="none" w:sz="0" w:space="0" w:color="auto"/>
                                    <w:right w:val="none" w:sz="0" w:space="0" w:color="auto"/>
                                  </w:divBdr>
                                  <w:divsChild>
                                    <w:div w:id="739254575">
                                      <w:marLeft w:val="0"/>
                                      <w:marRight w:val="0"/>
                                      <w:marTop w:val="0"/>
                                      <w:marBottom w:val="0"/>
                                      <w:divBdr>
                                        <w:top w:val="none" w:sz="0" w:space="0" w:color="auto"/>
                                        <w:left w:val="none" w:sz="0" w:space="0" w:color="auto"/>
                                        <w:bottom w:val="none" w:sz="0" w:space="0" w:color="auto"/>
                                        <w:right w:val="none" w:sz="0" w:space="0" w:color="auto"/>
                                      </w:divBdr>
                                      <w:divsChild>
                                        <w:div w:id="394551911">
                                          <w:marLeft w:val="0"/>
                                          <w:marRight w:val="0"/>
                                          <w:marTop w:val="0"/>
                                          <w:marBottom w:val="0"/>
                                          <w:divBdr>
                                            <w:top w:val="none" w:sz="0" w:space="0" w:color="auto"/>
                                            <w:left w:val="none" w:sz="0" w:space="0" w:color="auto"/>
                                            <w:bottom w:val="none" w:sz="0" w:space="0" w:color="auto"/>
                                            <w:right w:val="none" w:sz="0" w:space="0" w:color="auto"/>
                                          </w:divBdr>
                                          <w:divsChild>
                                            <w:div w:id="1748187547">
                                              <w:marLeft w:val="0"/>
                                              <w:marRight w:val="0"/>
                                              <w:marTop w:val="0"/>
                                              <w:marBottom w:val="0"/>
                                              <w:divBdr>
                                                <w:top w:val="none" w:sz="0" w:space="0" w:color="auto"/>
                                                <w:left w:val="none" w:sz="0" w:space="0" w:color="auto"/>
                                                <w:bottom w:val="none" w:sz="0" w:space="0" w:color="auto"/>
                                                <w:right w:val="none" w:sz="0" w:space="0" w:color="auto"/>
                                              </w:divBdr>
                                              <w:divsChild>
                                                <w:div w:id="31032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2348975">
      <w:bodyDiv w:val="1"/>
      <w:marLeft w:val="0"/>
      <w:marRight w:val="0"/>
      <w:marTop w:val="0"/>
      <w:marBottom w:val="0"/>
      <w:divBdr>
        <w:top w:val="none" w:sz="0" w:space="0" w:color="auto"/>
        <w:left w:val="none" w:sz="0" w:space="0" w:color="auto"/>
        <w:bottom w:val="none" w:sz="0" w:space="0" w:color="auto"/>
        <w:right w:val="none" w:sz="0" w:space="0" w:color="auto"/>
      </w:divBdr>
      <w:divsChild>
        <w:div w:id="254285967">
          <w:marLeft w:val="0"/>
          <w:marRight w:val="0"/>
          <w:marTop w:val="0"/>
          <w:marBottom w:val="0"/>
          <w:divBdr>
            <w:top w:val="none" w:sz="0" w:space="0" w:color="auto"/>
            <w:left w:val="none" w:sz="0" w:space="0" w:color="auto"/>
            <w:bottom w:val="none" w:sz="0" w:space="0" w:color="auto"/>
            <w:right w:val="none" w:sz="0" w:space="0" w:color="auto"/>
          </w:divBdr>
          <w:divsChild>
            <w:div w:id="1206211674">
              <w:marLeft w:val="0"/>
              <w:marRight w:val="0"/>
              <w:marTop w:val="0"/>
              <w:marBottom w:val="0"/>
              <w:divBdr>
                <w:top w:val="none" w:sz="0" w:space="0" w:color="auto"/>
                <w:left w:val="none" w:sz="0" w:space="0" w:color="auto"/>
                <w:bottom w:val="none" w:sz="0" w:space="0" w:color="auto"/>
                <w:right w:val="none" w:sz="0" w:space="0" w:color="auto"/>
              </w:divBdr>
              <w:divsChild>
                <w:div w:id="1609387115">
                  <w:marLeft w:val="0"/>
                  <w:marRight w:val="0"/>
                  <w:marTop w:val="0"/>
                  <w:marBottom w:val="0"/>
                  <w:divBdr>
                    <w:top w:val="none" w:sz="0" w:space="0" w:color="auto"/>
                    <w:left w:val="none" w:sz="0" w:space="0" w:color="auto"/>
                    <w:bottom w:val="none" w:sz="0" w:space="0" w:color="auto"/>
                    <w:right w:val="none" w:sz="0" w:space="0" w:color="auto"/>
                  </w:divBdr>
                  <w:divsChild>
                    <w:div w:id="171997608">
                      <w:marLeft w:val="1"/>
                      <w:marRight w:val="1"/>
                      <w:marTop w:val="0"/>
                      <w:marBottom w:val="0"/>
                      <w:divBdr>
                        <w:top w:val="none" w:sz="0" w:space="0" w:color="auto"/>
                        <w:left w:val="none" w:sz="0" w:space="0" w:color="auto"/>
                        <w:bottom w:val="none" w:sz="0" w:space="0" w:color="auto"/>
                        <w:right w:val="none" w:sz="0" w:space="0" w:color="auto"/>
                      </w:divBdr>
                      <w:divsChild>
                        <w:div w:id="1060447748">
                          <w:marLeft w:val="0"/>
                          <w:marRight w:val="0"/>
                          <w:marTop w:val="0"/>
                          <w:marBottom w:val="0"/>
                          <w:divBdr>
                            <w:top w:val="none" w:sz="0" w:space="0" w:color="auto"/>
                            <w:left w:val="none" w:sz="0" w:space="0" w:color="auto"/>
                            <w:bottom w:val="none" w:sz="0" w:space="0" w:color="auto"/>
                            <w:right w:val="none" w:sz="0" w:space="0" w:color="auto"/>
                          </w:divBdr>
                          <w:divsChild>
                            <w:div w:id="744298422">
                              <w:marLeft w:val="0"/>
                              <w:marRight w:val="0"/>
                              <w:marTop w:val="0"/>
                              <w:marBottom w:val="360"/>
                              <w:divBdr>
                                <w:top w:val="none" w:sz="0" w:space="0" w:color="auto"/>
                                <w:left w:val="none" w:sz="0" w:space="0" w:color="auto"/>
                                <w:bottom w:val="none" w:sz="0" w:space="0" w:color="auto"/>
                                <w:right w:val="none" w:sz="0" w:space="0" w:color="auto"/>
                              </w:divBdr>
                              <w:divsChild>
                                <w:div w:id="1258366132">
                                  <w:marLeft w:val="0"/>
                                  <w:marRight w:val="0"/>
                                  <w:marTop w:val="0"/>
                                  <w:marBottom w:val="0"/>
                                  <w:divBdr>
                                    <w:top w:val="none" w:sz="0" w:space="0" w:color="auto"/>
                                    <w:left w:val="none" w:sz="0" w:space="0" w:color="auto"/>
                                    <w:bottom w:val="none" w:sz="0" w:space="0" w:color="auto"/>
                                    <w:right w:val="none" w:sz="0" w:space="0" w:color="auto"/>
                                  </w:divBdr>
                                  <w:divsChild>
                                    <w:div w:id="1764496030">
                                      <w:marLeft w:val="0"/>
                                      <w:marRight w:val="0"/>
                                      <w:marTop w:val="0"/>
                                      <w:marBottom w:val="0"/>
                                      <w:divBdr>
                                        <w:top w:val="none" w:sz="0" w:space="0" w:color="auto"/>
                                        <w:left w:val="none" w:sz="0" w:space="0" w:color="auto"/>
                                        <w:bottom w:val="none" w:sz="0" w:space="0" w:color="auto"/>
                                        <w:right w:val="none" w:sz="0" w:space="0" w:color="auto"/>
                                      </w:divBdr>
                                      <w:divsChild>
                                        <w:div w:id="545410360">
                                          <w:marLeft w:val="0"/>
                                          <w:marRight w:val="0"/>
                                          <w:marTop w:val="0"/>
                                          <w:marBottom w:val="0"/>
                                          <w:divBdr>
                                            <w:top w:val="none" w:sz="0" w:space="0" w:color="auto"/>
                                            <w:left w:val="none" w:sz="0" w:space="0" w:color="auto"/>
                                            <w:bottom w:val="none" w:sz="0" w:space="0" w:color="auto"/>
                                            <w:right w:val="none" w:sz="0" w:space="0" w:color="auto"/>
                                          </w:divBdr>
                                          <w:divsChild>
                                            <w:div w:id="323552574">
                                              <w:marLeft w:val="0"/>
                                              <w:marRight w:val="0"/>
                                              <w:marTop w:val="0"/>
                                              <w:marBottom w:val="0"/>
                                              <w:divBdr>
                                                <w:top w:val="none" w:sz="0" w:space="0" w:color="auto"/>
                                                <w:left w:val="none" w:sz="0" w:space="0" w:color="auto"/>
                                                <w:bottom w:val="none" w:sz="0" w:space="0" w:color="auto"/>
                                                <w:right w:val="none" w:sz="0" w:space="0" w:color="auto"/>
                                              </w:divBdr>
                                              <w:divsChild>
                                                <w:div w:id="1083189108">
                                                  <w:marLeft w:val="0"/>
                                                  <w:marRight w:val="0"/>
                                                  <w:marTop w:val="0"/>
                                                  <w:marBottom w:val="0"/>
                                                  <w:divBdr>
                                                    <w:top w:val="none" w:sz="0" w:space="0" w:color="auto"/>
                                                    <w:left w:val="none" w:sz="0" w:space="0" w:color="auto"/>
                                                    <w:bottom w:val="none" w:sz="0" w:space="0" w:color="auto"/>
                                                    <w:right w:val="none" w:sz="0" w:space="0" w:color="auto"/>
                                                  </w:divBdr>
                                                  <w:divsChild>
                                                    <w:div w:id="1162626214">
                                                      <w:marLeft w:val="0"/>
                                                      <w:marRight w:val="0"/>
                                                      <w:marTop w:val="0"/>
                                                      <w:marBottom w:val="0"/>
                                                      <w:divBdr>
                                                        <w:top w:val="none" w:sz="0" w:space="0" w:color="auto"/>
                                                        <w:left w:val="none" w:sz="0" w:space="0" w:color="auto"/>
                                                        <w:bottom w:val="none" w:sz="0" w:space="0" w:color="auto"/>
                                                        <w:right w:val="none" w:sz="0" w:space="0" w:color="auto"/>
                                                      </w:divBdr>
                                                      <w:divsChild>
                                                        <w:div w:id="79660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7730939">
      <w:bodyDiv w:val="1"/>
      <w:marLeft w:val="0"/>
      <w:marRight w:val="0"/>
      <w:marTop w:val="0"/>
      <w:marBottom w:val="0"/>
      <w:divBdr>
        <w:top w:val="none" w:sz="0" w:space="0" w:color="auto"/>
        <w:left w:val="none" w:sz="0" w:space="0" w:color="auto"/>
        <w:bottom w:val="none" w:sz="0" w:space="0" w:color="auto"/>
        <w:right w:val="none" w:sz="0" w:space="0" w:color="auto"/>
      </w:divBdr>
    </w:div>
    <w:div w:id="1131217148">
      <w:bodyDiv w:val="1"/>
      <w:marLeft w:val="0"/>
      <w:marRight w:val="0"/>
      <w:marTop w:val="0"/>
      <w:marBottom w:val="0"/>
      <w:divBdr>
        <w:top w:val="none" w:sz="0" w:space="0" w:color="auto"/>
        <w:left w:val="none" w:sz="0" w:space="0" w:color="auto"/>
        <w:bottom w:val="none" w:sz="0" w:space="0" w:color="auto"/>
        <w:right w:val="none" w:sz="0" w:space="0" w:color="auto"/>
      </w:divBdr>
      <w:divsChild>
        <w:div w:id="1907296558">
          <w:marLeft w:val="0"/>
          <w:marRight w:val="0"/>
          <w:marTop w:val="0"/>
          <w:marBottom w:val="0"/>
          <w:divBdr>
            <w:top w:val="none" w:sz="0" w:space="0" w:color="auto"/>
            <w:left w:val="none" w:sz="0" w:space="0" w:color="auto"/>
            <w:bottom w:val="none" w:sz="0" w:space="0" w:color="auto"/>
            <w:right w:val="none" w:sz="0" w:space="0" w:color="auto"/>
          </w:divBdr>
          <w:divsChild>
            <w:div w:id="1762604526">
              <w:marLeft w:val="0"/>
              <w:marRight w:val="0"/>
              <w:marTop w:val="0"/>
              <w:marBottom w:val="0"/>
              <w:divBdr>
                <w:top w:val="none" w:sz="0" w:space="0" w:color="auto"/>
                <w:left w:val="none" w:sz="0" w:space="0" w:color="auto"/>
                <w:bottom w:val="none" w:sz="0" w:space="0" w:color="auto"/>
                <w:right w:val="none" w:sz="0" w:space="0" w:color="auto"/>
              </w:divBdr>
              <w:divsChild>
                <w:div w:id="1087845476">
                  <w:marLeft w:val="0"/>
                  <w:marRight w:val="0"/>
                  <w:marTop w:val="0"/>
                  <w:marBottom w:val="0"/>
                  <w:divBdr>
                    <w:top w:val="none" w:sz="0" w:space="0" w:color="auto"/>
                    <w:left w:val="none" w:sz="0" w:space="0" w:color="auto"/>
                    <w:bottom w:val="none" w:sz="0" w:space="0" w:color="auto"/>
                    <w:right w:val="none" w:sz="0" w:space="0" w:color="auto"/>
                  </w:divBdr>
                  <w:divsChild>
                    <w:div w:id="503516936">
                      <w:marLeft w:val="1"/>
                      <w:marRight w:val="1"/>
                      <w:marTop w:val="0"/>
                      <w:marBottom w:val="0"/>
                      <w:divBdr>
                        <w:top w:val="none" w:sz="0" w:space="0" w:color="auto"/>
                        <w:left w:val="none" w:sz="0" w:space="0" w:color="auto"/>
                        <w:bottom w:val="none" w:sz="0" w:space="0" w:color="auto"/>
                        <w:right w:val="none" w:sz="0" w:space="0" w:color="auto"/>
                      </w:divBdr>
                      <w:divsChild>
                        <w:div w:id="832333528">
                          <w:marLeft w:val="0"/>
                          <w:marRight w:val="0"/>
                          <w:marTop w:val="0"/>
                          <w:marBottom w:val="0"/>
                          <w:divBdr>
                            <w:top w:val="none" w:sz="0" w:space="0" w:color="auto"/>
                            <w:left w:val="none" w:sz="0" w:space="0" w:color="auto"/>
                            <w:bottom w:val="none" w:sz="0" w:space="0" w:color="auto"/>
                            <w:right w:val="none" w:sz="0" w:space="0" w:color="auto"/>
                          </w:divBdr>
                          <w:divsChild>
                            <w:div w:id="1070156503">
                              <w:marLeft w:val="0"/>
                              <w:marRight w:val="0"/>
                              <w:marTop w:val="0"/>
                              <w:marBottom w:val="360"/>
                              <w:divBdr>
                                <w:top w:val="none" w:sz="0" w:space="0" w:color="auto"/>
                                <w:left w:val="none" w:sz="0" w:space="0" w:color="auto"/>
                                <w:bottom w:val="none" w:sz="0" w:space="0" w:color="auto"/>
                                <w:right w:val="none" w:sz="0" w:space="0" w:color="auto"/>
                              </w:divBdr>
                              <w:divsChild>
                                <w:div w:id="372073370">
                                  <w:marLeft w:val="0"/>
                                  <w:marRight w:val="0"/>
                                  <w:marTop w:val="0"/>
                                  <w:marBottom w:val="0"/>
                                  <w:divBdr>
                                    <w:top w:val="none" w:sz="0" w:space="0" w:color="auto"/>
                                    <w:left w:val="none" w:sz="0" w:space="0" w:color="auto"/>
                                    <w:bottom w:val="none" w:sz="0" w:space="0" w:color="auto"/>
                                    <w:right w:val="none" w:sz="0" w:space="0" w:color="auto"/>
                                  </w:divBdr>
                                  <w:divsChild>
                                    <w:div w:id="114369295">
                                      <w:marLeft w:val="0"/>
                                      <w:marRight w:val="0"/>
                                      <w:marTop w:val="0"/>
                                      <w:marBottom w:val="0"/>
                                      <w:divBdr>
                                        <w:top w:val="none" w:sz="0" w:space="0" w:color="auto"/>
                                        <w:left w:val="none" w:sz="0" w:space="0" w:color="auto"/>
                                        <w:bottom w:val="none" w:sz="0" w:space="0" w:color="auto"/>
                                        <w:right w:val="none" w:sz="0" w:space="0" w:color="auto"/>
                                      </w:divBdr>
                                      <w:divsChild>
                                        <w:div w:id="933124376">
                                          <w:marLeft w:val="0"/>
                                          <w:marRight w:val="0"/>
                                          <w:marTop w:val="0"/>
                                          <w:marBottom w:val="0"/>
                                          <w:divBdr>
                                            <w:top w:val="none" w:sz="0" w:space="0" w:color="auto"/>
                                            <w:left w:val="none" w:sz="0" w:space="0" w:color="auto"/>
                                            <w:bottom w:val="none" w:sz="0" w:space="0" w:color="auto"/>
                                            <w:right w:val="none" w:sz="0" w:space="0" w:color="auto"/>
                                          </w:divBdr>
                                          <w:divsChild>
                                            <w:div w:id="385877351">
                                              <w:marLeft w:val="0"/>
                                              <w:marRight w:val="0"/>
                                              <w:marTop w:val="0"/>
                                              <w:marBottom w:val="0"/>
                                              <w:divBdr>
                                                <w:top w:val="none" w:sz="0" w:space="0" w:color="auto"/>
                                                <w:left w:val="none" w:sz="0" w:space="0" w:color="auto"/>
                                                <w:bottom w:val="none" w:sz="0" w:space="0" w:color="auto"/>
                                                <w:right w:val="none" w:sz="0" w:space="0" w:color="auto"/>
                                              </w:divBdr>
                                              <w:divsChild>
                                                <w:div w:id="1780100480">
                                                  <w:marLeft w:val="0"/>
                                                  <w:marRight w:val="0"/>
                                                  <w:marTop w:val="0"/>
                                                  <w:marBottom w:val="0"/>
                                                  <w:divBdr>
                                                    <w:top w:val="none" w:sz="0" w:space="0" w:color="auto"/>
                                                    <w:left w:val="none" w:sz="0" w:space="0" w:color="auto"/>
                                                    <w:bottom w:val="none" w:sz="0" w:space="0" w:color="auto"/>
                                                    <w:right w:val="none" w:sz="0" w:space="0" w:color="auto"/>
                                                  </w:divBdr>
                                                  <w:divsChild>
                                                    <w:div w:id="1626043079">
                                                      <w:marLeft w:val="0"/>
                                                      <w:marRight w:val="0"/>
                                                      <w:marTop w:val="0"/>
                                                      <w:marBottom w:val="0"/>
                                                      <w:divBdr>
                                                        <w:top w:val="none" w:sz="0" w:space="0" w:color="auto"/>
                                                        <w:left w:val="none" w:sz="0" w:space="0" w:color="auto"/>
                                                        <w:bottom w:val="none" w:sz="0" w:space="0" w:color="auto"/>
                                                        <w:right w:val="none" w:sz="0" w:space="0" w:color="auto"/>
                                                      </w:divBdr>
                                                      <w:divsChild>
                                                        <w:div w:id="210560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8034229">
      <w:bodyDiv w:val="1"/>
      <w:marLeft w:val="0"/>
      <w:marRight w:val="0"/>
      <w:marTop w:val="0"/>
      <w:marBottom w:val="0"/>
      <w:divBdr>
        <w:top w:val="none" w:sz="0" w:space="0" w:color="auto"/>
        <w:left w:val="none" w:sz="0" w:space="0" w:color="auto"/>
        <w:bottom w:val="none" w:sz="0" w:space="0" w:color="auto"/>
        <w:right w:val="none" w:sz="0" w:space="0" w:color="auto"/>
      </w:divBdr>
      <w:divsChild>
        <w:div w:id="1815953444">
          <w:marLeft w:val="0"/>
          <w:marRight w:val="0"/>
          <w:marTop w:val="0"/>
          <w:marBottom w:val="0"/>
          <w:divBdr>
            <w:top w:val="none" w:sz="0" w:space="0" w:color="auto"/>
            <w:left w:val="none" w:sz="0" w:space="0" w:color="auto"/>
            <w:bottom w:val="none" w:sz="0" w:space="0" w:color="auto"/>
            <w:right w:val="none" w:sz="0" w:space="0" w:color="auto"/>
          </w:divBdr>
          <w:divsChild>
            <w:div w:id="393628660">
              <w:marLeft w:val="0"/>
              <w:marRight w:val="0"/>
              <w:marTop w:val="0"/>
              <w:marBottom w:val="0"/>
              <w:divBdr>
                <w:top w:val="none" w:sz="0" w:space="0" w:color="auto"/>
                <w:left w:val="none" w:sz="0" w:space="0" w:color="auto"/>
                <w:bottom w:val="none" w:sz="0" w:space="0" w:color="auto"/>
                <w:right w:val="none" w:sz="0" w:space="0" w:color="auto"/>
              </w:divBdr>
              <w:divsChild>
                <w:div w:id="790367907">
                  <w:marLeft w:val="0"/>
                  <w:marRight w:val="0"/>
                  <w:marTop w:val="0"/>
                  <w:marBottom w:val="0"/>
                  <w:divBdr>
                    <w:top w:val="none" w:sz="0" w:space="0" w:color="auto"/>
                    <w:left w:val="none" w:sz="0" w:space="0" w:color="auto"/>
                    <w:bottom w:val="none" w:sz="0" w:space="0" w:color="auto"/>
                    <w:right w:val="none" w:sz="0" w:space="0" w:color="auto"/>
                  </w:divBdr>
                  <w:divsChild>
                    <w:div w:id="2028746587">
                      <w:marLeft w:val="1"/>
                      <w:marRight w:val="1"/>
                      <w:marTop w:val="0"/>
                      <w:marBottom w:val="0"/>
                      <w:divBdr>
                        <w:top w:val="none" w:sz="0" w:space="0" w:color="auto"/>
                        <w:left w:val="none" w:sz="0" w:space="0" w:color="auto"/>
                        <w:bottom w:val="none" w:sz="0" w:space="0" w:color="auto"/>
                        <w:right w:val="none" w:sz="0" w:space="0" w:color="auto"/>
                      </w:divBdr>
                      <w:divsChild>
                        <w:div w:id="1943026622">
                          <w:marLeft w:val="0"/>
                          <w:marRight w:val="0"/>
                          <w:marTop w:val="0"/>
                          <w:marBottom w:val="0"/>
                          <w:divBdr>
                            <w:top w:val="none" w:sz="0" w:space="0" w:color="auto"/>
                            <w:left w:val="none" w:sz="0" w:space="0" w:color="auto"/>
                            <w:bottom w:val="none" w:sz="0" w:space="0" w:color="auto"/>
                            <w:right w:val="none" w:sz="0" w:space="0" w:color="auto"/>
                          </w:divBdr>
                          <w:divsChild>
                            <w:div w:id="1064567548">
                              <w:marLeft w:val="0"/>
                              <w:marRight w:val="0"/>
                              <w:marTop w:val="0"/>
                              <w:marBottom w:val="360"/>
                              <w:divBdr>
                                <w:top w:val="none" w:sz="0" w:space="0" w:color="auto"/>
                                <w:left w:val="none" w:sz="0" w:space="0" w:color="auto"/>
                                <w:bottom w:val="none" w:sz="0" w:space="0" w:color="auto"/>
                                <w:right w:val="none" w:sz="0" w:space="0" w:color="auto"/>
                              </w:divBdr>
                              <w:divsChild>
                                <w:div w:id="157156434">
                                  <w:marLeft w:val="0"/>
                                  <w:marRight w:val="0"/>
                                  <w:marTop w:val="0"/>
                                  <w:marBottom w:val="0"/>
                                  <w:divBdr>
                                    <w:top w:val="none" w:sz="0" w:space="0" w:color="auto"/>
                                    <w:left w:val="none" w:sz="0" w:space="0" w:color="auto"/>
                                    <w:bottom w:val="none" w:sz="0" w:space="0" w:color="auto"/>
                                    <w:right w:val="none" w:sz="0" w:space="0" w:color="auto"/>
                                  </w:divBdr>
                                  <w:divsChild>
                                    <w:div w:id="435444672">
                                      <w:marLeft w:val="0"/>
                                      <w:marRight w:val="0"/>
                                      <w:marTop w:val="0"/>
                                      <w:marBottom w:val="0"/>
                                      <w:divBdr>
                                        <w:top w:val="none" w:sz="0" w:space="0" w:color="auto"/>
                                        <w:left w:val="none" w:sz="0" w:space="0" w:color="auto"/>
                                        <w:bottom w:val="none" w:sz="0" w:space="0" w:color="auto"/>
                                        <w:right w:val="none" w:sz="0" w:space="0" w:color="auto"/>
                                      </w:divBdr>
                                      <w:divsChild>
                                        <w:div w:id="795222139">
                                          <w:marLeft w:val="0"/>
                                          <w:marRight w:val="0"/>
                                          <w:marTop w:val="0"/>
                                          <w:marBottom w:val="0"/>
                                          <w:divBdr>
                                            <w:top w:val="none" w:sz="0" w:space="0" w:color="auto"/>
                                            <w:left w:val="none" w:sz="0" w:space="0" w:color="auto"/>
                                            <w:bottom w:val="none" w:sz="0" w:space="0" w:color="auto"/>
                                            <w:right w:val="none" w:sz="0" w:space="0" w:color="auto"/>
                                          </w:divBdr>
                                          <w:divsChild>
                                            <w:div w:id="1972976895">
                                              <w:marLeft w:val="0"/>
                                              <w:marRight w:val="0"/>
                                              <w:marTop w:val="0"/>
                                              <w:marBottom w:val="0"/>
                                              <w:divBdr>
                                                <w:top w:val="none" w:sz="0" w:space="0" w:color="auto"/>
                                                <w:left w:val="none" w:sz="0" w:space="0" w:color="auto"/>
                                                <w:bottom w:val="none" w:sz="0" w:space="0" w:color="auto"/>
                                                <w:right w:val="none" w:sz="0" w:space="0" w:color="auto"/>
                                              </w:divBdr>
                                              <w:divsChild>
                                                <w:div w:id="611674012">
                                                  <w:marLeft w:val="0"/>
                                                  <w:marRight w:val="0"/>
                                                  <w:marTop w:val="0"/>
                                                  <w:marBottom w:val="0"/>
                                                  <w:divBdr>
                                                    <w:top w:val="none" w:sz="0" w:space="0" w:color="auto"/>
                                                    <w:left w:val="none" w:sz="0" w:space="0" w:color="auto"/>
                                                    <w:bottom w:val="none" w:sz="0" w:space="0" w:color="auto"/>
                                                    <w:right w:val="none" w:sz="0" w:space="0" w:color="auto"/>
                                                  </w:divBdr>
                                                  <w:divsChild>
                                                    <w:div w:id="1592591127">
                                                      <w:marLeft w:val="0"/>
                                                      <w:marRight w:val="0"/>
                                                      <w:marTop w:val="0"/>
                                                      <w:marBottom w:val="0"/>
                                                      <w:divBdr>
                                                        <w:top w:val="none" w:sz="0" w:space="0" w:color="auto"/>
                                                        <w:left w:val="none" w:sz="0" w:space="0" w:color="auto"/>
                                                        <w:bottom w:val="none" w:sz="0" w:space="0" w:color="auto"/>
                                                        <w:right w:val="none" w:sz="0" w:space="0" w:color="auto"/>
                                                      </w:divBdr>
                                                      <w:divsChild>
                                                        <w:div w:id="49153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9203430">
      <w:bodyDiv w:val="1"/>
      <w:marLeft w:val="0"/>
      <w:marRight w:val="0"/>
      <w:marTop w:val="0"/>
      <w:marBottom w:val="0"/>
      <w:divBdr>
        <w:top w:val="none" w:sz="0" w:space="0" w:color="auto"/>
        <w:left w:val="none" w:sz="0" w:space="0" w:color="auto"/>
        <w:bottom w:val="none" w:sz="0" w:space="0" w:color="auto"/>
        <w:right w:val="none" w:sz="0" w:space="0" w:color="auto"/>
      </w:divBdr>
    </w:div>
    <w:div w:id="1506019174">
      <w:bodyDiv w:val="1"/>
      <w:marLeft w:val="0"/>
      <w:marRight w:val="0"/>
      <w:marTop w:val="0"/>
      <w:marBottom w:val="0"/>
      <w:divBdr>
        <w:top w:val="none" w:sz="0" w:space="0" w:color="auto"/>
        <w:left w:val="none" w:sz="0" w:space="0" w:color="auto"/>
        <w:bottom w:val="none" w:sz="0" w:space="0" w:color="auto"/>
        <w:right w:val="none" w:sz="0" w:space="0" w:color="auto"/>
      </w:divBdr>
      <w:divsChild>
        <w:div w:id="1942182550">
          <w:marLeft w:val="0"/>
          <w:marRight w:val="0"/>
          <w:marTop w:val="0"/>
          <w:marBottom w:val="0"/>
          <w:divBdr>
            <w:top w:val="none" w:sz="0" w:space="0" w:color="auto"/>
            <w:left w:val="none" w:sz="0" w:space="0" w:color="auto"/>
            <w:bottom w:val="none" w:sz="0" w:space="0" w:color="auto"/>
            <w:right w:val="none" w:sz="0" w:space="0" w:color="auto"/>
          </w:divBdr>
          <w:divsChild>
            <w:div w:id="1114133176">
              <w:marLeft w:val="0"/>
              <w:marRight w:val="0"/>
              <w:marTop w:val="0"/>
              <w:marBottom w:val="0"/>
              <w:divBdr>
                <w:top w:val="none" w:sz="0" w:space="0" w:color="auto"/>
                <w:left w:val="none" w:sz="0" w:space="0" w:color="auto"/>
                <w:bottom w:val="none" w:sz="0" w:space="0" w:color="auto"/>
                <w:right w:val="none" w:sz="0" w:space="0" w:color="auto"/>
              </w:divBdr>
              <w:divsChild>
                <w:div w:id="300577785">
                  <w:marLeft w:val="0"/>
                  <w:marRight w:val="0"/>
                  <w:marTop w:val="0"/>
                  <w:marBottom w:val="0"/>
                  <w:divBdr>
                    <w:top w:val="none" w:sz="0" w:space="0" w:color="auto"/>
                    <w:left w:val="none" w:sz="0" w:space="0" w:color="auto"/>
                    <w:bottom w:val="none" w:sz="0" w:space="0" w:color="auto"/>
                    <w:right w:val="none" w:sz="0" w:space="0" w:color="auto"/>
                  </w:divBdr>
                  <w:divsChild>
                    <w:div w:id="1280407581">
                      <w:marLeft w:val="1"/>
                      <w:marRight w:val="1"/>
                      <w:marTop w:val="0"/>
                      <w:marBottom w:val="0"/>
                      <w:divBdr>
                        <w:top w:val="none" w:sz="0" w:space="0" w:color="auto"/>
                        <w:left w:val="none" w:sz="0" w:space="0" w:color="auto"/>
                        <w:bottom w:val="none" w:sz="0" w:space="0" w:color="auto"/>
                        <w:right w:val="none" w:sz="0" w:space="0" w:color="auto"/>
                      </w:divBdr>
                      <w:divsChild>
                        <w:div w:id="207761447">
                          <w:marLeft w:val="0"/>
                          <w:marRight w:val="0"/>
                          <w:marTop w:val="0"/>
                          <w:marBottom w:val="0"/>
                          <w:divBdr>
                            <w:top w:val="none" w:sz="0" w:space="0" w:color="auto"/>
                            <w:left w:val="none" w:sz="0" w:space="0" w:color="auto"/>
                            <w:bottom w:val="none" w:sz="0" w:space="0" w:color="auto"/>
                            <w:right w:val="none" w:sz="0" w:space="0" w:color="auto"/>
                          </w:divBdr>
                          <w:divsChild>
                            <w:div w:id="835345138">
                              <w:marLeft w:val="0"/>
                              <w:marRight w:val="0"/>
                              <w:marTop w:val="0"/>
                              <w:marBottom w:val="360"/>
                              <w:divBdr>
                                <w:top w:val="none" w:sz="0" w:space="0" w:color="auto"/>
                                <w:left w:val="none" w:sz="0" w:space="0" w:color="auto"/>
                                <w:bottom w:val="none" w:sz="0" w:space="0" w:color="auto"/>
                                <w:right w:val="none" w:sz="0" w:space="0" w:color="auto"/>
                              </w:divBdr>
                              <w:divsChild>
                                <w:div w:id="1452892388">
                                  <w:marLeft w:val="0"/>
                                  <w:marRight w:val="0"/>
                                  <w:marTop w:val="0"/>
                                  <w:marBottom w:val="0"/>
                                  <w:divBdr>
                                    <w:top w:val="none" w:sz="0" w:space="0" w:color="auto"/>
                                    <w:left w:val="none" w:sz="0" w:space="0" w:color="auto"/>
                                    <w:bottom w:val="none" w:sz="0" w:space="0" w:color="auto"/>
                                    <w:right w:val="none" w:sz="0" w:space="0" w:color="auto"/>
                                  </w:divBdr>
                                  <w:divsChild>
                                    <w:div w:id="1229880104">
                                      <w:marLeft w:val="0"/>
                                      <w:marRight w:val="0"/>
                                      <w:marTop w:val="0"/>
                                      <w:marBottom w:val="0"/>
                                      <w:divBdr>
                                        <w:top w:val="none" w:sz="0" w:space="0" w:color="auto"/>
                                        <w:left w:val="none" w:sz="0" w:space="0" w:color="auto"/>
                                        <w:bottom w:val="none" w:sz="0" w:space="0" w:color="auto"/>
                                        <w:right w:val="none" w:sz="0" w:space="0" w:color="auto"/>
                                      </w:divBdr>
                                      <w:divsChild>
                                        <w:div w:id="1827167674">
                                          <w:marLeft w:val="0"/>
                                          <w:marRight w:val="0"/>
                                          <w:marTop w:val="0"/>
                                          <w:marBottom w:val="0"/>
                                          <w:divBdr>
                                            <w:top w:val="none" w:sz="0" w:space="0" w:color="auto"/>
                                            <w:left w:val="none" w:sz="0" w:space="0" w:color="auto"/>
                                            <w:bottom w:val="none" w:sz="0" w:space="0" w:color="auto"/>
                                            <w:right w:val="none" w:sz="0" w:space="0" w:color="auto"/>
                                          </w:divBdr>
                                          <w:divsChild>
                                            <w:div w:id="664895173">
                                              <w:marLeft w:val="0"/>
                                              <w:marRight w:val="0"/>
                                              <w:marTop w:val="0"/>
                                              <w:marBottom w:val="0"/>
                                              <w:divBdr>
                                                <w:top w:val="none" w:sz="0" w:space="0" w:color="auto"/>
                                                <w:left w:val="none" w:sz="0" w:space="0" w:color="auto"/>
                                                <w:bottom w:val="none" w:sz="0" w:space="0" w:color="auto"/>
                                                <w:right w:val="none" w:sz="0" w:space="0" w:color="auto"/>
                                              </w:divBdr>
                                              <w:divsChild>
                                                <w:div w:id="1352414840">
                                                  <w:marLeft w:val="0"/>
                                                  <w:marRight w:val="0"/>
                                                  <w:marTop w:val="0"/>
                                                  <w:marBottom w:val="0"/>
                                                  <w:divBdr>
                                                    <w:top w:val="none" w:sz="0" w:space="0" w:color="auto"/>
                                                    <w:left w:val="none" w:sz="0" w:space="0" w:color="auto"/>
                                                    <w:bottom w:val="none" w:sz="0" w:space="0" w:color="auto"/>
                                                    <w:right w:val="none" w:sz="0" w:space="0" w:color="auto"/>
                                                  </w:divBdr>
                                                  <w:divsChild>
                                                    <w:div w:id="401487734">
                                                      <w:marLeft w:val="0"/>
                                                      <w:marRight w:val="0"/>
                                                      <w:marTop w:val="0"/>
                                                      <w:marBottom w:val="0"/>
                                                      <w:divBdr>
                                                        <w:top w:val="none" w:sz="0" w:space="0" w:color="auto"/>
                                                        <w:left w:val="none" w:sz="0" w:space="0" w:color="auto"/>
                                                        <w:bottom w:val="none" w:sz="0" w:space="0" w:color="auto"/>
                                                        <w:right w:val="none" w:sz="0" w:space="0" w:color="auto"/>
                                                      </w:divBdr>
                                                      <w:divsChild>
                                                        <w:div w:id="178961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5742045">
      <w:bodyDiv w:val="1"/>
      <w:marLeft w:val="0"/>
      <w:marRight w:val="0"/>
      <w:marTop w:val="0"/>
      <w:marBottom w:val="0"/>
      <w:divBdr>
        <w:top w:val="none" w:sz="0" w:space="0" w:color="auto"/>
        <w:left w:val="none" w:sz="0" w:space="0" w:color="auto"/>
        <w:bottom w:val="none" w:sz="0" w:space="0" w:color="auto"/>
        <w:right w:val="none" w:sz="0" w:space="0" w:color="auto"/>
      </w:divBdr>
      <w:divsChild>
        <w:div w:id="1030380843">
          <w:marLeft w:val="0"/>
          <w:marRight w:val="0"/>
          <w:marTop w:val="0"/>
          <w:marBottom w:val="0"/>
          <w:divBdr>
            <w:top w:val="none" w:sz="0" w:space="0" w:color="auto"/>
            <w:left w:val="none" w:sz="0" w:space="0" w:color="auto"/>
            <w:bottom w:val="none" w:sz="0" w:space="0" w:color="auto"/>
            <w:right w:val="none" w:sz="0" w:space="0" w:color="auto"/>
          </w:divBdr>
          <w:divsChild>
            <w:div w:id="2027097901">
              <w:marLeft w:val="0"/>
              <w:marRight w:val="0"/>
              <w:marTop w:val="0"/>
              <w:marBottom w:val="0"/>
              <w:divBdr>
                <w:top w:val="none" w:sz="0" w:space="0" w:color="auto"/>
                <w:left w:val="none" w:sz="0" w:space="0" w:color="auto"/>
                <w:bottom w:val="none" w:sz="0" w:space="0" w:color="auto"/>
                <w:right w:val="none" w:sz="0" w:space="0" w:color="auto"/>
              </w:divBdr>
              <w:divsChild>
                <w:div w:id="1169826678">
                  <w:marLeft w:val="0"/>
                  <w:marRight w:val="0"/>
                  <w:marTop w:val="0"/>
                  <w:marBottom w:val="0"/>
                  <w:divBdr>
                    <w:top w:val="none" w:sz="0" w:space="0" w:color="auto"/>
                    <w:left w:val="none" w:sz="0" w:space="0" w:color="auto"/>
                    <w:bottom w:val="none" w:sz="0" w:space="0" w:color="auto"/>
                    <w:right w:val="none" w:sz="0" w:space="0" w:color="auto"/>
                  </w:divBdr>
                  <w:divsChild>
                    <w:div w:id="1819683194">
                      <w:marLeft w:val="1"/>
                      <w:marRight w:val="1"/>
                      <w:marTop w:val="0"/>
                      <w:marBottom w:val="0"/>
                      <w:divBdr>
                        <w:top w:val="none" w:sz="0" w:space="0" w:color="auto"/>
                        <w:left w:val="none" w:sz="0" w:space="0" w:color="auto"/>
                        <w:bottom w:val="none" w:sz="0" w:space="0" w:color="auto"/>
                        <w:right w:val="none" w:sz="0" w:space="0" w:color="auto"/>
                      </w:divBdr>
                      <w:divsChild>
                        <w:div w:id="314258545">
                          <w:marLeft w:val="0"/>
                          <w:marRight w:val="0"/>
                          <w:marTop w:val="0"/>
                          <w:marBottom w:val="0"/>
                          <w:divBdr>
                            <w:top w:val="none" w:sz="0" w:space="0" w:color="auto"/>
                            <w:left w:val="none" w:sz="0" w:space="0" w:color="auto"/>
                            <w:bottom w:val="none" w:sz="0" w:space="0" w:color="auto"/>
                            <w:right w:val="none" w:sz="0" w:space="0" w:color="auto"/>
                          </w:divBdr>
                          <w:divsChild>
                            <w:div w:id="792138010">
                              <w:marLeft w:val="0"/>
                              <w:marRight w:val="0"/>
                              <w:marTop w:val="0"/>
                              <w:marBottom w:val="360"/>
                              <w:divBdr>
                                <w:top w:val="none" w:sz="0" w:space="0" w:color="auto"/>
                                <w:left w:val="none" w:sz="0" w:space="0" w:color="auto"/>
                                <w:bottom w:val="none" w:sz="0" w:space="0" w:color="auto"/>
                                <w:right w:val="none" w:sz="0" w:space="0" w:color="auto"/>
                              </w:divBdr>
                              <w:divsChild>
                                <w:div w:id="1871062947">
                                  <w:marLeft w:val="0"/>
                                  <w:marRight w:val="0"/>
                                  <w:marTop w:val="0"/>
                                  <w:marBottom w:val="0"/>
                                  <w:divBdr>
                                    <w:top w:val="none" w:sz="0" w:space="0" w:color="auto"/>
                                    <w:left w:val="none" w:sz="0" w:space="0" w:color="auto"/>
                                    <w:bottom w:val="none" w:sz="0" w:space="0" w:color="auto"/>
                                    <w:right w:val="none" w:sz="0" w:space="0" w:color="auto"/>
                                  </w:divBdr>
                                  <w:divsChild>
                                    <w:div w:id="1840002608">
                                      <w:marLeft w:val="0"/>
                                      <w:marRight w:val="0"/>
                                      <w:marTop w:val="0"/>
                                      <w:marBottom w:val="0"/>
                                      <w:divBdr>
                                        <w:top w:val="none" w:sz="0" w:space="0" w:color="auto"/>
                                        <w:left w:val="none" w:sz="0" w:space="0" w:color="auto"/>
                                        <w:bottom w:val="none" w:sz="0" w:space="0" w:color="auto"/>
                                        <w:right w:val="none" w:sz="0" w:space="0" w:color="auto"/>
                                      </w:divBdr>
                                      <w:divsChild>
                                        <w:div w:id="539128182">
                                          <w:marLeft w:val="0"/>
                                          <w:marRight w:val="0"/>
                                          <w:marTop w:val="0"/>
                                          <w:marBottom w:val="0"/>
                                          <w:divBdr>
                                            <w:top w:val="none" w:sz="0" w:space="0" w:color="auto"/>
                                            <w:left w:val="none" w:sz="0" w:space="0" w:color="auto"/>
                                            <w:bottom w:val="none" w:sz="0" w:space="0" w:color="auto"/>
                                            <w:right w:val="none" w:sz="0" w:space="0" w:color="auto"/>
                                          </w:divBdr>
                                          <w:divsChild>
                                            <w:div w:id="1410806001">
                                              <w:marLeft w:val="0"/>
                                              <w:marRight w:val="0"/>
                                              <w:marTop w:val="0"/>
                                              <w:marBottom w:val="0"/>
                                              <w:divBdr>
                                                <w:top w:val="none" w:sz="0" w:space="0" w:color="auto"/>
                                                <w:left w:val="none" w:sz="0" w:space="0" w:color="auto"/>
                                                <w:bottom w:val="none" w:sz="0" w:space="0" w:color="auto"/>
                                                <w:right w:val="none" w:sz="0" w:space="0" w:color="auto"/>
                                              </w:divBdr>
                                              <w:divsChild>
                                                <w:div w:id="1723287426">
                                                  <w:marLeft w:val="0"/>
                                                  <w:marRight w:val="0"/>
                                                  <w:marTop w:val="0"/>
                                                  <w:marBottom w:val="0"/>
                                                  <w:divBdr>
                                                    <w:top w:val="none" w:sz="0" w:space="0" w:color="auto"/>
                                                    <w:left w:val="none" w:sz="0" w:space="0" w:color="auto"/>
                                                    <w:bottom w:val="none" w:sz="0" w:space="0" w:color="auto"/>
                                                    <w:right w:val="none" w:sz="0" w:space="0" w:color="auto"/>
                                                  </w:divBdr>
                                                  <w:divsChild>
                                                    <w:div w:id="2110814943">
                                                      <w:marLeft w:val="0"/>
                                                      <w:marRight w:val="0"/>
                                                      <w:marTop w:val="0"/>
                                                      <w:marBottom w:val="0"/>
                                                      <w:divBdr>
                                                        <w:top w:val="none" w:sz="0" w:space="0" w:color="auto"/>
                                                        <w:left w:val="none" w:sz="0" w:space="0" w:color="auto"/>
                                                        <w:bottom w:val="none" w:sz="0" w:space="0" w:color="auto"/>
                                                        <w:right w:val="none" w:sz="0" w:space="0" w:color="auto"/>
                                                      </w:divBdr>
                                                      <w:divsChild>
                                                        <w:div w:id="74095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1173786">
      <w:bodyDiv w:val="1"/>
      <w:marLeft w:val="0"/>
      <w:marRight w:val="0"/>
      <w:marTop w:val="0"/>
      <w:marBottom w:val="0"/>
      <w:divBdr>
        <w:top w:val="none" w:sz="0" w:space="0" w:color="auto"/>
        <w:left w:val="none" w:sz="0" w:space="0" w:color="auto"/>
        <w:bottom w:val="none" w:sz="0" w:space="0" w:color="auto"/>
        <w:right w:val="none" w:sz="0" w:space="0" w:color="auto"/>
      </w:divBdr>
      <w:divsChild>
        <w:div w:id="1149126990">
          <w:marLeft w:val="0"/>
          <w:marRight w:val="0"/>
          <w:marTop w:val="0"/>
          <w:marBottom w:val="0"/>
          <w:divBdr>
            <w:top w:val="none" w:sz="0" w:space="0" w:color="auto"/>
            <w:left w:val="none" w:sz="0" w:space="0" w:color="auto"/>
            <w:bottom w:val="none" w:sz="0" w:space="0" w:color="auto"/>
            <w:right w:val="none" w:sz="0" w:space="0" w:color="auto"/>
          </w:divBdr>
          <w:divsChild>
            <w:div w:id="700284331">
              <w:marLeft w:val="0"/>
              <w:marRight w:val="0"/>
              <w:marTop w:val="0"/>
              <w:marBottom w:val="0"/>
              <w:divBdr>
                <w:top w:val="none" w:sz="0" w:space="0" w:color="auto"/>
                <w:left w:val="none" w:sz="0" w:space="0" w:color="auto"/>
                <w:bottom w:val="none" w:sz="0" w:space="0" w:color="auto"/>
                <w:right w:val="none" w:sz="0" w:space="0" w:color="auto"/>
              </w:divBdr>
              <w:divsChild>
                <w:div w:id="421415695">
                  <w:marLeft w:val="0"/>
                  <w:marRight w:val="0"/>
                  <w:marTop w:val="0"/>
                  <w:marBottom w:val="0"/>
                  <w:divBdr>
                    <w:top w:val="none" w:sz="0" w:space="0" w:color="auto"/>
                    <w:left w:val="none" w:sz="0" w:space="0" w:color="auto"/>
                    <w:bottom w:val="none" w:sz="0" w:space="0" w:color="auto"/>
                    <w:right w:val="none" w:sz="0" w:space="0" w:color="auto"/>
                  </w:divBdr>
                  <w:divsChild>
                    <w:div w:id="1660693377">
                      <w:marLeft w:val="1"/>
                      <w:marRight w:val="1"/>
                      <w:marTop w:val="0"/>
                      <w:marBottom w:val="0"/>
                      <w:divBdr>
                        <w:top w:val="none" w:sz="0" w:space="0" w:color="auto"/>
                        <w:left w:val="none" w:sz="0" w:space="0" w:color="auto"/>
                        <w:bottom w:val="none" w:sz="0" w:space="0" w:color="auto"/>
                        <w:right w:val="none" w:sz="0" w:space="0" w:color="auto"/>
                      </w:divBdr>
                      <w:divsChild>
                        <w:div w:id="1751808465">
                          <w:marLeft w:val="0"/>
                          <w:marRight w:val="0"/>
                          <w:marTop w:val="0"/>
                          <w:marBottom w:val="0"/>
                          <w:divBdr>
                            <w:top w:val="none" w:sz="0" w:space="0" w:color="auto"/>
                            <w:left w:val="none" w:sz="0" w:space="0" w:color="auto"/>
                            <w:bottom w:val="none" w:sz="0" w:space="0" w:color="auto"/>
                            <w:right w:val="none" w:sz="0" w:space="0" w:color="auto"/>
                          </w:divBdr>
                          <w:divsChild>
                            <w:div w:id="809635790">
                              <w:marLeft w:val="0"/>
                              <w:marRight w:val="0"/>
                              <w:marTop w:val="0"/>
                              <w:marBottom w:val="360"/>
                              <w:divBdr>
                                <w:top w:val="none" w:sz="0" w:space="0" w:color="auto"/>
                                <w:left w:val="none" w:sz="0" w:space="0" w:color="auto"/>
                                <w:bottom w:val="none" w:sz="0" w:space="0" w:color="auto"/>
                                <w:right w:val="none" w:sz="0" w:space="0" w:color="auto"/>
                              </w:divBdr>
                              <w:divsChild>
                                <w:div w:id="1484545962">
                                  <w:marLeft w:val="0"/>
                                  <w:marRight w:val="0"/>
                                  <w:marTop w:val="0"/>
                                  <w:marBottom w:val="0"/>
                                  <w:divBdr>
                                    <w:top w:val="none" w:sz="0" w:space="0" w:color="auto"/>
                                    <w:left w:val="none" w:sz="0" w:space="0" w:color="auto"/>
                                    <w:bottom w:val="none" w:sz="0" w:space="0" w:color="auto"/>
                                    <w:right w:val="none" w:sz="0" w:space="0" w:color="auto"/>
                                  </w:divBdr>
                                  <w:divsChild>
                                    <w:div w:id="2032800188">
                                      <w:marLeft w:val="0"/>
                                      <w:marRight w:val="0"/>
                                      <w:marTop w:val="0"/>
                                      <w:marBottom w:val="0"/>
                                      <w:divBdr>
                                        <w:top w:val="none" w:sz="0" w:space="0" w:color="auto"/>
                                        <w:left w:val="none" w:sz="0" w:space="0" w:color="auto"/>
                                        <w:bottom w:val="none" w:sz="0" w:space="0" w:color="auto"/>
                                        <w:right w:val="none" w:sz="0" w:space="0" w:color="auto"/>
                                      </w:divBdr>
                                      <w:divsChild>
                                        <w:div w:id="358553051">
                                          <w:marLeft w:val="0"/>
                                          <w:marRight w:val="0"/>
                                          <w:marTop w:val="0"/>
                                          <w:marBottom w:val="0"/>
                                          <w:divBdr>
                                            <w:top w:val="none" w:sz="0" w:space="0" w:color="auto"/>
                                            <w:left w:val="none" w:sz="0" w:space="0" w:color="auto"/>
                                            <w:bottom w:val="none" w:sz="0" w:space="0" w:color="auto"/>
                                            <w:right w:val="none" w:sz="0" w:space="0" w:color="auto"/>
                                          </w:divBdr>
                                          <w:divsChild>
                                            <w:div w:id="749621478">
                                              <w:marLeft w:val="0"/>
                                              <w:marRight w:val="0"/>
                                              <w:marTop w:val="0"/>
                                              <w:marBottom w:val="0"/>
                                              <w:divBdr>
                                                <w:top w:val="none" w:sz="0" w:space="0" w:color="auto"/>
                                                <w:left w:val="none" w:sz="0" w:space="0" w:color="auto"/>
                                                <w:bottom w:val="none" w:sz="0" w:space="0" w:color="auto"/>
                                                <w:right w:val="none" w:sz="0" w:space="0" w:color="auto"/>
                                              </w:divBdr>
                                              <w:divsChild>
                                                <w:div w:id="1164591346">
                                                  <w:marLeft w:val="0"/>
                                                  <w:marRight w:val="0"/>
                                                  <w:marTop w:val="0"/>
                                                  <w:marBottom w:val="0"/>
                                                  <w:divBdr>
                                                    <w:top w:val="none" w:sz="0" w:space="0" w:color="auto"/>
                                                    <w:left w:val="none" w:sz="0" w:space="0" w:color="auto"/>
                                                    <w:bottom w:val="none" w:sz="0" w:space="0" w:color="auto"/>
                                                    <w:right w:val="none" w:sz="0" w:space="0" w:color="auto"/>
                                                  </w:divBdr>
                                                  <w:divsChild>
                                                    <w:div w:id="999382448">
                                                      <w:marLeft w:val="0"/>
                                                      <w:marRight w:val="0"/>
                                                      <w:marTop w:val="0"/>
                                                      <w:marBottom w:val="0"/>
                                                      <w:divBdr>
                                                        <w:top w:val="none" w:sz="0" w:space="0" w:color="auto"/>
                                                        <w:left w:val="none" w:sz="0" w:space="0" w:color="auto"/>
                                                        <w:bottom w:val="none" w:sz="0" w:space="0" w:color="auto"/>
                                                        <w:right w:val="none" w:sz="0" w:space="0" w:color="auto"/>
                                                      </w:divBdr>
                                                      <w:divsChild>
                                                        <w:div w:id="6573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6154701">
      <w:bodyDiv w:val="1"/>
      <w:marLeft w:val="0"/>
      <w:marRight w:val="0"/>
      <w:marTop w:val="0"/>
      <w:marBottom w:val="0"/>
      <w:divBdr>
        <w:top w:val="none" w:sz="0" w:space="0" w:color="auto"/>
        <w:left w:val="none" w:sz="0" w:space="0" w:color="auto"/>
        <w:bottom w:val="none" w:sz="0" w:space="0" w:color="auto"/>
        <w:right w:val="none" w:sz="0" w:space="0" w:color="auto"/>
      </w:divBdr>
      <w:divsChild>
        <w:div w:id="968972707">
          <w:marLeft w:val="0"/>
          <w:marRight w:val="0"/>
          <w:marTop w:val="0"/>
          <w:marBottom w:val="0"/>
          <w:divBdr>
            <w:top w:val="none" w:sz="0" w:space="0" w:color="auto"/>
            <w:left w:val="none" w:sz="0" w:space="0" w:color="auto"/>
            <w:bottom w:val="none" w:sz="0" w:space="0" w:color="auto"/>
            <w:right w:val="none" w:sz="0" w:space="0" w:color="auto"/>
          </w:divBdr>
          <w:divsChild>
            <w:div w:id="1841431340">
              <w:marLeft w:val="0"/>
              <w:marRight w:val="0"/>
              <w:marTop w:val="0"/>
              <w:marBottom w:val="0"/>
              <w:divBdr>
                <w:top w:val="none" w:sz="0" w:space="0" w:color="auto"/>
                <w:left w:val="none" w:sz="0" w:space="0" w:color="auto"/>
                <w:bottom w:val="none" w:sz="0" w:space="0" w:color="auto"/>
                <w:right w:val="none" w:sz="0" w:space="0" w:color="auto"/>
              </w:divBdr>
              <w:divsChild>
                <w:div w:id="576743454">
                  <w:marLeft w:val="0"/>
                  <w:marRight w:val="0"/>
                  <w:marTop w:val="0"/>
                  <w:marBottom w:val="0"/>
                  <w:divBdr>
                    <w:top w:val="none" w:sz="0" w:space="0" w:color="auto"/>
                    <w:left w:val="none" w:sz="0" w:space="0" w:color="auto"/>
                    <w:bottom w:val="none" w:sz="0" w:space="0" w:color="auto"/>
                    <w:right w:val="none" w:sz="0" w:space="0" w:color="auto"/>
                  </w:divBdr>
                  <w:divsChild>
                    <w:div w:id="1719041073">
                      <w:marLeft w:val="1"/>
                      <w:marRight w:val="1"/>
                      <w:marTop w:val="0"/>
                      <w:marBottom w:val="0"/>
                      <w:divBdr>
                        <w:top w:val="none" w:sz="0" w:space="0" w:color="auto"/>
                        <w:left w:val="none" w:sz="0" w:space="0" w:color="auto"/>
                        <w:bottom w:val="none" w:sz="0" w:space="0" w:color="auto"/>
                        <w:right w:val="none" w:sz="0" w:space="0" w:color="auto"/>
                      </w:divBdr>
                      <w:divsChild>
                        <w:div w:id="1667316910">
                          <w:marLeft w:val="0"/>
                          <w:marRight w:val="0"/>
                          <w:marTop w:val="0"/>
                          <w:marBottom w:val="0"/>
                          <w:divBdr>
                            <w:top w:val="none" w:sz="0" w:space="0" w:color="auto"/>
                            <w:left w:val="none" w:sz="0" w:space="0" w:color="auto"/>
                            <w:bottom w:val="none" w:sz="0" w:space="0" w:color="auto"/>
                            <w:right w:val="none" w:sz="0" w:space="0" w:color="auto"/>
                          </w:divBdr>
                          <w:divsChild>
                            <w:div w:id="1460369492">
                              <w:marLeft w:val="0"/>
                              <w:marRight w:val="0"/>
                              <w:marTop w:val="0"/>
                              <w:marBottom w:val="360"/>
                              <w:divBdr>
                                <w:top w:val="none" w:sz="0" w:space="0" w:color="auto"/>
                                <w:left w:val="none" w:sz="0" w:space="0" w:color="auto"/>
                                <w:bottom w:val="none" w:sz="0" w:space="0" w:color="auto"/>
                                <w:right w:val="none" w:sz="0" w:space="0" w:color="auto"/>
                              </w:divBdr>
                              <w:divsChild>
                                <w:div w:id="866407942">
                                  <w:marLeft w:val="0"/>
                                  <w:marRight w:val="0"/>
                                  <w:marTop w:val="0"/>
                                  <w:marBottom w:val="0"/>
                                  <w:divBdr>
                                    <w:top w:val="none" w:sz="0" w:space="0" w:color="auto"/>
                                    <w:left w:val="none" w:sz="0" w:space="0" w:color="auto"/>
                                    <w:bottom w:val="none" w:sz="0" w:space="0" w:color="auto"/>
                                    <w:right w:val="none" w:sz="0" w:space="0" w:color="auto"/>
                                  </w:divBdr>
                                  <w:divsChild>
                                    <w:div w:id="516312978">
                                      <w:marLeft w:val="0"/>
                                      <w:marRight w:val="0"/>
                                      <w:marTop w:val="0"/>
                                      <w:marBottom w:val="0"/>
                                      <w:divBdr>
                                        <w:top w:val="none" w:sz="0" w:space="0" w:color="auto"/>
                                        <w:left w:val="none" w:sz="0" w:space="0" w:color="auto"/>
                                        <w:bottom w:val="none" w:sz="0" w:space="0" w:color="auto"/>
                                        <w:right w:val="none" w:sz="0" w:space="0" w:color="auto"/>
                                      </w:divBdr>
                                      <w:divsChild>
                                        <w:div w:id="360322527">
                                          <w:marLeft w:val="0"/>
                                          <w:marRight w:val="0"/>
                                          <w:marTop w:val="0"/>
                                          <w:marBottom w:val="0"/>
                                          <w:divBdr>
                                            <w:top w:val="none" w:sz="0" w:space="0" w:color="auto"/>
                                            <w:left w:val="none" w:sz="0" w:space="0" w:color="auto"/>
                                            <w:bottom w:val="none" w:sz="0" w:space="0" w:color="auto"/>
                                            <w:right w:val="none" w:sz="0" w:space="0" w:color="auto"/>
                                          </w:divBdr>
                                          <w:divsChild>
                                            <w:div w:id="2070881850">
                                              <w:marLeft w:val="0"/>
                                              <w:marRight w:val="0"/>
                                              <w:marTop w:val="0"/>
                                              <w:marBottom w:val="0"/>
                                              <w:divBdr>
                                                <w:top w:val="none" w:sz="0" w:space="0" w:color="auto"/>
                                                <w:left w:val="none" w:sz="0" w:space="0" w:color="auto"/>
                                                <w:bottom w:val="none" w:sz="0" w:space="0" w:color="auto"/>
                                                <w:right w:val="none" w:sz="0" w:space="0" w:color="auto"/>
                                              </w:divBdr>
                                              <w:divsChild>
                                                <w:div w:id="2009090260">
                                                  <w:marLeft w:val="0"/>
                                                  <w:marRight w:val="0"/>
                                                  <w:marTop w:val="0"/>
                                                  <w:marBottom w:val="0"/>
                                                  <w:divBdr>
                                                    <w:top w:val="none" w:sz="0" w:space="0" w:color="auto"/>
                                                    <w:left w:val="none" w:sz="0" w:space="0" w:color="auto"/>
                                                    <w:bottom w:val="none" w:sz="0" w:space="0" w:color="auto"/>
                                                    <w:right w:val="none" w:sz="0" w:space="0" w:color="auto"/>
                                                  </w:divBdr>
                                                  <w:divsChild>
                                                    <w:div w:id="1645352925">
                                                      <w:marLeft w:val="0"/>
                                                      <w:marRight w:val="0"/>
                                                      <w:marTop w:val="0"/>
                                                      <w:marBottom w:val="0"/>
                                                      <w:divBdr>
                                                        <w:top w:val="none" w:sz="0" w:space="0" w:color="auto"/>
                                                        <w:left w:val="none" w:sz="0" w:space="0" w:color="auto"/>
                                                        <w:bottom w:val="none" w:sz="0" w:space="0" w:color="auto"/>
                                                        <w:right w:val="none" w:sz="0" w:space="0" w:color="auto"/>
                                                      </w:divBdr>
                                                      <w:divsChild>
                                                        <w:div w:id="115232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6347683">
      <w:bodyDiv w:val="1"/>
      <w:marLeft w:val="0"/>
      <w:marRight w:val="0"/>
      <w:marTop w:val="0"/>
      <w:marBottom w:val="0"/>
      <w:divBdr>
        <w:top w:val="none" w:sz="0" w:space="0" w:color="auto"/>
        <w:left w:val="none" w:sz="0" w:space="0" w:color="auto"/>
        <w:bottom w:val="none" w:sz="0" w:space="0" w:color="auto"/>
        <w:right w:val="none" w:sz="0" w:space="0" w:color="auto"/>
      </w:divBdr>
    </w:div>
    <w:div w:id="1902213511">
      <w:bodyDiv w:val="1"/>
      <w:marLeft w:val="0"/>
      <w:marRight w:val="0"/>
      <w:marTop w:val="0"/>
      <w:marBottom w:val="0"/>
      <w:divBdr>
        <w:top w:val="none" w:sz="0" w:space="0" w:color="auto"/>
        <w:left w:val="none" w:sz="0" w:space="0" w:color="auto"/>
        <w:bottom w:val="none" w:sz="0" w:space="0" w:color="auto"/>
        <w:right w:val="none" w:sz="0" w:space="0" w:color="auto"/>
      </w:divBdr>
    </w:div>
    <w:div w:id="2014063174">
      <w:bodyDiv w:val="1"/>
      <w:marLeft w:val="0"/>
      <w:marRight w:val="0"/>
      <w:marTop w:val="0"/>
      <w:marBottom w:val="0"/>
      <w:divBdr>
        <w:top w:val="none" w:sz="0" w:space="0" w:color="auto"/>
        <w:left w:val="none" w:sz="0" w:space="0" w:color="auto"/>
        <w:bottom w:val="none" w:sz="0" w:space="0" w:color="auto"/>
        <w:right w:val="none" w:sz="0" w:space="0" w:color="auto"/>
      </w:divBdr>
      <w:divsChild>
        <w:div w:id="2055150944">
          <w:marLeft w:val="0"/>
          <w:marRight w:val="0"/>
          <w:marTop w:val="0"/>
          <w:marBottom w:val="0"/>
          <w:divBdr>
            <w:top w:val="none" w:sz="0" w:space="0" w:color="auto"/>
            <w:left w:val="none" w:sz="0" w:space="0" w:color="auto"/>
            <w:bottom w:val="none" w:sz="0" w:space="0" w:color="auto"/>
            <w:right w:val="none" w:sz="0" w:space="0" w:color="auto"/>
          </w:divBdr>
          <w:divsChild>
            <w:div w:id="1303386100">
              <w:marLeft w:val="0"/>
              <w:marRight w:val="0"/>
              <w:marTop w:val="0"/>
              <w:marBottom w:val="0"/>
              <w:divBdr>
                <w:top w:val="none" w:sz="0" w:space="0" w:color="auto"/>
                <w:left w:val="none" w:sz="0" w:space="0" w:color="auto"/>
                <w:bottom w:val="none" w:sz="0" w:space="0" w:color="auto"/>
                <w:right w:val="none" w:sz="0" w:space="0" w:color="auto"/>
              </w:divBdr>
              <w:divsChild>
                <w:div w:id="382677421">
                  <w:marLeft w:val="0"/>
                  <w:marRight w:val="0"/>
                  <w:marTop w:val="0"/>
                  <w:marBottom w:val="0"/>
                  <w:divBdr>
                    <w:top w:val="none" w:sz="0" w:space="0" w:color="auto"/>
                    <w:left w:val="none" w:sz="0" w:space="0" w:color="auto"/>
                    <w:bottom w:val="none" w:sz="0" w:space="0" w:color="auto"/>
                    <w:right w:val="none" w:sz="0" w:space="0" w:color="auto"/>
                  </w:divBdr>
                  <w:divsChild>
                    <w:div w:id="1218400849">
                      <w:marLeft w:val="1"/>
                      <w:marRight w:val="1"/>
                      <w:marTop w:val="0"/>
                      <w:marBottom w:val="0"/>
                      <w:divBdr>
                        <w:top w:val="none" w:sz="0" w:space="0" w:color="auto"/>
                        <w:left w:val="none" w:sz="0" w:space="0" w:color="auto"/>
                        <w:bottom w:val="none" w:sz="0" w:space="0" w:color="auto"/>
                        <w:right w:val="none" w:sz="0" w:space="0" w:color="auto"/>
                      </w:divBdr>
                      <w:divsChild>
                        <w:div w:id="2138837792">
                          <w:marLeft w:val="0"/>
                          <w:marRight w:val="0"/>
                          <w:marTop w:val="0"/>
                          <w:marBottom w:val="0"/>
                          <w:divBdr>
                            <w:top w:val="none" w:sz="0" w:space="0" w:color="auto"/>
                            <w:left w:val="none" w:sz="0" w:space="0" w:color="auto"/>
                            <w:bottom w:val="none" w:sz="0" w:space="0" w:color="auto"/>
                            <w:right w:val="none" w:sz="0" w:space="0" w:color="auto"/>
                          </w:divBdr>
                          <w:divsChild>
                            <w:div w:id="150174959">
                              <w:marLeft w:val="0"/>
                              <w:marRight w:val="0"/>
                              <w:marTop w:val="0"/>
                              <w:marBottom w:val="360"/>
                              <w:divBdr>
                                <w:top w:val="none" w:sz="0" w:space="0" w:color="auto"/>
                                <w:left w:val="none" w:sz="0" w:space="0" w:color="auto"/>
                                <w:bottom w:val="none" w:sz="0" w:space="0" w:color="auto"/>
                                <w:right w:val="none" w:sz="0" w:space="0" w:color="auto"/>
                              </w:divBdr>
                              <w:divsChild>
                                <w:div w:id="1422407177">
                                  <w:marLeft w:val="0"/>
                                  <w:marRight w:val="0"/>
                                  <w:marTop w:val="0"/>
                                  <w:marBottom w:val="0"/>
                                  <w:divBdr>
                                    <w:top w:val="none" w:sz="0" w:space="0" w:color="auto"/>
                                    <w:left w:val="none" w:sz="0" w:space="0" w:color="auto"/>
                                    <w:bottom w:val="none" w:sz="0" w:space="0" w:color="auto"/>
                                    <w:right w:val="none" w:sz="0" w:space="0" w:color="auto"/>
                                  </w:divBdr>
                                  <w:divsChild>
                                    <w:div w:id="1641613261">
                                      <w:marLeft w:val="0"/>
                                      <w:marRight w:val="0"/>
                                      <w:marTop w:val="0"/>
                                      <w:marBottom w:val="0"/>
                                      <w:divBdr>
                                        <w:top w:val="none" w:sz="0" w:space="0" w:color="auto"/>
                                        <w:left w:val="none" w:sz="0" w:space="0" w:color="auto"/>
                                        <w:bottom w:val="none" w:sz="0" w:space="0" w:color="auto"/>
                                        <w:right w:val="none" w:sz="0" w:space="0" w:color="auto"/>
                                      </w:divBdr>
                                      <w:divsChild>
                                        <w:div w:id="2128116600">
                                          <w:marLeft w:val="0"/>
                                          <w:marRight w:val="0"/>
                                          <w:marTop w:val="0"/>
                                          <w:marBottom w:val="0"/>
                                          <w:divBdr>
                                            <w:top w:val="none" w:sz="0" w:space="0" w:color="auto"/>
                                            <w:left w:val="none" w:sz="0" w:space="0" w:color="auto"/>
                                            <w:bottom w:val="none" w:sz="0" w:space="0" w:color="auto"/>
                                            <w:right w:val="none" w:sz="0" w:space="0" w:color="auto"/>
                                          </w:divBdr>
                                          <w:divsChild>
                                            <w:div w:id="416748202">
                                              <w:marLeft w:val="0"/>
                                              <w:marRight w:val="0"/>
                                              <w:marTop w:val="0"/>
                                              <w:marBottom w:val="0"/>
                                              <w:divBdr>
                                                <w:top w:val="none" w:sz="0" w:space="0" w:color="auto"/>
                                                <w:left w:val="none" w:sz="0" w:space="0" w:color="auto"/>
                                                <w:bottom w:val="none" w:sz="0" w:space="0" w:color="auto"/>
                                                <w:right w:val="none" w:sz="0" w:space="0" w:color="auto"/>
                                              </w:divBdr>
                                              <w:divsChild>
                                                <w:div w:id="2043742199">
                                                  <w:marLeft w:val="0"/>
                                                  <w:marRight w:val="0"/>
                                                  <w:marTop w:val="0"/>
                                                  <w:marBottom w:val="0"/>
                                                  <w:divBdr>
                                                    <w:top w:val="none" w:sz="0" w:space="0" w:color="auto"/>
                                                    <w:left w:val="none" w:sz="0" w:space="0" w:color="auto"/>
                                                    <w:bottom w:val="none" w:sz="0" w:space="0" w:color="auto"/>
                                                    <w:right w:val="none" w:sz="0" w:space="0" w:color="auto"/>
                                                  </w:divBdr>
                                                  <w:divsChild>
                                                    <w:div w:id="613098428">
                                                      <w:marLeft w:val="0"/>
                                                      <w:marRight w:val="0"/>
                                                      <w:marTop w:val="0"/>
                                                      <w:marBottom w:val="0"/>
                                                      <w:divBdr>
                                                        <w:top w:val="none" w:sz="0" w:space="0" w:color="auto"/>
                                                        <w:left w:val="none" w:sz="0" w:space="0" w:color="auto"/>
                                                        <w:bottom w:val="none" w:sz="0" w:space="0" w:color="auto"/>
                                                        <w:right w:val="none" w:sz="0" w:space="0" w:color="auto"/>
                                                      </w:divBdr>
                                                      <w:divsChild>
                                                        <w:div w:id="68001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295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AUTO/?uri=OJ:L:2016:161:T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0C1F6-465A-4A64-86BC-669339090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8</Pages>
  <Words>1531</Words>
  <Characters>9708</Characters>
  <Application>Microsoft Office Word</Application>
  <DocSecurity>0</DocSecurity>
  <Lines>202</Lines>
  <Paragraphs>108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2019-05-13T10:04:00Z</cp:lastPrinted>
  <dcterms:created xsi:type="dcterms:W3CDTF">2019-05-13T14:24:00Z</dcterms:created>
  <dcterms:modified xsi:type="dcterms:W3CDTF">2019-05-14T16:06:00Z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5.84.2.0</vt:lpwstr>
  </property>
  <property fmtid="{D5CDD505-2E9C-101B-9397-08002B2CF9AE}" pid="4" name="Last edited using">
    <vt:lpwstr>LW 6.0.1, Build 20180503</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SJ-016</vt:lpwstr>
  </property>
  <property fmtid="{D5CDD505-2E9C-101B-9397-08002B2CF9AE}" pid="9" name="Level of sensitivity">
    <vt:lpwstr>Standard treatment</vt:lpwstr>
  </property>
  <property fmtid="{D5CDD505-2E9C-101B-9397-08002B2CF9AE}" pid="10" name="DQCStatus">
    <vt:lpwstr>Green (DQC version 03)</vt:lpwstr>
  </property>
</Properties>
</file>