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E4EAF90-A3C3-4A99-ADC8-1C208C9AC60B"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S cieľom zabezpečiť dostatočné a neprerušované dodávky určitých poľnohospodárskych a priemyselných výrobkov, ktorých výroba v Únii nezodpovedá dopytu alebo ktoré sa v Únii vôbec nevyrábajú, a s cieľom vyhnúť sa narušeniam trhu s týmito výrobkami sa nariadením Rady (EÚ) č. 1387/2013 (ďalej aj „nariadenie“) čiastočne alebo úplne pozastavili niektoré autonómne clá Spoločného colného sadzobníka.</w:t>
      </w:r>
    </w:p>
    <w:p>
      <w:pPr>
        <w:rPr>
          <w:noProof/>
        </w:rPr>
      </w:pPr>
      <w:r>
        <w:rPr>
          <w:noProof/>
        </w:rPr>
        <w:t>Uvedené nariadenie sa aktualizuje každých šesť mesiacov s cieľom zohľadniť potreby výrobného odvetvia Únie. Komisia za pomoci skupiny pre otázky colného hospodárstva preskúmala všetky žiadosti členských štátov o pozastavenie uplatňovania autonómnych ciel.</w:t>
      </w:r>
    </w:p>
    <w:p>
      <w:pPr>
        <w:rPr>
          <w:noProof/>
        </w:rPr>
      </w:pPr>
      <w:r>
        <w:rPr>
          <w:noProof/>
        </w:rPr>
        <w:t>Komisia na základe tohto preskúmania usudzuje, že je opodstatnené pozastaviť clá pre niektoré nové výrobky, ktoré v súčasnosti nie sú uvedené v prílohe k nariadeniu. V prípade niektorých iných výrobkov je potrebné zmeniť podmienky z hľadiska: opisu výrobku, zatriedenia, colných sadzieb alebo požiadavky týkajúcej sa konečného použitia. Navrhuje sa vypustiť zo zoznamu výrobky, v prípade ktorých pozastavenie ciel už nie je v hospodárskom záujme Únie.</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rPr>
          <w:noProof/>
        </w:rPr>
      </w:pPr>
      <w:r>
        <w:rPr>
          <w:noProof/>
        </w:rPr>
        <w:t>Tento návrh nemá vplyv na krajiny, ktoré majú uzavretú preferenčnú obchodnú dohodu s Úniou, ani na kandidátske alebo potenciálne kandidátske krajiny na uzavretie preferenčných dohôd s Úniou (napr. všeobecný systém preferencií, obchodný režim skupiny afrických, karibských a tichomorských štátov, dohody o voľnom obchode).</w:t>
      </w:r>
    </w:p>
    <w:p>
      <w:pPr>
        <w:pStyle w:val="ManualHeading2"/>
        <w:rPr>
          <w:rFonts w:eastAsia="Arial Unicode MS"/>
          <w:noProof/>
        </w:rPr>
      </w:pPr>
      <w:r>
        <w:rPr>
          <w:noProof/>
          <w:color w:val="000000"/>
          <w:u w:color="000000"/>
          <w:bdr w:val="nil"/>
        </w:rPr>
        <w:t>•</w:t>
      </w:r>
      <w:r>
        <w:rPr>
          <w:noProof/>
        </w:rPr>
        <w:tab/>
        <w:t>Súlad s ostatnými politikami Únie</w:t>
      </w:r>
    </w:p>
    <w:p>
      <w:pPr>
        <w:rPr>
          <w:noProof/>
        </w:rPr>
      </w:pPr>
      <w:r>
        <w:rPr>
          <w:noProof/>
        </w:rPr>
        <w:t>Návrh je v súlade s politikami Únie v oblasti poľnohospodárstva, obchodu, podnikania, životného prostredia, rozvoja a vonkajších vzťahov.</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rPr>
          <w:noProof/>
        </w:rPr>
      </w:pPr>
      <w:r>
        <w:rPr>
          <w:noProof/>
        </w:rPr>
        <w:t>Právnym základom pre tento návrh je článok 31 Zmluvy o fungovaní Európskej únie (ZFEÚ).</w:t>
      </w:r>
    </w:p>
    <w:p>
      <w:pPr>
        <w:pStyle w:val="ManualHeading2"/>
        <w:rPr>
          <w:noProof/>
        </w:rPr>
      </w:pPr>
      <w:r>
        <w:rPr>
          <w:noProof/>
        </w:rPr>
        <w:t>•</w:t>
      </w:r>
      <w:r>
        <w:rPr>
          <w:noProof/>
        </w:rPr>
        <w:tab/>
        <w:t>Subsidiarita (v prípade inej ako výlučnej právomoci)</w:t>
      </w:r>
    </w:p>
    <w:p>
      <w:pPr>
        <w:rPr>
          <w:noProof/>
        </w:rPr>
      </w:pPr>
      <w:r>
        <w:rPr>
          <w:noProof/>
        </w:rPr>
        <w:t>Návrh patrí do výlučnej právomoci Únie. Zásada subsidiarity sa preto neuplatňuje.</w:t>
      </w:r>
    </w:p>
    <w:p>
      <w:pPr>
        <w:pStyle w:val="ManualHeading2"/>
        <w:rPr>
          <w:rFonts w:eastAsia="Arial Unicode MS"/>
          <w:noProof/>
          <w:u w:color="000000"/>
          <w:bdr w:val="nil"/>
        </w:rPr>
      </w:pPr>
      <w:r>
        <w:rPr>
          <w:noProof/>
        </w:rPr>
        <w:t>•</w:t>
      </w:r>
      <w:r>
        <w:rPr>
          <w:noProof/>
        </w:rPr>
        <w:tab/>
        <w:t>Proporcionalita</w:t>
      </w:r>
    </w:p>
    <w:p>
      <w:pPr>
        <w:rPr>
          <w:noProof/>
        </w:rPr>
      </w:pPr>
      <w:r>
        <w:rPr>
          <w:noProof/>
        </w:rPr>
        <w:t>Návrh je v súlade so zásadou proporcionality. Plánované opatrenia sú v súlade so zásadami stanovenými s cieľom zjednodušiť postupy pre hospodárske subjekty pôsobiace v zahraničnom obchode, ako sa uvádza v oznámení Komisie o pozastavení uplatňovania autonómnych ciel a autonómnych colných kvótach</w:t>
      </w:r>
      <w:bookmarkStart w:id="1" w:name="_Ref5357254"/>
      <w:r>
        <w:rPr>
          <w:rStyle w:val="FootnoteReference"/>
          <w:noProof/>
        </w:rPr>
        <w:footnoteReference w:id="1"/>
      </w:r>
      <w:bookmarkEnd w:id="1"/>
      <w:r>
        <w:rPr>
          <w:noProof/>
        </w:rPr>
        <w:t>. V súlade s článkom 5 ods. 4 Zmluvy o Európskej únii (ZEÚ) toto nariadenie neprekračuje rámec toho, čo je nevyhnutné na dosiahnutie vytýčených cieľov.</w:t>
      </w:r>
    </w:p>
    <w:p>
      <w:pPr>
        <w:pStyle w:val="ManualHeading2"/>
        <w:rPr>
          <w:rFonts w:eastAsia="Arial Unicode MS"/>
          <w:noProof/>
          <w:u w:color="000000"/>
          <w:bdr w:val="nil"/>
        </w:rPr>
      </w:pPr>
      <w:r>
        <w:rPr>
          <w:noProof/>
        </w:rPr>
        <w:lastRenderedPageBreak/>
        <w:t>•</w:t>
      </w:r>
      <w:r>
        <w:rPr>
          <w:noProof/>
        </w:rPr>
        <w:tab/>
        <w:t>Výber nástroja</w:t>
      </w:r>
    </w:p>
    <w:p>
      <w:pPr>
        <w:rPr>
          <w:noProof/>
        </w:rPr>
      </w:pPr>
      <w:r>
        <w:rPr>
          <w:noProof/>
        </w:rPr>
        <w:t>Podľa článku 31 Zmluvy o fungovaní Európskej únie (ZFEÚ) „Clá Spoločného colného sadzobníka určí Rada na návrh Komisie“. Vhodným nástrojom je preto nariadenie.</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rPr>
          <w:noProof/>
        </w:rPr>
      </w:pPr>
      <w:r>
        <w:rPr>
          <w:noProof/>
        </w:rPr>
        <w:t>Celý systém pozastavení autonómnych ciel bol predmetom hodnotiacej štúdie, ktorá bola vykonaná v roku 2013. V hodnotení sa dospelo k záveru, že hlavný dôvod existencie tohto systému pretrváva. Úspory nákladov pre podniky z EÚ, ktoré dovážajú tovar v rámci tohto systému, môžu byť značné. Tieto úspory zasa môžu viesť k prínosom širšieho rozsahu, napr. k väčšej konkurencieschopnosti, efektívnejším výrobným metódam a vytváraniu alebo zachovaniu pracovných miest v Únii, v závislosti od výrobku, spoločnosti a odvetvia. Podrobné údaje o úsporách vyplývajúcich z tohto nariadenia sú uvedené v pripojenom legislatívnom finančnom výkaze.</w:t>
      </w:r>
    </w:p>
    <w:p>
      <w:pPr>
        <w:pStyle w:val="ManualHeading2"/>
        <w:rPr>
          <w:rFonts w:eastAsia="Arial Unicode MS"/>
          <w:noProof/>
          <w:u w:color="000000"/>
          <w:bdr w:val="nil"/>
        </w:rPr>
      </w:pPr>
      <w:r>
        <w:rPr>
          <w:noProof/>
        </w:rPr>
        <w:t>•</w:t>
      </w:r>
      <w:r>
        <w:rPr>
          <w:noProof/>
        </w:rPr>
        <w:tab/>
        <w:t>Konzultácie so zainteresovanými stranami</w:t>
      </w:r>
    </w:p>
    <w:p>
      <w:pPr>
        <w:rPr>
          <w:rFonts w:eastAsia="Calibri"/>
          <w:noProof/>
        </w:rPr>
      </w:pPr>
      <w:r>
        <w:rPr>
          <w:noProof/>
        </w:rPr>
        <w:t>Komisia vykonala posúdenie tohto návrhu za pomoci skupiny pre otázky colného hospodárstva, ktorá je zložená z delegácií zo všetkých členských štátov a z Turecka. Kým sa dosiahla dohoda o zmenách uvedených v tomto návrhu, uskutočnili sa tri zasadnutia skupiny.</w:t>
      </w:r>
    </w:p>
    <w:p>
      <w:pPr>
        <w:rPr>
          <w:rFonts w:eastAsia="Calibri"/>
          <w:noProof/>
        </w:rPr>
      </w:pPr>
      <w:r>
        <w:rPr>
          <w:noProof/>
        </w:rPr>
        <w:t>Skupina dôkladne posúdila každú žiadosť (novú alebo žiadosť o zmenu). Osobitne preskúmala každý prípad so zreteľom na to, aby nespôsobil výrobcom z Únie škodu a znamenal posilnenie a upevnenie konkurencieschopnosti výroby Únie. Členovia skupiny pre otázky colného hospodárstva vykonali posúdenie prostredníctvom diskusií a členské štáty uskutočnili konzultácie s dotknutými výrobnými odvetviami, združeniami, obchodnými komorami a ďalšími zapojenými zainteresovanými stranami.</w:t>
      </w:r>
    </w:p>
    <w:p>
      <w:pPr>
        <w:rPr>
          <w:noProof/>
        </w:rPr>
      </w:pPr>
      <w:r>
        <w:rPr>
          <w:noProof/>
        </w:rPr>
        <w:t>Všetky uvedené pozastavenia ciel boli predmetom dohôd alebo kompromisov, ktoré sa dosiahli v diskusiách skupiny pre otázky colného hospodárstva. Neboli uvedené žiadne potenciálne závažné riziká s nezvratnými následkami.</w:t>
      </w:r>
    </w:p>
    <w:p>
      <w:pPr>
        <w:pStyle w:val="ManualHeading2"/>
        <w:rPr>
          <w:rFonts w:eastAsia="Arial Unicode MS"/>
          <w:noProof/>
          <w:u w:color="000000"/>
          <w:bdr w:val="nil"/>
        </w:rPr>
      </w:pPr>
      <w:r>
        <w:rPr>
          <w:noProof/>
        </w:rPr>
        <w:t>•</w:t>
      </w:r>
      <w:r>
        <w:rPr>
          <w:noProof/>
        </w:rPr>
        <w:tab/>
        <w:t>Posúdenie vplyvu</w:t>
      </w:r>
    </w:p>
    <w:p>
      <w:pPr>
        <w:rPr>
          <w:noProof/>
        </w:rPr>
      </w:pPr>
      <w:r>
        <w:rPr>
          <w:noProof/>
        </w:rPr>
        <w:t>Navrhovaná zmena je čisto technickej povahy a týka sa len rozsahu pozastavení uvedených v prílohe k nariadeniu Rady (EÚ) č. 1387/2013. V súvislosti s týmto návrhom sa preto nevykonalo posúdenie vplyvu.</w:t>
      </w:r>
    </w:p>
    <w:p>
      <w:pPr>
        <w:pStyle w:val="ManualHeading2"/>
        <w:rPr>
          <w:rFonts w:eastAsia="Arial Unicode MS"/>
          <w:noProof/>
          <w:u w:color="000000"/>
          <w:bdr w:val="nil"/>
        </w:rPr>
      </w:pPr>
      <w:r>
        <w:rPr>
          <w:noProof/>
        </w:rPr>
        <w:t>•</w:t>
      </w:r>
      <w:r>
        <w:rPr>
          <w:noProof/>
        </w:rPr>
        <w:tab/>
        <w:t>Základné práva</w:t>
      </w:r>
    </w:p>
    <w:p>
      <w:pPr>
        <w:rPr>
          <w:noProof/>
        </w:rPr>
      </w:pPr>
      <w:r>
        <w:rPr>
          <w:noProof/>
        </w:rPr>
        <w:t>Návrh nemá žiadny vplyv na základné práva.</w:t>
      </w:r>
    </w:p>
    <w:p>
      <w:pPr>
        <w:pStyle w:val="ManualHeading1"/>
        <w:rPr>
          <w:noProof/>
        </w:rPr>
      </w:pPr>
      <w:r>
        <w:rPr>
          <w:noProof/>
        </w:rPr>
        <w:t>4.</w:t>
      </w:r>
      <w:r>
        <w:rPr>
          <w:noProof/>
        </w:rPr>
        <w:tab/>
        <w:t>VPLYV NA ROZPOČET</w:t>
      </w:r>
    </w:p>
    <w:p>
      <w:pPr>
        <w:rPr>
          <w:noProof/>
        </w:rPr>
      </w:pPr>
      <w:r>
        <w:rPr>
          <w:noProof/>
        </w:rPr>
        <w:t>Tento návrh nemá finančný vplyv na výdavky, ale má finančný vplyv na príjmy. Nevybrané clá dosahujú celkovo približne 27,8 milióna EUR ročne. Vplyv na tradičné vlastné zdroje rozpočtu predstavuje 22,2 milióna EUR ročne (t. j. 80 % celej sumy). Podrobnejšie údaje o vplyve tohto návrhu na rozpočet sa uvádzajú v legislatívnom finančnom výkaze.</w:t>
      </w:r>
    </w:p>
    <w:p>
      <w:pPr>
        <w:rPr>
          <w:noProof/>
        </w:rPr>
      </w:pPr>
      <w:r>
        <w:rPr>
          <w:noProof/>
        </w:rPr>
        <w:t>Strata príjmov plynúcich do tradičných vlastných zdrojov sa vyrovná príspevkami členských štátov do vlastného zdroja založeného na hrubom národnom dôchodku (HND).</w:t>
      </w:r>
    </w:p>
    <w:p>
      <w:pPr>
        <w:pStyle w:val="ManualHeading1"/>
        <w:rPr>
          <w:noProof/>
        </w:rPr>
      </w:pPr>
      <w:r>
        <w:rPr>
          <w:noProof/>
        </w:rPr>
        <w:lastRenderedPageBreak/>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rPr>
          <w:noProof/>
        </w:rPr>
      </w:pPr>
      <w:r>
        <w:rPr>
          <w:noProof/>
        </w:rPr>
        <w:t>Navrhované opatrenia sa spravujú v rámci Integrovaného sadzobníka Európskej únie TARIC a uplatňujú ich colné správy členských štátov.</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2019/0106 (NLE)</w:t>
      </w:r>
    </w:p>
    <w:p>
      <w:pPr>
        <w:pStyle w:val="Statut"/>
        <w:rPr>
          <w:noProof/>
        </w:rPr>
      </w:pPr>
      <w:r>
        <w:rPr>
          <w:noProof/>
        </w:rPr>
        <w:t>Návrh</w:t>
      </w:r>
    </w:p>
    <w:p>
      <w:pPr>
        <w:pStyle w:val="Typedudocument"/>
        <w:rPr>
          <w:noProof/>
        </w:rPr>
      </w:pPr>
      <w:r>
        <w:rPr>
          <w:noProof/>
        </w:rPr>
        <w:t>NARIADENIE RADY,</w:t>
      </w:r>
    </w:p>
    <w:p>
      <w:pPr>
        <w:pStyle w:val="Titreobjet"/>
        <w:rPr>
          <w:noProof/>
        </w:rPr>
      </w:pPr>
      <w:r>
        <w:rPr>
          <w:noProof/>
        </w:rPr>
        <w:t>ktorým sa mení nariadenie (EÚ) č. 1387/2013, ktorým sa pozastavujú autonómne clá Spoločného colného sadzobníka v prípade určitých poľnohospodárskych a priemyselných výrobkov</w:t>
      </w:r>
    </w:p>
    <w:p>
      <w:pPr>
        <w:pStyle w:val="Institutionquiagit"/>
        <w:rPr>
          <w:noProof/>
        </w:rPr>
      </w:pPr>
      <w:r>
        <w:rPr>
          <w:noProof/>
        </w:rPr>
        <w:t>RADA EURÓPSKEJ ÚNIE,</w:t>
      </w:r>
    </w:p>
    <w:p>
      <w:pPr>
        <w:rPr>
          <w:noProof/>
        </w:rPr>
      </w:pPr>
      <w:r>
        <w:rPr>
          <w:noProof/>
        </w:rPr>
        <w:t>so zreteľom na Zmluvu o fungovaní Európskej únie, a najmä na jej článok 31,</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S cieľom zabezpečiť dostatočné a neprerušované dodávky určitých poľnohospodárskych a priemyselných výrobkov, ktoré sú v Únii nedostupné, a vyhnúť sa tak akýmkoľvek narušeniam trhu s uvedenými výrobkami, sa nariadením Rady (EÚ) č. 1387/2013 pozastavili autonómne clá Spoločného colného sadzobníka na uvedené výrobky</w:t>
      </w:r>
      <w:r>
        <w:rPr>
          <w:rStyle w:val="FootnoteReference"/>
          <w:noProof/>
        </w:rPr>
        <w:footnoteReference w:id="2"/>
      </w:r>
      <w:r>
        <w:rPr>
          <w:noProof/>
        </w:rPr>
        <w:t>. Uvedené výrobky sa môžu dovážať do Únie so zníženými alebo s nulovými colnými sadzbami.</w:t>
      </w:r>
    </w:p>
    <w:p>
      <w:pPr>
        <w:pStyle w:val="ManualConsidrant"/>
        <w:rPr>
          <w:noProof/>
        </w:rPr>
      </w:pPr>
      <w:r>
        <w:t>(2)</w:t>
      </w:r>
      <w:r>
        <w:tab/>
      </w:r>
      <w:r>
        <w:rPr>
          <w:noProof/>
        </w:rPr>
        <w:t>Výroba 97 výrobkov v Únii, ktoré v súčasnosti nie sú uvedené v prílohe k nariadeniu (EÚ) č. 1387/2013, nezodpovedá dopytu alebo neexistuje. V záujme Únie je preto úplne pozastaviť uplatňovanie autonómnych ciel Spoločného colného sadzobníka na tieto výrobky.</w:t>
      </w:r>
    </w:p>
    <w:p>
      <w:pPr>
        <w:pStyle w:val="ManualConsidrant"/>
        <w:rPr>
          <w:noProof/>
        </w:rPr>
      </w:pPr>
      <w:r>
        <w:t>(3)</w:t>
      </w:r>
      <w:r>
        <w:tab/>
      </w:r>
      <w:r>
        <w:rPr>
          <w:noProof/>
        </w:rPr>
        <w:t>S cieľom zohľadniť technický vývoj výrobkov a hospodárske trendy na trhu treba zmeniť podmienky pozastavenia autonómnych ciel Spoločného colného sadzobníka v prípade 47 výrobkov v súčasnosti uvedených v prílohe k nariadeniu (EÚ) č. 1387/2013.</w:t>
      </w:r>
    </w:p>
    <w:p>
      <w:pPr>
        <w:pStyle w:val="ManualConsidrant"/>
        <w:rPr>
          <w:noProof/>
        </w:rPr>
      </w:pPr>
      <w:r>
        <w:t>(4)</w:t>
      </w:r>
      <w:r>
        <w:tab/>
      </w:r>
      <w:r>
        <w:rPr>
          <w:noProof/>
        </w:rPr>
        <w:t>V prípade 26 výrobkov, ktoré sú v súčasnosti uvedené v prílohe k nariadeniu (EÚ) č. 1387/2013, už nie je v záujme Únie zachovať pozastavenie autonómnych ciel Spoločného colného sadzobníka. Okrem toho by sa vzhľadom na podporu integrovanej výroby batérií v Únii a v súlade s cieľmi politiky Európskej únie v tejto oblasti</w:t>
      </w:r>
      <w:r>
        <w:rPr>
          <w:rStyle w:val="FootnoteReference"/>
          <w:noProof/>
        </w:rPr>
        <w:footnoteReference w:id="3"/>
      </w:r>
      <w:r>
        <w:rPr>
          <w:noProof/>
        </w:rPr>
        <w:t xml:space="preserve"> mali pozastavenia v prípade ďalších 20 výrobkov zrušiť. Ďalších 50 pozastavení by sa malo navyše z prílohy vypustiť v dôsledku vykonávania dohody vo forme Vyhlásenia o rozšírení obchodu s produktmi informačných technológií</w:t>
      </w:r>
      <w:r>
        <w:rPr>
          <w:rStyle w:val="FootnoteReference"/>
          <w:noProof/>
        </w:rPr>
        <w:footnoteReference w:id="4"/>
      </w:r>
      <w:r>
        <w:rPr>
          <w:noProof/>
        </w:rPr>
        <w:t>, ktorou sa colná sadzba na dotknuté výrobky znížila na nulu.</w:t>
      </w:r>
    </w:p>
    <w:p>
      <w:pPr>
        <w:pStyle w:val="ManualConsidrant"/>
        <w:rPr>
          <w:noProof/>
        </w:rPr>
      </w:pPr>
      <w:r>
        <w:t>(5)</w:t>
      </w:r>
      <w:r>
        <w:tab/>
      </w:r>
      <w:r>
        <w:rPr>
          <w:noProof/>
        </w:rPr>
        <w:t>Nariadenie (EÚ) č. 1387/2013 by sa preto malo zodpovedajúcim spôsobom zmeniť.</w:t>
      </w:r>
    </w:p>
    <w:p>
      <w:pPr>
        <w:pStyle w:val="ManualConsidrant"/>
        <w:rPr>
          <w:noProof/>
        </w:rPr>
      </w:pPr>
      <w:r>
        <w:t>(6)</w:t>
      </w:r>
      <w:r>
        <w:tab/>
      </w:r>
      <w:r>
        <w:rPr>
          <w:noProof/>
        </w:rPr>
        <w:t xml:space="preserve">S cieľom predísť akémukoľvek prerušeniu uplatňovania systému pozastavení autonómnych ciel a dodržať usmernenia uvedené v oznámení Komisie o pozastavení </w:t>
      </w:r>
      <w:r>
        <w:rPr>
          <w:noProof/>
        </w:rPr>
        <w:lastRenderedPageBreak/>
        <w:t>uplatňovania autonómnych ciel a autonómnych colných kvótach</w:t>
      </w:r>
      <w:r>
        <w:rPr>
          <w:rStyle w:val="FootnoteReference"/>
          <w:noProof/>
        </w:rPr>
        <w:footnoteReference w:id="5"/>
      </w:r>
      <w:r>
        <w:rPr>
          <w:noProof/>
        </w:rPr>
        <w:t xml:space="preserve"> sa zmeny týkajúce sa pozastavení ciel na dotknuté výrobky stanovené v tomto nariadení musia uplatňovať od 1. júla 2019. Nariadenie by preto malo nadobudnúť účinnosť čo najskôr,</w:t>
      </w:r>
    </w:p>
    <w:p>
      <w:pPr>
        <w:pStyle w:val="Formuledadoption"/>
        <w:rPr>
          <w:noProof/>
        </w:rPr>
      </w:pPr>
      <w:r>
        <w:rPr>
          <w:noProof/>
        </w:rPr>
        <w:t>PRIJALA TOTO NARIADENIE:</w:t>
      </w:r>
    </w:p>
    <w:p>
      <w:pPr>
        <w:pStyle w:val="Titrearticle"/>
        <w:rPr>
          <w:noProof/>
        </w:rPr>
      </w:pPr>
      <w:r>
        <w:rPr>
          <w:noProof/>
        </w:rPr>
        <w:t>Článok 1</w:t>
      </w:r>
    </w:p>
    <w:p>
      <w:pPr>
        <w:rPr>
          <w:noProof/>
        </w:rPr>
      </w:pPr>
      <w:r>
        <w:rPr>
          <w:noProof/>
        </w:rPr>
        <w:t>Príloha k nariadeniu (EÚ) č. 1387/2013 sa mení takto:</w:t>
      </w:r>
    </w:p>
    <w:p>
      <w:pPr>
        <w:pStyle w:val="ManualNumPar1"/>
        <w:rPr>
          <w:noProof/>
        </w:rPr>
      </w:pPr>
      <w:r>
        <w:t>1.</w:t>
      </w:r>
      <w:r>
        <w:tab/>
      </w:r>
      <w:r>
        <w:rPr>
          <w:noProof/>
        </w:rPr>
        <w:t>Všetky hviezdičky v tabuľke a poznámka na konci (*) obsahujúca text „Nová položka, zmenená položka alebo položka, ktorej platnosť bola predĺžená.“ sa vypúšťajú.</w:t>
      </w:r>
    </w:p>
    <w:p>
      <w:pPr>
        <w:pStyle w:val="ManualNumPar1"/>
        <w:rPr>
          <w:noProof/>
        </w:rPr>
      </w:pPr>
      <w:r>
        <w:t>2.</w:t>
      </w:r>
      <w:r>
        <w:tab/>
      </w:r>
      <w:r>
        <w:rPr>
          <w:noProof/>
        </w:rPr>
        <w:t>V tabuľke sa vypúšťajú riadky týkajúce sa výrobkov, ktorých číselné znaky KN a kódy TARIC sú uvedené v prílohe I k tomuto nariadeniu.</w:t>
      </w:r>
    </w:p>
    <w:p>
      <w:pPr>
        <w:pStyle w:val="ManualNumPar1"/>
        <w:rPr>
          <w:noProof/>
        </w:rPr>
      </w:pPr>
      <w:r>
        <w:t>3.</w:t>
      </w:r>
      <w:r>
        <w:tab/>
      </w:r>
      <w:r>
        <w:rPr>
          <w:noProof/>
        </w:rPr>
        <w:t>Riadky týkajúce sa výrobkov uvedených v prílohe II k tomuto nariadeniu sa vkladajú do tabuľky podľa poradia číselných znakov KN a kódov TARIC uvedených v prvom, resp. druhom stĺpci uvedenej tabuľky.</w:t>
      </w:r>
    </w:p>
    <w:p>
      <w:pPr>
        <w:pStyle w:val="Titrearticle"/>
        <w:rPr>
          <w:noProof/>
        </w:rPr>
      </w:pPr>
      <w:r>
        <w:rPr>
          <w:noProof/>
        </w:rPr>
        <w:t>Článok 2</w:t>
      </w:r>
    </w:p>
    <w:p>
      <w:pPr>
        <w:rPr>
          <w:noProof/>
        </w:rPr>
      </w:pPr>
      <w:r>
        <w:rPr>
          <w:noProof/>
        </w:rPr>
        <w:t>Toto nariadenie nadobúda účinnosť dňom jeho uverejnenia v </w:t>
      </w:r>
      <w:r>
        <w:rPr>
          <w:i/>
          <w:noProof/>
        </w:rPr>
        <w:t>Úradnom vestníku Európskej únie</w:t>
      </w:r>
      <w:r>
        <w:rPr>
          <w:noProof/>
        </w:rPr>
        <w:t>.</w:t>
      </w:r>
    </w:p>
    <w:p>
      <w:pPr>
        <w:rPr>
          <w:noProof/>
        </w:rPr>
      </w:pPr>
      <w:r>
        <w:rPr>
          <w:noProof/>
        </w:rPr>
        <w:t>Uplatňuje sa od 1. júla 2019.</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predseda/predsedníčka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LEGISLATÍVNY FINANČNÝ VÝKAZ</w:t>
      </w:r>
    </w:p>
    <w:p>
      <w:pPr>
        <w:pStyle w:val="ManualHeading1"/>
        <w:rPr>
          <w:bCs/>
          <w:noProof/>
          <w:szCs w:val="24"/>
        </w:rPr>
      </w:pPr>
      <w:r>
        <w:t>1.</w:t>
      </w:r>
      <w:r>
        <w:tab/>
      </w:r>
      <w:r>
        <w:rPr>
          <w:noProof/>
        </w:rPr>
        <w:t>NÁZOV NÁVRHU:</w:t>
      </w:r>
    </w:p>
    <w:p>
      <w:pPr>
        <w:pStyle w:val="Text1"/>
        <w:rPr>
          <w:noProof/>
        </w:rPr>
      </w:pPr>
      <w:r>
        <w:rPr>
          <w:noProof/>
        </w:rPr>
        <w:t>Nariadenie Rady, ktorým sa mení nariadenie (EÚ) č. 1387/2013, ktorým sa pozastavujú autonómne clá Spoločného colného sadzobníka v prípade určitých poľnohospodárskych a priemyselných výrobkov</w:t>
      </w:r>
    </w:p>
    <w:p>
      <w:pPr>
        <w:pStyle w:val="ManualHeading1"/>
        <w:rPr>
          <w:noProof/>
          <w:szCs w:val="24"/>
        </w:rPr>
      </w:pPr>
      <w:r>
        <w:t>2.</w:t>
      </w:r>
      <w:r>
        <w:tab/>
      </w:r>
      <w:r>
        <w:rPr>
          <w:noProof/>
        </w:rPr>
        <w:t>ROZPOČTOVÉ RIADKY:</w:t>
      </w:r>
    </w:p>
    <w:p>
      <w:pPr>
        <w:pStyle w:val="Text1"/>
        <w:rPr>
          <w:noProof/>
        </w:rPr>
      </w:pPr>
      <w:r>
        <w:rPr>
          <w:noProof/>
        </w:rPr>
        <w:t>Kapitola a článok: kapitola 12, článok 120</w:t>
      </w:r>
    </w:p>
    <w:p>
      <w:pPr>
        <w:pStyle w:val="Text1"/>
        <w:rPr>
          <w:noProof/>
        </w:rPr>
      </w:pPr>
      <w:r>
        <w:rPr>
          <w:noProof/>
        </w:rPr>
        <w:t>Suma zahrnutá do rozpočtu na rok 2019: 21 471 164 786 EUR</w:t>
      </w:r>
    </w:p>
    <w:p>
      <w:pPr>
        <w:pStyle w:val="ManualHeading1"/>
        <w:rPr>
          <w:bCs/>
          <w:noProof/>
          <w:szCs w:val="24"/>
        </w:rPr>
      </w:pPr>
      <w:r>
        <w:t>3.</w:t>
      </w:r>
      <w:r>
        <w:tab/>
      </w:r>
      <w:r>
        <w:rPr>
          <w:noProof/>
        </w:rPr>
        <w:t>FINANČNÝ VPLYV</w:t>
      </w:r>
    </w:p>
    <w:p>
      <w:pPr>
        <w:pStyle w:val="Text1"/>
        <w:rPr>
          <w:noProof/>
        </w:rPr>
      </w:pPr>
      <w:r>
        <w:rPr>
          <w:noProof/>
        </w:rPr>
        <w:sym w:font="Wingdings" w:char="F0A8"/>
      </w:r>
      <w:r>
        <w:rPr>
          <w:noProof/>
        </w:rPr>
        <w:tab/>
        <w:t>Návrh nemá finančný vplyv</w:t>
      </w:r>
    </w:p>
    <w:p>
      <w:pPr>
        <w:pStyle w:val="Text1"/>
        <w:rPr>
          <w:noProof/>
        </w:rPr>
      </w:pPr>
      <w:r>
        <w:rPr>
          <w:noProof/>
        </w:rPr>
        <w:t>X Návrh nemá finančný vplyv na výdavky, ale má finančný vplyv na príjmy, a to s týmto účinkom:</w:t>
      </w:r>
    </w:p>
    <w:p>
      <w:pPr>
        <w:jc w:val="right"/>
        <w:rPr>
          <w:noProof/>
        </w:rPr>
      </w:pPr>
      <w:r>
        <w:rPr>
          <w:noProof/>
        </w:rPr>
        <w:t>(v mil. EUR zaokrúhlené na 1 desatinné miesto</w:t>
      </w:r>
      <w:r>
        <w:rPr>
          <w:rStyle w:val="FootnoteReference"/>
          <w:noProof/>
        </w:rPr>
        <w:footnoteReference w:id="6"/>
      </w:r>
      <w:r>
        <w:rPr>
          <w:noProof/>
        </w:rPr>
        <w:t>)</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2"/>
        <w:gridCol w:w="2880"/>
        <w:gridCol w:w="2070"/>
        <w:gridCol w:w="2070"/>
      </w:tblGrid>
      <w:tr>
        <w:trPr>
          <w:gridAfter w:val="2"/>
          <w:wAfter w:w="4140" w:type="dxa"/>
          <w:cantSplit/>
        </w:trPr>
        <w:tc>
          <w:tcPr>
            <w:tcW w:w="1322" w:type="dxa"/>
          </w:tcPr>
          <w:p>
            <w:pPr>
              <w:spacing w:before="0" w:after="0"/>
              <w:jc w:val="left"/>
              <w:rPr>
                <w:noProof/>
                <w:snapToGrid w:val="0"/>
                <w:sz w:val="18"/>
              </w:rPr>
            </w:pPr>
          </w:p>
        </w:tc>
        <w:tc>
          <w:tcPr>
            <w:tcW w:w="2880" w:type="dxa"/>
          </w:tcPr>
          <w:p>
            <w:pPr>
              <w:spacing w:before="0" w:after="0"/>
              <w:jc w:val="left"/>
              <w:rPr>
                <w:noProof/>
                <w:snapToGrid w:val="0"/>
                <w:sz w:val="18"/>
              </w:rPr>
            </w:pPr>
          </w:p>
        </w:tc>
      </w:tr>
      <w:tr>
        <w:trPr>
          <w:cantSplit/>
        </w:trPr>
        <w:tc>
          <w:tcPr>
            <w:tcW w:w="1322" w:type="dxa"/>
          </w:tcPr>
          <w:p>
            <w:pPr>
              <w:spacing w:before="0" w:after="0"/>
              <w:jc w:val="left"/>
              <w:rPr>
                <w:noProof/>
                <w:snapToGrid w:val="0"/>
              </w:rPr>
            </w:pPr>
            <w:r>
              <w:rPr>
                <w:noProof/>
                <w:sz w:val="22"/>
              </w:rPr>
              <w:t>Rozpočtový riadok</w:t>
            </w:r>
          </w:p>
        </w:tc>
        <w:tc>
          <w:tcPr>
            <w:tcW w:w="2880" w:type="dxa"/>
          </w:tcPr>
          <w:p>
            <w:pPr>
              <w:spacing w:before="0" w:after="0"/>
              <w:jc w:val="center"/>
              <w:rPr>
                <w:noProof/>
                <w:snapToGrid w:val="0"/>
              </w:rPr>
            </w:pPr>
            <w:r>
              <w:rPr>
                <w:noProof/>
                <w:sz w:val="22"/>
              </w:rPr>
              <w:t>Príjmy</w:t>
            </w:r>
            <w:r>
              <w:rPr>
                <w:rStyle w:val="FootnoteReference"/>
                <w:noProof/>
                <w:snapToGrid w:val="0"/>
                <w:sz w:val="22"/>
              </w:rPr>
              <w:footnoteReference w:id="7"/>
            </w:r>
          </w:p>
          <w:p>
            <w:pPr>
              <w:spacing w:before="0" w:after="0"/>
              <w:jc w:val="center"/>
              <w:rPr>
                <w:noProof/>
                <w:snapToGrid w:val="0"/>
              </w:rPr>
            </w:pPr>
          </w:p>
        </w:tc>
        <w:tc>
          <w:tcPr>
            <w:tcW w:w="2070" w:type="dxa"/>
            <w:shd w:val="clear" w:color="auto" w:fill="auto"/>
          </w:tcPr>
          <w:p>
            <w:pPr>
              <w:spacing w:before="0" w:after="0"/>
              <w:jc w:val="center"/>
              <w:rPr>
                <w:noProof/>
                <w:snapToGrid w:val="0"/>
              </w:rPr>
            </w:pPr>
            <w:r>
              <w:rPr>
                <w:noProof/>
                <w:sz w:val="22"/>
              </w:rPr>
              <w:t>6 mesačné obdobie začínajúce dd/mm/rrrrr</w:t>
            </w:r>
          </w:p>
        </w:tc>
        <w:tc>
          <w:tcPr>
            <w:tcW w:w="2070" w:type="dxa"/>
            <w:shd w:val="clear" w:color="auto" w:fill="auto"/>
          </w:tcPr>
          <w:p>
            <w:pPr>
              <w:jc w:val="center"/>
              <w:rPr>
                <w:noProof/>
              </w:rPr>
            </w:pPr>
            <w:r>
              <w:rPr>
                <w:noProof/>
              </w:rPr>
              <w:t>[Rok: druhá polovica roku 2019]</w:t>
            </w:r>
          </w:p>
          <w:p>
            <w:pPr>
              <w:spacing w:before="0" w:after="0"/>
              <w:jc w:val="center"/>
              <w:rPr>
                <w:noProof/>
                <w:snapToGrid w:val="0"/>
              </w:rPr>
            </w:pPr>
          </w:p>
        </w:tc>
      </w:tr>
      <w:tr>
        <w:trPr>
          <w:cantSplit/>
        </w:trPr>
        <w:tc>
          <w:tcPr>
            <w:tcW w:w="1322" w:type="dxa"/>
            <w:shd w:val="clear" w:color="auto" w:fill="auto"/>
          </w:tcPr>
          <w:p>
            <w:pPr>
              <w:spacing w:before="0" w:after="0"/>
              <w:jc w:val="left"/>
              <w:rPr>
                <w:noProof/>
                <w:sz w:val="22"/>
              </w:rPr>
            </w:pPr>
            <w:r>
              <w:rPr>
                <w:noProof/>
                <w:sz w:val="22"/>
              </w:rPr>
              <w:t>Článok 120</w:t>
            </w:r>
          </w:p>
          <w:p>
            <w:pPr>
              <w:spacing w:before="0" w:after="0"/>
              <w:jc w:val="left"/>
              <w:rPr>
                <w:noProof/>
                <w:snapToGrid w:val="0"/>
              </w:rPr>
            </w:pPr>
          </w:p>
        </w:tc>
        <w:tc>
          <w:tcPr>
            <w:tcW w:w="2880" w:type="dxa"/>
          </w:tcPr>
          <w:p>
            <w:pPr>
              <w:spacing w:before="0" w:after="0"/>
              <w:jc w:val="left"/>
              <w:rPr>
                <w:i/>
                <w:noProof/>
                <w:snapToGrid w:val="0"/>
              </w:rPr>
            </w:pPr>
            <w:r>
              <w:rPr>
                <w:i/>
                <w:noProof/>
                <w:sz w:val="22"/>
              </w:rPr>
              <w:t>vplyv na vlastné zdroje</w:t>
            </w:r>
          </w:p>
        </w:tc>
        <w:tc>
          <w:tcPr>
            <w:tcW w:w="2070" w:type="dxa"/>
            <w:shd w:val="clear" w:color="auto" w:fill="auto"/>
          </w:tcPr>
          <w:p>
            <w:pPr>
              <w:spacing w:before="0" w:after="0"/>
              <w:jc w:val="left"/>
              <w:rPr>
                <w:noProof/>
                <w:snapToGrid w:val="0"/>
              </w:rPr>
            </w:pPr>
            <w:r>
              <w:rPr>
                <w:noProof/>
                <w:snapToGrid w:val="0"/>
                <w:sz w:val="22"/>
              </w:rPr>
              <w:t xml:space="preserve">      1/7/2019</w:t>
            </w:r>
          </w:p>
        </w:tc>
        <w:tc>
          <w:tcPr>
            <w:tcW w:w="2070" w:type="dxa"/>
            <w:shd w:val="clear" w:color="auto" w:fill="auto"/>
          </w:tcPr>
          <w:p>
            <w:pPr>
              <w:spacing w:before="0" w:after="0"/>
              <w:jc w:val="left"/>
              <w:rPr>
                <w:noProof/>
                <w:snapToGrid w:val="0"/>
              </w:rPr>
            </w:pPr>
            <w:r>
              <w:rPr>
                <w:noProof/>
                <w:snapToGrid w:val="0"/>
                <w:sz w:val="22"/>
              </w:rPr>
              <w:t xml:space="preserve">           –11,1</w:t>
            </w:r>
          </w:p>
        </w:tc>
      </w:tr>
    </w:tbl>
    <w:p>
      <w:pPr>
        <w:rPr>
          <w:b/>
          <w:i/>
          <w:noProof/>
          <w:snapToGrid w:val="0"/>
        </w:rPr>
      </w:pP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
        <w:gridCol w:w="1321"/>
        <w:gridCol w:w="823"/>
        <w:gridCol w:w="2144"/>
        <w:gridCol w:w="4106"/>
      </w:tblGrid>
      <w:tr>
        <w:trPr>
          <w:gridBefore w:val="1"/>
          <w:wBefore w:w="6" w:type="dxa"/>
          <w:cantSplit/>
        </w:trPr>
        <w:tc>
          <w:tcPr>
            <w:tcW w:w="8394" w:type="dxa"/>
            <w:gridSpan w:val="4"/>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Stav po akcii</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[2019 – 2023]</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rPr>
                <w:noProof/>
                <w:szCs w:val="24"/>
              </w:rPr>
            </w:pPr>
            <w:r>
              <w:rPr>
                <w:noProof/>
                <w:sz w:val="22"/>
              </w:rPr>
              <w:t>Článok 120</w:t>
            </w: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–22,2/ rok</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106" w:type="dxa"/>
        </w:trPr>
        <w:tc>
          <w:tcPr>
            <w:tcW w:w="21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r>
    </w:tbl>
    <w:p>
      <w:pPr>
        <w:pStyle w:val="Text1"/>
        <w:rPr>
          <w:noProof/>
        </w:rPr>
      </w:pPr>
      <w:r>
        <w:rPr>
          <w:noProof/>
        </w:rPr>
        <w:t>Príloha II obsahuje 97 nových výrobkov. Nevybrané clá zodpovedajúce týmto pozastaveniam vypočítané na základe prognóz členských štátov, ktoré predkladajú žiadosť, na obdobie 2019 až 2023, predstavujú sumu 28,1 mil. EUR/rok.</w:t>
      </w:r>
    </w:p>
    <w:p>
      <w:pPr>
        <w:pStyle w:val="Text1"/>
        <w:rPr>
          <w:noProof/>
        </w:rPr>
      </w:pPr>
      <w:r>
        <w:rPr>
          <w:noProof/>
        </w:rPr>
        <w:t>Na základe dostupných štatistík za predchádzajúce roky sa však javí, že túto sumu treba zvýšiť odhadom priemerne na 1,8-násobok, aby sa zohľadnil dovoz do iných členských štátov, ktoré využívajú rovnaké pozastavenia. Nevybrané clá teda predstavujú sumu asi 50,6 mil. EUR/rok.</w:t>
      </w:r>
    </w:p>
    <w:p>
      <w:pPr>
        <w:pStyle w:val="Text1"/>
        <w:rPr>
          <w:noProof/>
        </w:rPr>
      </w:pPr>
      <w:r>
        <w:rPr>
          <w:noProof/>
        </w:rPr>
        <w:lastRenderedPageBreak/>
        <w:t>V dôsledku znovuzavedenia ciel sa z tejto prílohy vypustilo 26 výrobkov. Na základe štatistík za rok 2018 to znamená odhadované zvýšenie vybraných ciel o 22,8 mil. EUR.</w:t>
      </w:r>
    </w:p>
    <w:p>
      <w:pPr>
        <w:pStyle w:val="Text1"/>
        <w:rPr>
          <w:noProof/>
        </w:rPr>
      </w:pPr>
      <w:r>
        <w:rPr>
          <w:noProof/>
        </w:rPr>
        <w:t>Na základe uvedeného sa vplyv na stratu príjmov pre rozpočet EÚ vyplývajúci z tohto nariadenia odhaduje na 50,6 – 22,8 = 27,8 mil. EUR (hrubá suma zahŕňajúca náklady na výber) x 0,8 = 22,2 mil. EUR/rok za obdobie od 1. 7. 2019 do 31. 12. 2023.</w:t>
      </w:r>
    </w:p>
    <w:p>
      <w:pPr>
        <w:pStyle w:val="ManualHeading1"/>
        <w:rPr>
          <w:bCs/>
          <w:noProof/>
          <w:szCs w:val="24"/>
        </w:rPr>
      </w:pPr>
      <w:r>
        <w:t>4.</w:t>
      </w:r>
      <w:r>
        <w:tab/>
      </w:r>
      <w:r>
        <w:rPr>
          <w:noProof/>
        </w:rPr>
        <w:t>OPATRENIA PROTI PODVODOM</w:t>
      </w:r>
    </w:p>
    <w:p>
      <w:pPr>
        <w:pStyle w:val="Text1"/>
        <w:rPr>
          <w:noProof/>
        </w:rPr>
      </w:pPr>
      <w:r>
        <w:rPr>
          <w:noProof/>
        </w:rPr>
        <w:t>Kontroly konečného použitia niektorých výrobkov, na ktoré sa vzťahuje toto nariadenie Rady, sa budú vykonávať v súlade s článkom 254 nariadenia Európskeho parlamentu a Rady (EÚ) č. 952/2013 z 9. októbra 2013, ktorým sa ustanovuje Colný kódex Únie.</w:t>
      </w:r>
    </w:p>
    <w:p>
      <w:pPr>
        <w:pStyle w:val="ManualHeading1"/>
        <w:rPr>
          <w:noProof/>
          <w:kern w:val="32"/>
          <w:szCs w:val="24"/>
        </w:rPr>
      </w:pPr>
      <w:r>
        <w:t>5.</w:t>
      </w:r>
      <w:r>
        <w:tab/>
      </w:r>
      <w:r>
        <w:rPr>
          <w:noProof/>
        </w:rPr>
        <w:t>POZNÁMKY</w:t>
      </w:r>
    </w:p>
    <w:p>
      <w:pPr>
        <w:pStyle w:val="Text1"/>
        <w:rPr>
          <w:noProof/>
        </w:rPr>
      </w:pPr>
      <w:r>
        <w:rPr>
          <w:noProof/>
        </w:rPr>
        <w:t>Strata príjmov z tradičných vlastných zdrojov sa vyrovná z príspevkov členských štátov založených na HND.</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EÚ C 363, 13.12.2011, s. 6.</w:t>
      </w:r>
    </w:p>
  </w:footnote>
  <w:footnote w:id="2">
    <w:p>
      <w:pPr>
        <w:pStyle w:val="FootnoteText"/>
      </w:pPr>
      <w:r>
        <w:rPr>
          <w:rStyle w:val="FootnoteReference"/>
        </w:rPr>
        <w:footnoteRef/>
      </w:r>
      <w:r>
        <w:tab/>
        <w:t>Nariadenie Rady (EÚ) č. </w:t>
      </w:r>
      <w:r>
        <w:rPr>
          <w:rStyle w:val="highlight"/>
        </w:rPr>
        <w:t>1387/2013</w:t>
      </w:r>
      <w:r>
        <w:t xml:space="preserve"> zo 17. decembra 2013, ktorým sa pozastavujú autonómne clá Spoločného colného sadzobníka v prípade určitých poľnohospodárskych a priemyselných výrobkov a ktorým sa zrušuje nariadenie (EÚ) č. 1344/2011 (Ú. v. EÚ L 354, 28.12.2013, s. 201).</w:t>
      </w:r>
    </w:p>
  </w:footnote>
  <w:footnote w:id="3">
    <w:p>
      <w:pPr>
        <w:pStyle w:val="FootnoteText"/>
      </w:pPr>
      <w:r>
        <w:rPr>
          <w:rStyle w:val="FootnoteReference"/>
        </w:rPr>
        <w:footnoteRef/>
      </w:r>
      <w:r>
        <w:tab/>
        <w:t>COM(2018) 293 final.</w:t>
      </w:r>
    </w:p>
  </w:footnote>
  <w:footnote w:id="4">
    <w:p>
      <w:pPr>
        <w:pStyle w:val="FootnoteText"/>
      </w:pPr>
      <w:r>
        <w:rPr>
          <w:rStyle w:val="FootnoteReference"/>
        </w:rPr>
        <w:footnoteRef/>
      </w:r>
      <w:r>
        <w:tab/>
      </w:r>
      <w:hyperlink r:id="rId1">
        <w:r>
          <w:rPr>
            <w:rStyle w:val="Hyperlink"/>
            <w:color w:val="auto"/>
            <w:u w:val="none"/>
            <w:shd w:val="clear" w:color="auto" w:fill="FFFFFF"/>
          </w:rPr>
          <w:t>Ú. v. EÚ L 161, 18.6.2016, s. 4</w:t>
        </w:r>
      </w:hyperlink>
      <w:r>
        <w:t>.</w:t>
      </w:r>
    </w:p>
  </w:footnote>
  <w:footnote w:id="5">
    <w:p>
      <w:pPr>
        <w:pStyle w:val="FootnoteText"/>
      </w:pPr>
      <w:r>
        <w:rPr>
          <w:rStyle w:val="FootnoteReference"/>
        </w:rPr>
        <w:footnoteRef/>
      </w:r>
      <w:r>
        <w:tab/>
        <w:t>Ú. v. EÚ C 363, 13.12.2011, s. 6.</w:t>
      </w:r>
    </w:p>
  </w:footnote>
  <w:footnote w:id="6">
    <w:p>
      <w:pPr>
        <w:pStyle w:val="FootnoteText"/>
      </w:pPr>
      <w:r>
        <w:rPr>
          <w:rStyle w:val="FootnoteReference"/>
        </w:rPr>
        <w:footnoteRef/>
      </w:r>
      <w:r>
        <w:tab/>
        <w:t xml:space="preserve">Sumy pre každý rok musia byť odhadnuté s použitím vzorca uvedeného v oddiele 5 s príslušnou poznámkou pod čiarou, v ktorej je uvedené napr. toto: „orientačná suma vypočítaná s použitím dohodnutého vzorca“. V prípade prvého roka sa ročná suma vyplatí zvyčajným spôsobom bez zníženia či </w:t>
      </w:r>
      <w:r>
        <w:rPr>
          <w:i/>
        </w:rPr>
        <w:t>pro rata</w:t>
      </w:r>
      <w:r>
        <w:t>.</w:t>
      </w:r>
    </w:p>
  </w:footnote>
  <w:footnote w:id="7">
    <w:p>
      <w:pPr>
        <w:pStyle w:val="FootnoteText"/>
      </w:pPr>
      <w:r>
        <w:rPr>
          <w:rStyle w:val="FootnoteReference"/>
        </w:rPr>
        <w:footnoteRef/>
      </w:r>
      <w:r>
        <w:tab/>
        <w:t>V prípade tradičných vlastných zdrojov (poľnohospodárske poplatky, clá) musia uvedené sumy predstavovať čisté sumy, t. j. hrubé sumy po odpočítaní 20 %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059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D24B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52D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65F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8ED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24"/>
    <w:lvlOverride w:ilvl="0">
      <w:startOverride w:val="1"/>
    </w:lvlOverride>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BORN Marieluise (TAXUD)">
    <w15:presenceInfo w15:providerId="None" w15:userId="HERBORN Marieluis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4 18:07: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E4EAF90-A3C3-4A99-ADC8-1C208C9AC60B"/>
    <w:docVar w:name="LW_COVERPAGE_TYPE" w:val="1"/>
    <w:docVar w:name="LW_CROSSREFERENCE" w:val="&lt;UNUSED&gt;"/>
    <w:docVar w:name="LW_DocType" w:val="COM"/>
    <w:docVar w:name="LW_EMISSION" w:val="16. 5. 2019"/>
    <w:docVar w:name="LW_EMISSION_ISODATE" w:val="2019-05-16"/>
    <w:docVar w:name="LW_EMISSION_LOCATION" w:val="BRX"/>
    <w:docVar w:name="LW_EMISSION_PREFIX" w:val="V Bruseli"/>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106"/>
    <w:docVar w:name="LW_REF.II.NEW.CP_YEAR" w:val="2019"/>
    <w:docVar w:name="LW_REF.INST.NEW" w:val="COM"/>
    <w:docVar w:name="LW_REF.INST.NEW_ADOPTED" w:val="final"/>
    <w:docVar w:name="LW_REF.INST.NEW_TEXT" w:val="(2019) 2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mení nariadenie (EÚ) \u269?. 1387/2013, ktorým sa pozastavujú autonómne clá Spolo\u269?ného colného sadzobníka v prípade ur\u269?itých po\u318?nohospodárskych a priemyselných výrobkov"/>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610">
      <w:bodyDiv w:val="1"/>
      <w:marLeft w:val="0"/>
      <w:marRight w:val="0"/>
      <w:marTop w:val="0"/>
      <w:marBottom w:val="0"/>
      <w:divBdr>
        <w:top w:val="none" w:sz="0" w:space="0" w:color="auto"/>
        <w:left w:val="none" w:sz="0" w:space="0" w:color="auto"/>
        <w:bottom w:val="none" w:sz="0" w:space="0" w:color="auto"/>
        <w:right w:val="none" w:sz="0" w:space="0" w:color="auto"/>
      </w:divBdr>
      <w:divsChild>
        <w:div w:id="870608553">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sChild>
                <w:div w:id="348458442">
                  <w:marLeft w:val="0"/>
                  <w:marRight w:val="0"/>
                  <w:marTop w:val="0"/>
                  <w:marBottom w:val="0"/>
                  <w:divBdr>
                    <w:top w:val="none" w:sz="0" w:space="0" w:color="auto"/>
                    <w:left w:val="none" w:sz="0" w:space="0" w:color="auto"/>
                    <w:bottom w:val="none" w:sz="0" w:space="0" w:color="auto"/>
                    <w:right w:val="none" w:sz="0" w:space="0" w:color="auto"/>
                  </w:divBdr>
                  <w:divsChild>
                    <w:div w:id="1439835553">
                      <w:marLeft w:val="1"/>
                      <w:marRight w:val="1"/>
                      <w:marTop w:val="0"/>
                      <w:marBottom w:val="0"/>
                      <w:divBdr>
                        <w:top w:val="none" w:sz="0" w:space="0" w:color="auto"/>
                        <w:left w:val="none" w:sz="0" w:space="0" w:color="auto"/>
                        <w:bottom w:val="none" w:sz="0" w:space="0" w:color="auto"/>
                        <w:right w:val="none" w:sz="0" w:space="0" w:color="auto"/>
                      </w:divBdr>
                      <w:divsChild>
                        <w:div w:id="1596787558">
                          <w:marLeft w:val="0"/>
                          <w:marRight w:val="0"/>
                          <w:marTop w:val="0"/>
                          <w:marBottom w:val="0"/>
                          <w:divBdr>
                            <w:top w:val="none" w:sz="0" w:space="0" w:color="auto"/>
                            <w:left w:val="none" w:sz="0" w:space="0" w:color="auto"/>
                            <w:bottom w:val="none" w:sz="0" w:space="0" w:color="auto"/>
                            <w:right w:val="none" w:sz="0" w:space="0" w:color="auto"/>
                          </w:divBdr>
                          <w:divsChild>
                            <w:div w:id="1005090943">
                              <w:marLeft w:val="0"/>
                              <w:marRight w:val="0"/>
                              <w:marTop w:val="0"/>
                              <w:marBottom w:val="360"/>
                              <w:divBdr>
                                <w:top w:val="none" w:sz="0" w:space="0" w:color="auto"/>
                                <w:left w:val="none" w:sz="0" w:space="0" w:color="auto"/>
                                <w:bottom w:val="none" w:sz="0" w:space="0" w:color="auto"/>
                                <w:right w:val="none" w:sz="0" w:space="0" w:color="auto"/>
                              </w:divBdr>
                              <w:divsChild>
                                <w:div w:id="956060776">
                                  <w:marLeft w:val="0"/>
                                  <w:marRight w:val="0"/>
                                  <w:marTop w:val="0"/>
                                  <w:marBottom w:val="0"/>
                                  <w:divBdr>
                                    <w:top w:val="none" w:sz="0" w:space="0" w:color="auto"/>
                                    <w:left w:val="none" w:sz="0" w:space="0" w:color="auto"/>
                                    <w:bottom w:val="none" w:sz="0" w:space="0" w:color="auto"/>
                                    <w:right w:val="none" w:sz="0" w:space="0" w:color="auto"/>
                                  </w:divBdr>
                                  <w:divsChild>
                                    <w:div w:id="992880060">
                                      <w:marLeft w:val="0"/>
                                      <w:marRight w:val="0"/>
                                      <w:marTop w:val="0"/>
                                      <w:marBottom w:val="0"/>
                                      <w:divBdr>
                                        <w:top w:val="none" w:sz="0" w:space="0" w:color="auto"/>
                                        <w:left w:val="none" w:sz="0" w:space="0" w:color="auto"/>
                                        <w:bottom w:val="none" w:sz="0" w:space="0" w:color="auto"/>
                                        <w:right w:val="none" w:sz="0" w:space="0" w:color="auto"/>
                                      </w:divBdr>
                                      <w:divsChild>
                                        <w:div w:id="1032998542">
                                          <w:marLeft w:val="0"/>
                                          <w:marRight w:val="0"/>
                                          <w:marTop w:val="0"/>
                                          <w:marBottom w:val="0"/>
                                          <w:divBdr>
                                            <w:top w:val="none" w:sz="0" w:space="0" w:color="auto"/>
                                            <w:left w:val="none" w:sz="0" w:space="0" w:color="auto"/>
                                            <w:bottom w:val="none" w:sz="0" w:space="0" w:color="auto"/>
                                            <w:right w:val="none" w:sz="0" w:space="0" w:color="auto"/>
                                          </w:divBdr>
                                          <w:divsChild>
                                            <w:div w:id="567107782">
                                              <w:marLeft w:val="0"/>
                                              <w:marRight w:val="0"/>
                                              <w:marTop w:val="0"/>
                                              <w:marBottom w:val="0"/>
                                              <w:divBdr>
                                                <w:top w:val="none" w:sz="0" w:space="0" w:color="auto"/>
                                                <w:left w:val="none" w:sz="0" w:space="0" w:color="auto"/>
                                                <w:bottom w:val="none" w:sz="0" w:space="0" w:color="auto"/>
                                                <w:right w:val="none" w:sz="0" w:space="0" w:color="auto"/>
                                              </w:divBdr>
                                              <w:divsChild>
                                                <w:div w:id="65037580">
                                                  <w:marLeft w:val="0"/>
                                                  <w:marRight w:val="0"/>
                                                  <w:marTop w:val="0"/>
                                                  <w:marBottom w:val="0"/>
                                                  <w:divBdr>
                                                    <w:top w:val="none" w:sz="0" w:space="0" w:color="auto"/>
                                                    <w:left w:val="none" w:sz="0" w:space="0" w:color="auto"/>
                                                    <w:bottom w:val="none" w:sz="0" w:space="0" w:color="auto"/>
                                                    <w:right w:val="none" w:sz="0" w:space="0" w:color="auto"/>
                                                  </w:divBdr>
                                                  <w:divsChild>
                                                    <w:div w:id="616373303">
                                                      <w:marLeft w:val="0"/>
                                                      <w:marRight w:val="0"/>
                                                      <w:marTop w:val="0"/>
                                                      <w:marBottom w:val="0"/>
                                                      <w:divBdr>
                                                        <w:top w:val="none" w:sz="0" w:space="0" w:color="auto"/>
                                                        <w:left w:val="none" w:sz="0" w:space="0" w:color="auto"/>
                                                        <w:bottom w:val="none" w:sz="0" w:space="0" w:color="auto"/>
                                                        <w:right w:val="none" w:sz="0" w:space="0" w:color="auto"/>
                                                      </w:divBdr>
                                                      <w:divsChild>
                                                        <w:div w:id="1683358307">
                                                          <w:marLeft w:val="0"/>
                                                          <w:marRight w:val="0"/>
                                                          <w:marTop w:val="0"/>
                                                          <w:marBottom w:val="0"/>
                                                          <w:divBdr>
                                                            <w:top w:val="none" w:sz="0" w:space="0" w:color="auto"/>
                                                            <w:left w:val="none" w:sz="0" w:space="0" w:color="auto"/>
                                                            <w:bottom w:val="none" w:sz="0" w:space="0" w:color="auto"/>
                                                            <w:right w:val="none" w:sz="0" w:space="0" w:color="auto"/>
                                                          </w:divBdr>
                                                          <w:divsChild>
                                                            <w:div w:id="1570731546">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40443003">
      <w:bodyDiv w:val="1"/>
      <w:marLeft w:val="0"/>
      <w:marRight w:val="0"/>
      <w:marTop w:val="0"/>
      <w:marBottom w:val="0"/>
      <w:divBdr>
        <w:top w:val="none" w:sz="0" w:space="0" w:color="auto"/>
        <w:left w:val="none" w:sz="0" w:space="0" w:color="auto"/>
        <w:bottom w:val="none" w:sz="0" w:space="0" w:color="auto"/>
        <w:right w:val="none" w:sz="0" w:space="0" w:color="auto"/>
      </w:divBdr>
      <w:divsChild>
        <w:div w:id="123617481">
          <w:marLeft w:val="0"/>
          <w:marRight w:val="0"/>
          <w:marTop w:val="0"/>
          <w:marBottom w:val="0"/>
          <w:divBdr>
            <w:top w:val="none" w:sz="0" w:space="0" w:color="auto"/>
            <w:left w:val="none" w:sz="0" w:space="0" w:color="auto"/>
            <w:bottom w:val="none" w:sz="0" w:space="0" w:color="auto"/>
            <w:right w:val="none" w:sz="0" w:space="0" w:color="auto"/>
          </w:divBdr>
          <w:divsChild>
            <w:div w:id="1642466502">
              <w:marLeft w:val="0"/>
              <w:marRight w:val="0"/>
              <w:marTop w:val="0"/>
              <w:marBottom w:val="0"/>
              <w:divBdr>
                <w:top w:val="none" w:sz="0" w:space="0" w:color="auto"/>
                <w:left w:val="none" w:sz="0" w:space="0" w:color="auto"/>
                <w:bottom w:val="none" w:sz="0" w:space="0" w:color="auto"/>
                <w:right w:val="none" w:sz="0" w:space="0" w:color="auto"/>
              </w:divBdr>
              <w:divsChild>
                <w:div w:id="207497411">
                  <w:marLeft w:val="0"/>
                  <w:marRight w:val="0"/>
                  <w:marTop w:val="0"/>
                  <w:marBottom w:val="0"/>
                  <w:divBdr>
                    <w:top w:val="none" w:sz="0" w:space="0" w:color="auto"/>
                    <w:left w:val="none" w:sz="0" w:space="0" w:color="auto"/>
                    <w:bottom w:val="none" w:sz="0" w:space="0" w:color="auto"/>
                    <w:right w:val="none" w:sz="0" w:space="0" w:color="auto"/>
                  </w:divBdr>
                  <w:divsChild>
                    <w:div w:id="1970740336">
                      <w:marLeft w:val="1"/>
                      <w:marRight w:val="1"/>
                      <w:marTop w:val="0"/>
                      <w:marBottom w:val="0"/>
                      <w:divBdr>
                        <w:top w:val="none" w:sz="0" w:space="0" w:color="auto"/>
                        <w:left w:val="none" w:sz="0" w:space="0" w:color="auto"/>
                        <w:bottom w:val="none" w:sz="0" w:space="0" w:color="auto"/>
                        <w:right w:val="none" w:sz="0" w:space="0" w:color="auto"/>
                      </w:divBdr>
                      <w:divsChild>
                        <w:div w:id="1484588182">
                          <w:marLeft w:val="0"/>
                          <w:marRight w:val="0"/>
                          <w:marTop w:val="0"/>
                          <w:marBottom w:val="0"/>
                          <w:divBdr>
                            <w:top w:val="none" w:sz="0" w:space="0" w:color="auto"/>
                            <w:left w:val="none" w:sz="0" w:space="0" w:color="auto"/>
                            <w:bottom w:val="none" w:sz="0" w:space="0" w:color="auto"/>
                            <w:right w:val="none" w:sz="0" w:space="0" w:color="auto"/>
                          </w:divBdr>
                          <w:divsChild>
                            <w:div w:id="1671788007">
                              <w:marLeft w:val="0"/>
                              <w:marRight w:val="0"/>
                              <w:marTop w:val="0"/>
                              <w:marBottom w:val="360"/>
                              <w:divBdr>
                                <w:top w:val="none" w:sz="0" w:space="0" w:color="auto"/>
                                <w:left w:val="none" w:sz="0" w:space="0" w:color="auto"/>
                                <w:bottom w:val="none" w:sz="0" w:space="0" w:color="auto"/>
                                <w:right w:val="none" w:sz="0" w:space="0" w:color="auto"/>
                              </w:divBdr>
                              <w:divsChild>
                                <w:div w:id="1934238648">
                                  <w:marLeft w:val="0"/>
                                  <w:marRight w:val="0"/>
                                  <w:marTop w:val="0"/>
                                  <w:marBottom w:val="0"/>
                                  <w:divBdr>
                                    <w:top w:val="none" w:sz="0" w:space="0" w:color="auto"/>
                                    <w:left w:val="none" w:sz="0" w:space="0" w:color="auto"/>
                                    <w:bottom w:val="none" w:sz="0" w:space="0" w:color="auto"/>
                                    <w:right w:val="none" w:sz="0" w:space="0" w:color="auto"/>
                                  </w:divBdr>
                                  <w:divsChild>
                                    <w:div w:id="840438064">
                                      <w:marLeft w:val="0"/>
                                      <w:marRight w:val="0"/>
                                      <w:marTop w:val="0"/>
                                      <w:marBottom w:val="0"/>
                                      <w:divBdr>
                                        <w:top w:val="none" w:sz="0" w:space="0" w:color="auto"/>
                                        <w:left w:val="none" w:sz="0" w:space="0" w:color="auto"/>
                                        <w:bottom w:val="none" w:sz="0" w:space="0" w:color="auto"/>
                                        <w:right w:val="none" w:sz="0" w:space="0" w:color="auto"/>
                                      </w:divBdr>
                                      <w:divsChild>
                                        <w:div w:id="279192780">
                                          <w:marLeft w:val="0"/>
                                          <w:marRight w:val="0"/>
                                          <w:marTop w:val="0"/>
                                          <w:marBottom w:val="0"/>
                                          <w:divBdr>
                                            <w:top w:val="none" w:sz="0" w:space="0" w:color="auto"/>
                                            <w:left w:val="none" w:sz="0" w:space="0" w:color="auto"/>
                                            <w:bottom w:val="none" w:sz="0" w:space="0" w:color="auto"/>
                                            <w:right w:val="none" w:sz="0" w:space="0" w:color="auto"/>
                                          </w:divBdr>
                                          <w:divsChild>
                                            <w:div w:id="951741341">
                                              <w:marLeft w:val="0"/>
                                              <w:marRight w:val="0"/>
                                              <w:marTop w:val="0"/>
                                              <w:marBottom w:val="0"/>
                                              <w:divBdr>
                                                <w:top w:val="none" w:sz="0" w:space="0" w:color="auto"/>
                                                <w:left w:val="none" w:sz="0" w:space="0" w:color="auto"/>
                                                <w:bottom w:val="none" w:sz="0" w:space="0" w:color="auto"/>
                                                <w:right w:val="none" w:sz="0" w:space="0" w:color="auto"/>
                                              </w:divBdr>
                                              <w:divsChild>
                                                <w:div w:id="1320186085">
                                                  <w:marLeft w:val="0"/>
                                                  <w:marRight w:val="0"/>
                                                  <w:marTop w:val="0"/>
                                                  <w:marBottom w:val="0"/>
                                                  <w:divBdr>
                                                    <w:top w:val="none" w:sz="0" w:space="0" w:color="auto"/>
                                                    <w:left w:val="none" w:sz="0" w:space="0" w:color="auto"/>
                                                    <w:bottom w:val="none" w:sz="0" w:space="0" w:color="auto"/>
                                                    <w:right w:val="none" w:sz="0" w:space="0" w:color="auto"/>
                                                  </w:divBdr>
                                                  <w:divsChild>
                                                    <w:div w:id="292829287">
                                                      <w:marLeft w:val="0"/>
                                                      <w:marRight w:val="0"/>
                                                      <w:marTop w:val="0"/>
                                                      <w:marBottom w:val="0"/>
                                                      <w:divBdr>
                                                        <w:top w:val="none" w:sz="0" w:space="0" w:color="auto"/>
                                                        <w:left w:val="none" w:sz="0" w:space="0" w:color="auto"/>
                                                        <w:bottom w:val="none" w:sz="0" w:space="0" w:color="auto"/>
                                                        <w:right w:val="none" w:sz="0" w:space="0" w:color="auto"/>
                                                      </w:divBdr>
                                                      <w:divsChild>
                                                        <w:div w:id="1982688315">
                                                          <w:marLeft w:val="0"/>
                                                          <w:marRight w:val="0"/>
                                                          <w:marTop w:val="0"/>
                                                          <w:marBottom w:val="0"/>
                                                          <w:divBdr>
                                                            <w:top w:val="none" w:sz="0" w:space="0" w:color="auto"/>
                                                            <w:left w:val="none" w:sz="0" w:space="0" w:color="auto"/>
                                                            <w:bottom w:val="none" w:sz="0" w:space="0" w:color="auto"/>
                                                            <w:right w:val="none" w:sz="0" w:space="0" w:color="auto"/>
                                                          </w:divBdr>
                                                        </w:div>
                                                        <w:div w:id="757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012844">
      <w:bodyDiv w:val="1"/>
      <w:marLeft w:val="0"/>
      <w:marRight w:val="0"/>
      <w:marTop w:val="0"/>
      <w:marBottom w:val="0"/>
      <w:divBdr>
        <w:top w:val="none" w:sz="0" w:space="0" w:color="auto"/>
        <w:left w:val="none" w:sz="0" w:space="0" w:color="auto"/>
        <w:bottom w:val="none" w:sz="0" w:space="0" w:color="auto"/>
        <w:right w:val="none" w:sz="0" w:space="0" w:color="auto"/>
      </w:divBdr>
    </w:div>
    <w:div w:id="454911197">
      <w:bodyDiv w:val="1"/>
      <w:marLeft w:val="0"/>
      <w:marRight w:val="0"/>
      <w:marTop w:val="0"/>
      <w:marBottom w:val="0"/>
      <w:divBdr>
        <w:top w:val="none" w:sz="0" w:space="0" w:color="auto"/>
        <w:left w:val="none" w:sz="0" w:space="0" w:color="auto"/>
        <w:bottom w:val="none" w:sz="0" w:space="0" w:color="auto"/>
        <w:right w:val="none" w:sz="0" w:space="0" w:color="auto"/>
      </w:divBdr>
      <w:divsChild>
        <w:div w:id="1594318115">
          <w:marLeft w:val="0"/>
          <w:marRight w:val="0"/>
          <w:marTop w:val="0"/>
          <w:marBottom w:val="0"/>
          <w:divBdr>
            <w:top w:val="none" w:sz="0" w:space="0" w:color="auto"/>
            <w:left w:val="none" w:sz="0" w:space="0" w:color="auto"/>
            <w:bottom w:val="none" w:sz="0" w:space="0" w:color="auto"/>
            <w:right w:val="none" w:sz="0" w:space="0" w:color="auto"/>
          </w:divBdr>
          <w:divsChild>
            <w:div w:id="541328176">
              <w:marLeft w:val="0"/>
              <w:marRight w:val="0"/>
              <w:marTop w:val="0"/>
              <w:marBottom w:val="0"/>
              <w:divBdr>
                <w:top w:val="none" w:sz="0" w:space="0" w:color="auto"/>
                <w:left w:val="none" w:sz="0" w:space="0" w:color="auto"/>
                <w:bottom w:val="none" w:sz="0" w:space="0" w:color="auto"/>
                <w:right w:val="none" w:sz="0" w:space="0" w:color="auto"/>
              </w:divBdr>
              <w:divsChild>
                <w:div w:id="588656507">
                  <w:marLeft w:val="0"/>
                  <w:marRight w:val="0"/>
                  <w:marTop w:val="0"/>
                  <w:marBottom w:val="0"/>
                  <w:divBdr>
                    <w:top w:val="none" w:sz="0" w:space="0" w:color="auto"/>
                    <w:left w:val="none" w:sz="0" w:space="0" w:color="auto"/>
                    <w:bottom w:val="none" w:sz="0" w:space="0" w:color="auto"/>
                    <w:right w:val="none" w:sz="0" w:space="0" w:color="auto"/>
                  </w:divBdr>
                  <w:divsChild>
                    <w:div w:id="290136567">
                      <w:marLeft w:val="1"/>
                      <w:marRight w:val="1"/>
                      <w:marTop w:val="0"/>
                      <w:marBottom w:val="0"/>
                      <w:divBdr>
                        <w:top w:val="none" w:sz="0" w:space="0" w:color="auto"/>
                        <w:left w:val="none" w:sz="0" w:space="0" w:color="auto"/>
                        <w:bottom w:val="none" w:sz="0" w:space="0" w:color="auto"/>
                        <w:right w:val="none" w:sz="0" w:space="0" w:color="auto"/>
                      </w:divBdr>
                      <w:divsChild>
                        <w:div w:id="1376393091">
                          <w:marLeft w:val="0"/>
                          <w:marRight w:val="0"/>
                          <w:marTop w:val="0"/>
                          <w:marBottom w:val="0"/>
                          <w:divBdr>
                            <w:top w:val="none" w:sz="0" w:space="0" w:color="auto"/>
                            <w:left w:val="none" w:sz="0" w:space="0" w:color="auto"/>
                            <w:bottom w:val="none" w:sz="0" w:space="0" w:color="auto"/>
                            <w:right w:val="none" w:sz="0" w:space="0" w:color="auto"/>
                          </w:divBdr>
                          <w:divsChild>
                            <w:div w:id="208995554">
                              <w:marLeft w:val="0"/>
                              <w:marRight w:val="0"/>
                              <w:marTop w:val="0"/>
                              <w:marBottom w:val="360"/>
                              <w:divBdr>
                                <w:top w:val="none" w:sz="0" w:space="0" w:color="auto"/>
                                <w:left w:val="none" w:sz="0" w:space="0" w:color="auto"/>
                                <w:bottom w:val="none" w:sz="0" w:space="0" w:color="auto"/>
                                <w:right w:val="none" w:sz="0" w:space="0" w:color="auto"/>
                              </w:divBdr>
                              <w:divsChild>
                                <w:div w:id="1794209277">
                                  <w:marLeft w:val="0"/>
                                  <w:marRight w:val="0"/>
                                  <w:marTop w:val="0"/>
                                  <w:marBottom w:val="0"/>
                                  <w:divBdr>
                                    <w:top w:val="none" w:sz="0" w:space="0" w:color="auto"/>
                                    <w:left w:val="none" w:sz="0" w:space="0" w:color="auto"/>
                                    <w:bottom w:val="none" w:sz="0" w:space="0" w:color="auto"/>
                                    <w:right w:val="none" w:sz="0" w:space="0" w:color="auto"/>
                                  </w:divBdr>
                                  <w:divsChild>
                                    <w:div w:id="1839879867">
                                      <w:marLeft w:val="0"/>
                                      <w:marRight w:val="0"/>
                                      <w:marTop w:val="0"/>
                                      <w:marBottom w:val="0"/>
                                      <w:divBdr>
                                        <w:top w:val="none" w:sz="0" w:space="0" w:color="auto"/>
                                        <w:left w:val="none" w:sz="0" w:space="0" w:color="auto"/>
                                        <w:bottom w:val="none" w:sz="0" w:space="0" w:color="auto"/>
                                        <w:right w:val="none" w:sz="0" w:space="0" w:color="auto"/>
                                      </w:divBdr>
                                      <w:divsChild>
                                        <w:div w:id="1242986911">
                                          <w:marLeft w:val="0"/>
                                          <w:marRight w:val="0"/>
                                          <w:marTop w:val="0"/>
                                          <w:marBottom w:val="0"/>
                                          <w:divBdr>
                                            <w:top w:val="none" w:sz="0" w:space="0" w:color="auto"/>
                                            <w:left w:val="none" w:sz="0" w:space="0" w:color="auto"/>
                                            <w:bottom w:val="none" w:sz="0" w:space="0" w:color="auto"/>
                                            <w:right w:val="none" w:sz="0" w:space="0" w:color="auto"/>
                                          </w:divBdr>
                                          <w:divsChild>
                                            <w:div w:id="1938635632">
                                              <w:marLeft w:val="0"/>
                                              <w:marRight w:val="0"/>
                                              <w:marTop w:val="0"/>
                                              <w:marBottom w:val="0"/>
                                              <w:divBdr>
                                                <w:top w:val="none" w:sz="0" w:space="0" w:color="auto"/>
                                                <w:left w:val="none" w:sz="0" w:space="0" w:color="auto"/>
                                                <w:bottom w:val="none" w:sz="0" w:space="0" w:color="auto"/>
                                                <w:right w:val="none" w:sz="0" w:space="0" w:color="auto"/>
                                              </w:divBdr>
                                              <w:divsChild>
                                                <w:div w:id="125902049">
                                                  <w:marLeft w:val="0"/>
                                                  <w:marRight w:val="0"/>
                                                  <w:marTop w:val="0"/>
                                                  <w:marBottom w:val="0"/>
                                                  <w:divBdr>
                                                    <w:top w:val="none" w:sz="0" w:space="0" w:color="auto"/>
                                                    <w:left w:val="none" w:sz="0" w:space="0" w:color="auto"/>
                                                    <w:bottom w:val="none" w:sz="0" w:space="0" w:color="auto"/>
                                                    <w:right w:val="none" w:sz="0" w:space="0" w:color="auto"/>
                                                  </w:divBdr>
                                                  <w:divsChild>
                                                    <w:div w:id="2111121257">
                                                      <w:marLeft w:val="0"/>
                                                      <w:marRight w:val="0"/>
                                                      <w:marTop w:val="0"/>
                                                      <w:marBottom w:val="0"/>
                                                      <w:divBdr>
                                                        <w:top w:val="none" w:sz="0" w:space="0" w:color="auto"/>
                                                        <w:left w:val="none" w:sz="0" w:space="0" w:color="auto"/>
                                                        <w:bottom w:val="none" w:sz="0" w:space="0" w:color="auto"/>
                                                        <w:right w:val="none" w:sz="0" w:space="0" w:color="auto"/>
                                                      </w:divBdr>
                                                      <w:divsChild>
                                                        <w:div w:id="1627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665751">
      <w:bodyDiv w:val="1"/>
      <w:marLeft w:val="0"/>
      <w:marRight w:val="0"/>
      <w:marTop w:val="0"/>
      <w:marBottom w:val="0"/>
      <w:divBdr>
        <w:top w:val="none" w:sz="0" w:space="0" w:color="auto"/>
        <w:left w:val="none" w:sz="0" w:space="0" w:color="auto"/>
        <w:bottom w:val="none" w:sz="0" w:space="0" w:color="auto"/>
        <w:right w:val="none" w:sz="0" w:space="0" w:color="auto"/>
      </w:divBdr>
    </w:div>
    <w:div w:id="969091523">
      <w:bodyDiv w:val="1"/>
      <w:marLeft w:val="0"/>
      <w:marRight w:val="0"/>
      <w:marTop w:val="0"/>
      <w:marBottom w:val="0"/>
      <w:divBdr>
        <w:top w:val="none" w:sz="0" w:space="0" w:color="auto"/>
        <w:left w:val="none" w:sz="0" w:space="0" w:color="auto"/>
        <w:bottom w:val="none" w:sz="0" w:space="0" w:color="auto"/>
        <w:right w:val="none" w:sz="0" w:space="0" w:color="auto"/>
      </w:divBdr>
      <w:divsChild>
        <w:div w:id="168251472">
          <w:marLeft w:val="0"/>
          <w:marRight w:val="0"/>
          <w:marTop w:val="0"/>
          <w:marBottom w:val="0"/>
          <w:divBdr>
            <w:top w:val="none" w:sz="0" w:space="0" w:color="auto"/>
            <w:left w:val="none" w:sz="0" w:space="0" w:color="auto"/>
            <w:bottom w:val="none" w:sz="0" w:space="0" w:color="auto"/>
            <w:right w:val="none" w:sz="0" w:space="0" w:color="auto"/>
          </w:divBdr>
          <w:divsChild>
            <w:div w:id="1723669543">
              <w:marLeft w:val="0"/>
              <w:marRight w:val="0"/>
              <w:marTop w:val="0"/>
              <w:marBottom w:val="0"/>
              <w:divBdr>
                <w:top w:val="none" w:sz="0" w:space="0" w:color="auto"/>
                <w:left w:val="none" w:sz="0" w:space="0" w:color="auto"/>
                <w:bottom w:val="none" w:sz="0" w:space="0" w:color="auto"/>
                <w:right w:val="none" w:sz="0" w:space="0" w:color="auto"/>
              </w:divBdr>
              <w:divsChild>
                <w:div w:id="1787581652">
                  <w:marLeft w:val="0"/>
                  <w:marRight w:val="0"/>
                  <w:marTop w:val="0"/>
                  <w:marBottom w:val="0"/>
                  <w:divBdr>
                    <w:top w:val="none" w:sz="0" w:space="0" w:color="auto"/>
                    <w:left w:val="none" w:sz="0" w:space="0" w:color="auto"/>
                    <w:bottom w:val="none" w:sz="0" w:space="0" w:color="auto"/>
                    <w:right w:val="none" w:sz="0" w:space="0" w:color="auto"/>
                  </w:divBdr>
                  <w:divsChild>
                    <w:div w:id="1250848091">
                      <w:marLeft w:val="1"/>
                      <w:marRight w:val="1"/>
                      <w:marTop w:val="0"/>
                      <w:marBottom w:val="0"/>
                      <w:divBdr>
                        <w:top w:val="none" w:sz="0" w:space="0" w:color="auto"/>
                        <w:left w:val="none" w:sz="0" w:space="0" w:color="auto"/>
                        <w:bottom w:val="none" w:sz="0" w:space="0" w:color="auto"/>
                        <w:right w:val="none" w:sz="0" w:space="0" w:color="auto"/>
                      </w:divBdr>
                      <w:divsChild>
                        <w:div w:id="606159388">
                          <w:marLeft w:val="0"/>
                          <w:marRight w:val="0"/>
                          <w:marTop w:val="0"/>
                          <w:marBottom w:val="0"/>
                          <w:divBdr>
                            <w:top w:val="none" w:sz="0" w:space="0" w:color="auto"/>
                            <w:left w:val="none" w:sz="0" w:space="0" w:color="auto"/>
                            <w:bottom w:val="none" w:sz="0" w:space="0" w:color="auto"/>
                            <w:right w:val="none" w:sz="0" w:space="0" w:color="auto"/>
                          </w:divBdr>
                          <w:divsChild>
                            <w:div w:id="2077899324">
                              <w:marLeft w:val="0"/>
                              <w:marRight w:val="0"/>
                              <w:marTop w:val="0"/>
                              <w:marBottom w:val="360"/>
                              <w:divBdr>
                                <w:top w:val="none" w:sz="0" w:space="0" w:color="auto"/>
                                <w:left w:val="none" w:sz="0" w:space="0" w:color="auto"/>
                                <w:bottom w:val="none" w:sz="0" w:space="0" w:color="auto"/>
                                <w:right w:val="none" w:sz="0" w:space="0" w:color="auto"/>
                              </w:divBdr>
                              <w:divsChild>
                                <w:div w:id="440538560">
                                  <w:marLeft w:val="0"/>
                                  <w:marRight w:val="0"/>
                                  <w:marTop w:val="0"/>
                                  <w:marBottom w:val="0"/>
                                  <w:divBdr>
                                    <w:top w:val="none" w:sz="0" w:space="0" w:color="auto"/>
                                    <w:left w:val="none" w:sz="0" w:space="0" w:color="auto"/>
                                    <w:bottom w:val="none" w:sz="0" w:space="0" w:color="auto"/>
                                    <w:right w:val="none" w:sz="0" w:space="0" w:color="auto"/>
                                  </w:divBdr>
                                  <w:divsChild>
                                    <w:div w:id="739254575">
                                      <w:marLeft w:val="0"/>
                                      <w:marRight w:val="0"/>
                                      <w:marTop w:val="0"/>
                                      <w:marBottom w:val="0"/>
                                      <w:divBdr>
                                        <w:top w:val="none" w:sz="0" w:space="0" w:color="auto"/>
                                        <w:left w:val="none" w:sz="0" w:space="0" w:color="auto"/>
                                        <w:bottom w:val="none" w:sz="0" w:space="0" w:color="auto"/>
                                        <w:right w:val="none" w:sz="0" w:space="0" w:color="auto"/>
                                      </w:divBdr>
                                      <w:divsChild>
                                        <w:div w:id="394551911">
                                          <w:marLeft w:val="0"/>
                                          <w:marRight w:val="0"/>
                                          <w:marTop w:val="0"/>
                                          <w:marBottom w:val="0"/>
                                          <w:divBdr>
                                            <w:top w:val="none" w:sz="0" w:space="0" w:color="auto"/>
                                            <w:left w:val="none" w:sz="0" w:space="0" w:color="auto"/>
                                            <w:bottom w:val="none" w:sz="0" w:space="0" w:color="auto"/>
                                            <w:right w:val="none" w:sz="0" w:space="0" w:color="auto"/>
                                          </w:divBdr>
                                          <w:divsChild>
                                            <w:div w:id="1748187547">
                                              <w:marLeft w:val="0"/>
                                              <w:marRight w:val="0"/>
                                              <w:marTop w:val="0"/>
                                              <w:marBottom w:val="0"/>
                                              <w:divBdr>
                                                <w:top w:val="none" w:sz="0" w:space="0" w:color="auto"/>
                                                <w:left w:val="none" w:sz="0" w:space="0" w:color="auto"/>
                                                <w:bottom w:val="none" w:sz="0" w:space="0" w:color="auto"/>
                                                <w:right w:val="none" w:sz="0" w:space="0" w:color="auto"/>
                                              </w:divBdr>
                                              <w:divsChild>
                                                <w:div w:id="3103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8975">
      <w:bodyDiv w:val="1"/>
      <w:marLeft w:val="0"/>
      <w:marRight w:val="0"/>
      <w:marTop w:val="0"/>
      <w:marBottom w:val="0"/>
      <w:divBdr>
        <w:top w:val="none" w:sz="0" w:space="0" w:color="auto"/>
        <w:left w:val="none" w:sz="0" w:space="0" w:color="auto"/>
        <w:bottom w:val="none" w:sz="0" w:space="0" w:color="auto"/>
        <w:right w:val="none" w:sz="0" w:space="0" w:color="auto"/>
      </w:divBdr>
      <w:divsChild>
        <w:div w:id="254285967">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sChild>
                <w:div w:id="1609387115">
                  <w:marLeft w:val="0"/>
                  <w:marRight w:val="0"/>
                  <w:marTop w:val="0"/>
                  <w:marBottom w:val="0"/>
                  <w:divBdr>
                    <w:top w:val="none" w:sz="0" w:space="0" w:color="auto"/>
                    <w:left w:val="none" w:sz="0" w:space="0" w:color="auto"/>
                    <w:bottom w:val="none" w:sz="0" w:space="0" w:color="auto"/>
                    <w:right w:val="none" w:sz="0" w:space="0" w:color="auto"/>
                  </w:divBdr>
                  <w:divsChild>
                    <w:div w:id="171997608">
                      <w:marLeft w:val="1"/>
                      <w:marRight w:val="1"/>
                      <w:marTop w:val="0"/>
                      <w:marBottom w:val="0"/>
                      <w:divBdr>
                        <w:top w:val="none" w:sz="0" w:space="0" w:color="auto"/>
                        <w:left w:val="none" w:sz="0" w:space="0" w:color="auto"/>
                        <w:bottom w:val="none" w:sz="0" w:space="0" w:color="auto"/>
                        <w:right w:val="none" w:sz="0" w:space="0" w:color="auto"/>
                      </w:divBdr>
                      <w:divsChild>
                        <w:div w:id="1060447748">
                          <w:marLeft w:val="0"/>
                          <w:marRight w:val="0"/>
                          <w:marTop w:val="0"/>
                          <w:marBottom w:val="0"/>
                          <w:divBdr>
                            <w:top w:val="none" w:sz="0" w:space="0" w:color="auto"/>
                            <w:left w:val="none" w:sz="0" w:space="0" w:color="auto"/>
                            <w:bottom w:val="none" w:sz="0" w:space="0" w:color="auto"/>
                            <w:right w:val="none" w:sz="0" w:space="0" w:color="auto"/>
                          </w:divBdr>
                          <w:divsChild>
                            <w:div w:id="744298422">
                              <w:marLeft w:val="0"/>
                              <w:marRight w:val="0"/>
                              <w:marTop w:val="0"/>
                              <w:marBottom w:val="360"/>
                              <w:divBdr>
                                <w:top w:val="none" w:sz="0" w:space="0" w:color="auto"/>
                                <w:left w:val="none" w:sz="0" w:space="0" w:color="auto"/>
                                <w:bottom w:val="none" w:sz="0" w:space="0" w:color="auto"/>
                                <w:right w:val="none" w:sz="0" w:space="0" w:color="auto"/>
                              </w:divBdr>
                              <w:divsChild>
                                <w:div w:id="1258366132">
                                  <w:marLeft w:val="0"/>
                                  <w:marRight w:val="0"/>
                                  <w:marTop w:val="0"/>
                                  <w:marBottom w:val="0"/>
                                  <w:divBdr>
                                    <w:top w:val="none" w:sz="0" w:space="0" w:color="auto"/>
                                    <w:left w:val="none" w:sz="0" w:space="0" w:color="auto"/>
                                    <w:bottom w:val="none" w:sz="0" w:space="0" w:color="auto"/>
                                    <w:right w:val="none" w:sz="0" w:space="0" w:color="auto"/>
                                  </w:divBdr>
                                  <w:divsChild>
                                    <w:div w:id="1764496030">
                                      <w:marLeft w:val="0"/>
                                      <w:marRight w:val="0"/>
                                      <w:marTop w:val="0"/>
                                      <w:marBottom w:val="0"/>
                                      <w:divBdr>
                                        <w:top w:val="none" w:sz="0" w:space="0" w:color="auto"/>
                                        <w:left w:val="none" w:sz="0" w:space="0" w:color="auto"/>
                                        <w:bottom w:val="none" w:sz="0" w:space="0" w:color="auto"/>
                                        <w:right w:val="none" w:sz="0" w:space="0" w:color="auto"/>
                                      </w:divBdr>
                                      <w:divsChild>
                                        <w:div w:id="545410360">
                                          <w:marLeft w:val="0"/>
                                          <w:marRight w:val="0"/>
                                          <w:marTop w:val="0"/>
                                          <w:marBottom w:val="0"/>
                                          <w:divBdr>
                                            <w:top w:val="none" w:sz="0" w:space="0" w:color="auto"/>
                                            <w:left w:val="none" w:sz="0" w:space="0" w:color="auto"/>
                                            <w:bottom w:val="none" w:sz="0" w:space="0" w:color="auto"/>
                                            <w:right w:val="none" w:sz="0" w:space="0" w:color="auto"/>
                                          </w:divBdr>
                                          <w:divsChild>
                                            <w:div w:id="323552574">
                                              <w:marLeft w:val="0"/>
                                              <w:marRight w:val="0"/>
                                              <w:marTop w:val="0"/>
                                              <w:marBottom w:val="0"/>
                                              <w:divBdr>
                                                <w:top w:val="none" w:sz="0" w:space="0" w:color="auto"/>
                                                <w:left w:val="none" w:sz="0" w:space="0" w:color="auto"/>
                                                <w:bottom w:val="none" w:sz="0" w:space="0" w:color="auto"/>
                                                <w:right w:val="none" w:sz="0" w:space="0" w:color="auto"/>
                                              </w:divBdr>
                                              <w:divsChild>
                                                <w:div w:id="1083189108">
                                                  <w:marLeft w:val="0"/>
                                                  <w:marRight w:val="0"/>
                                                  <w:marTop w:val="0"/>
                                                  <w:marBottom w:val="0"/>
                                                  <w:divBdr>
                                                    <w:top w:val="none" w:sz="0" w:space="0" w:color="auto"/>
                                                    <w:left w:val="none" w:sz="0" w:space="0" w:color="auto"/>
                                                    <w:bottom w:val="none" w:sz="0" w:space="0" w:color="auto"/>
                                                    <w:right w:val="none" w:sz="0" w:space="0" w:color="auto"/>
                                                  </w:divBdr>
                                                  <w:divsChild>
                                                    <w:div w:id="1162626214">
                                                      <w:marLeft w:val="0"/>
                                                      <w:marRight w:val="0"/>
                                                      <w:marTop w:val="0"/>
                                                      <w:marBottom w:val="0"/>
                                                      <w:divBdr>
                                                        <w:top w:val="none" w:sz="0" w:space="0" w:color="auto"/>
                                                        <w:left w:val="none" w:sz="0" w:space="0" w:color="auto"/>
                                                        <w:bottom w:val="none" w:sz="0" w:space="0" w:color="auto"/>
                                                        <w:right w:val="none" w:sz="0" w:space="0" w:color="auto"/>
                                                      </w:divBdr>
                                                      <w:divsChild>
                                                        <w:div w:id="796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730939">
      <w:bodyDiv w:val="1"/>
      <w:marLeft w:val="0"/>
      <w:marRight w:val="0"/>
      <w:marTop w:val="0"/>
      <w:marBottom w:val="0"/>
      <w:divBdr>
        <w:top w:val="none" w:sz="0" w:space="0" w:color="auto"/>
        <w:left w:val="none" w:sz="0" w:space="0" w:color="auto"/>
        <w:bottom w:val="none" w:sz="0" w:space="0" w:color="auto"/>
        <w:right w:val="none" w:sz="0" w:space="0" w:color="auto"/>
      </w:divBdr>
    </w:div>
    <w:div w:id="1131217148">
      <w:bodyDiv w:val="1"/>
      <w:marLeft w:val="0"/>
      <w:marRight w:val="0"/>
      <w:marTop w:val="0"/>
      <w:marBottom w:val="0"/>
      <w:divBdr>
        <w:top w:val="none" w:sz="0" w:space="0" w:color="auto"/>
        <w:left w:val="none" w:sz="0" w:space="0" w:color="auto"/>
        <w:bottom w:val="none" w:sz="0" w:space="0" w:color="auto"/>
        <w:right w:val="none" w:sz="0" w:space="0" w:color="auto"/>
      </w:divBdr>
      <w:divsChild>
        <w:div w:id="1907296558">
          <w:marLeft w:val="0"/>
          <w:marRight w:val="0"/>
          <w:marTop w:val="0"/>
          <w:marBottom w:val="0"/>
          <w:divBdr>
            <w:top w:val="none" w:sz="0" w:space="0" w:color="auto"/>
            <w:left w:val="none" w:sz="0" w:space="0" w:color="auto"/>
            <w:bottom w:val="none" w:sz="0" w:space="0" w:color="auto"/>
            <w:right w:val="none" w:sz="0" w:space="0" w:color="auto"/>
          </w:divBdr>
          <w:divsChild>
            <w:div w:id="1762604526">
              <w:marLeft w:val="0"/>
              <w:marRight w:val="0"/>
              <w:marTop w:val="0"/>
              <w:marBottom w:val="0"/>
              <w:divBdr>
                <w:top w:val="none" w:sz="0" w:space="0" w:color="auto"/>
                <w:left w:val="none" w:sz="0" w:space="0" w:color="auto"/>
                <w:bottom w:val="none" w:sz="0" w:space="0" w:color="auto"/>
                <w:right w:val="none" w:sz="0" w:space="0" w:color="auto"/>
              </w:divBdr>
              <w:divsChild>
                <w:div w:id="1087845476">
                  <w:marLeft w:val="0"/>
                  <w:marRight w:val="0"/>
                  <w:marTop w:val="0"/>
                  <w:marBottom w:val="0"/>
                  <w:divBdr>
                    <w:top w:val="none" w:sz="0" w:space="0" w:color="auto"/>
                    <w:left w:val="none" w:sz="0" w:space="0" w:color="auto"/>
                    <w:bottom w:val="none" w:sz="0" w:space="0" w:color="auto"/>
                    <w:right w:val="none" w:sz="0" w:space="0" w:color="auto"/>
                  </w:divBdr>
                  <w:divsChild>
                    <w:div w:id="503516936">
                      <w:marLeft w:val="1"/>
                      <w:marRight w:val="1"/>
                      <w:marTop w:val="0"/>
                      <w:marBottom w:val="0"/>
                      <w:divBdr>
                        <w:top w:val="none" w:sz="0" w:space="0" w:color="auto"/>
                        <w:left w:val="none" w:sz="0" w:space="0" w:color="auto"/>
                        <w:bottom w:val="none" w:sz="0" w:space="0" w:color="auto"/>
                        <w:right w:val="none" w:sz="0" w:space="0" w:color="auto"/>
                      </w:divBdr>
                      <w:divsChild>
                        <w:div w:id="832333528">
                          <w:marLeft w:val="0"/>
                          <w:marRight w:val="0"/>
                          <w:marTop w:val="0"/>
                          <w:marBottom w:val="0"/>
                          <w:divBdr>
                            <w:top w:val="none" w:sz="0" w:space="0" w:color="auto"/>
                            <w:left w:val="none" w:sz="0" w:space="0" w:color="auto"/>
                            <w:bottom w:val="none" w:sz="0" w:space="0" w:color="auto"/>
                            <w:right w:val="none" w:sz="0" w:space="0" w:color="auto"/>
                          </w:divBdr>
                          <w:divsChild>
                            <w:div w:id="1070156503">
                              <w:marLeft w:val="0"/>
                              <w:marRight w:val="0"/>
                              <w:marTop w:val="0"/>
                              <w:marBottom w:val="360"/>
                              <w:divBdr>
                                <w:top w:val="none" w:sz="0" w:space="0" w:color="auto"/>
                                <w:left w:val="none" w:sz="0" w:space="0" w:color="auto"/>
                                <w:bottom w:val="none" w:sz="0" w:space="0" w:color="auto"/>
                                <w:right w:val="none" w:sz="0" w:space="0" w:color="auto"/>
                              </w:divBdr>
                              <w:divsChild>
                                <w:div w:id="372073370">
                                  <w:marLeft w:val="0"/>
                                  <w:marRight w:val="0"/>
                                  <w:marTop w:val="0"/>
                                  <w:marBottom w:val="0"/>
                                  <w:divBdr>
                                    <w:top w:val="none" w:sz="0" w:space="0" w:color="auto"/>
                                    <w:left w:val="none" w:sz="0" w:space="0" w:color="auto"/>
                                    <w:bottom w:val="none" w:sz="0" w:space="0" w:color="auto"/>
                                    <w:right w:val="none" w:sz="0" w:space="0" w:color="auto"/>
                                  </w:divBdr>
                                  <w:divsChild>
                                    <w:div w:id="114369295">
                                      <w:marLeft w:val="0"/>
                                      <w:marRight w:val="0"/>
                                      <w:marTop w:val="0"/>
                                      <w:marBottom w:val="0"/>
                                      <w:divBdr>
                                        <w:top w:val="none" w:sz="0" w:space="0" w:color="auto"/>
                                        <w:left w:val="none" w:sz="0" w:space="0" w:color="auto"/>
                                        <w:bottom w:val="none" w:sz="0" w:space="0" w:color="auto"/>
                                        <w:right w:val="none" w:sz="0" w:space="0" w:color="auto"/>
                                      </w:divBdr>
                                      <w:divsChild>
                                        <w:div w:id="933124376">
                                          <w:marLeft w:val="0"/>
                                          <w:marRight w:val="0"/>
                                          <w:marTop w:val="0"/>
                                          <w:marBottom w:val="0"/>
                                          <w:divBdr>
                                            <w:top w:val="none" w:sz="0" w:space="0" w:color="auto"/>
                                            <w:left w:val="none" w:sz="0" w:space="0" w:color="auto"/>
                                            <w:bottom w:val="none" w:sz="0" w:space="0" w:color="auto"/>
                                            <w:right w:val="none" w:sz="0" w:space="0" w:color="auto"/>
                                          </w:divBdr>
                                          <w:divsChild>
                                            <w:div w:id="385877351">
                                              <w:marLeft w:val="0"/>
                                              <w:marRight w:val="0"/>
                                              <w:marTop w:val="0"/>
                                              <w:marBottom w:val="0"/>
                                              <w:divBdr>
                                                <w:top w:val="none" w:sz="0" w:space="0" w:color="auto"/>
                                                <w:left w:val="none" w:sz="0" w:space="0" w:color="auto"/>
                                                <w:bottom w:val="none" w:sz="0" w:space="0" w:color="auto"/>
                                                <w:right w:val="none" w:sz="0" w:space="0" w:color="auto"/>
                                              </w:divBdr>
                                              <w:divsChild>
                                                <w:div w:id="1780100480">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0"/>
                                                      <w:marRight w:val="0"/>
                                                      <w:marTop w:val="0"/>
                                                      <w:marBottom w:val="0"/>
                                                      <w:divBdr>
                                                        <w:top w:val="none" w:sz="0" w:space="0" w:color="auto"/>
                                                        <w:left w:val="none" w:sz="0" w:space="0" w:color="auto"/>
                                                        <w:bottom w:val="none" w:sz="0" w:space="0" w:color="auto"/>
                                                        <w:right w:val="none" w:sz="0" w:space="0" w:color="auto"/>
                                                      </w:divBdr>
                                                      <w:divsChild>
                                                        <w:div w:id="210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34229">
      <w:bodyDiv w:val="1"/>
      <w:marLeft w:val="0"/>
      <w:marRight w:val="0"/>
      <w:marTop w:val="0"/>
      <w:marBottom w:val="0"/>
      <w:divBdr>
        <w:top w:val="none" w:sz="0" w:space="0" w:color="auto"/>
        <w:left w:val="none" w:sz="0" w:space="0" w:color="auto"/>
        <w:bottom w:val="none" w:sz="0" w:space="0" w:color="auto"/>
        <w:right w:val="none" w:sz="0" w:space="0" w:color="auto"/>
      </w:divBdr>
      <w:divsChild>
        <w:div w:id="1815953444">
          <w:marLeft w:val="0"/>
          <w:marRight w:val="0"/>
          <w:marTop w:val="0"/>
          <w:marBottom w:val="0"/>
          <w:divBdr>
            <w:top w:val="none" w:sz="0" w:space="0" w:color="auto"/>
            <w:left w:val="none" w:sz="0" w:space="0" w:color="auto"/>
            <w:bottom w:val="none" w:sz="0" w:space="0" w:color="auto"/>
            <w:right w:val="none" w:sz="0" w:space="0" w:color="auto"/>
          </w:divBdr>
          <w:divsChild>
            <w:div w:id="393628660">
              <w:marLeft w:val="0"/>
              <w:marRight w:val="0"/>
              <w:marTop w:val="0"/>
              <w:marBottom w:val="0"/>
              <w:divBdr>
                <w:top w:val="none" w:sz="0" w:space="0" w:color="auto"/>
                <w:left w:val="none" w:sz="0" w:space="0" w:color="auto"/>
                <w:bottom w:val="none" w:sz="0" w:space="0" w:color="auto"/>
                <w:right w:val="none" w:sz="0" w:space="0" w:color="auto"/>
              </w:divBdr>
              <w:divsChild>
                <w:div w:id="790367907">
                  <w:marLeft w:val="0"/>
                  <w:marRight w:val="0"/>
                  <w:marTop w:val="0"/>
                  <w:marBottom w:val="0"/>
                  <w:divBdr>
                    <w:top w:val="none" w:sz="0" w:space="0" w:color="auto"/>
                    <w:left w:val="none" w:sz="0" w:space="0" w:color="auto"/>
                    <w:bottom w:val="none" w:sz="0" w:space="0" w:color="auto"/>
                    <w:right w:val="none" w:sz="0" w:space="0" w:color="auto"/>
                  </w:divBdr>
                  <w:divsChild>
                    <w:div w:id="2028746587">
                      <w:marLeft w:val="1"/>
                      <w:marRight w:val="1"/>
                      <w:marTop w:val="0"/>
                      <w:marBottom w:val="0"/>
                      <w:divBdr>
                        <w:top w:val="none" w:sz="0" w:space="0" w:color="auto"/>
                        <w:left w:val="none" w:sz="0" w:space="0" w:color="auto"/>
                        <w:bottom w:val="none" w:sz="0" w:space="0" w:color="auto"/>
                        <w:right w:val="none" w:sz="0" w:space="0" w:color="auto"/>
                      </w:divBdr>
                      <w:divsChild>
                        <w:div w:id="1943026622">
                          <w:marLeft w:val="0"/>
                          <w:marRight w:val="0"/>
                          <w:marTop w:val="0"/>
                          <w:marBottom w:val="0"/>
                          <w:divBdr>
                            <w:top w:val="none" w:sz="0" w:space="0" w:color="auto"/>
                            <w:left w:val="none" w:sz="0" w:space="0" w:color="auto"/>
                            <w:bottom w:val="none" w:sz="0" w:space="0" w:color="auto"/>
                            <w:right w:val="none" w:sz="0" w:space="0" w:color="auto"/>
                          </w:divBdr>
                          <w:divsChild>
                            <w:div w:id="1064567548">
                              <w:marLeft w:val="0"/>
                              <w:marRight w:val="0"/>
                              <w:marTop w:val="0"/>
                              <w:marBottom w:val="360"/>
                              <w:divBdr>
                                <w:top w:val="none" w:sz="0" w:space="0" w:color="auto"/>
                                <w:left w:val="none" w:sz="0" w:space="0" w:color="auto"/>
                                <w:bottom w:val="none" w:sz="0" w:space="0" w:color="auto"/>
                                <w:right w:val="none" w:sz="0" w:space="0" w:color="auto"/>
                              </w:divBdr>
                              <w:divsChild>
                                <w:div w:id="157156434">
                                  <w:marLeft w:val="0"/>
                                  <w:marRight w:val="0"/>
                                  <w:marTop w:val="0"/>
                                  <w:marBottom w:val="0"/>
                                  <w:divBdr>
                                    <w:top w:val="none" w:sz="0" w:space="0" w:color="auto"/>
                                    <w:left w:val="none" w:sz="0" w:space="0" w:color="auto"/>
                                    <w:bottom w:val="none" w:sz="0" w:space="0" w:color="auto"/>
                                    <w:right w:val="none" w:sz="0" w:space="0" w:color="auto"/>
                                  </w:divBdr>
                                  <w:divsChild>
                                    <w:div w:id="435444672">
                                      <w:marLeft w:val="0"/>
                                      <w:marRight w:val="0"/>
                                      <w:marTop w:val="0"/>
                                      <w:marBottom w:val="0"/>
                                      <w:divBdr>
                                        <w:top w:val="none" w:sz="0" w:space="0" w:color="auto"/>
                                        <w:left w:val="none" w:sz="0" w:space="0" w:color="auto"/>
                                        <w:bottom w:val="none" w:sz="0" w:space="0" w:color="auto"/>
                                        <w:right w:val="none" w:sz="0" w:space="0" w:color="auto"/>
                                      </w:divBdr>
                                      <w:divsChild>
                                        <w:div w:id="795222139">
                                          <w:marLeft w:val="0"/>
                                          <w:marRight w:val="0"/>
                                          <w:marTop w:val="0"/>
                                          <w:marBottom w:val="0"/>
                                          <w:divBdr>
                                            <w:top w:val="none" w:sz="0" w:space="0" w:color="auto"/>
                                            <w:left w:val="none" w:sz="0" w:space="0" w:color="auto"/>
                                            <w:bottom w:val="none" w:sz="0" w:space="0" w:color="auto"/>
                                            <w:right w:val="none" w:sz="0" w:space="0" w:color="auto"/>
                                          </w:divBdr>
                                          <w:divsChild>
                                            <w:div w:id="1972976895">
                                              <w:marLeft w:val="0"/>
                                              <w:marRight w:val="0"/>
                                              <w:marTop w:val="0"/>
                                              <w:marBottom w:val="0"/>
                                              <w:divBdr>
                                                <w:top w:val="none" w:sz="0" w:space="0" w:color="auto"/>
                                                <w:left w:val="none" w:sz="0" w:space="0" w:color="auto"/>
                                                <w:bottom w:val="none" w:sz="0" w:space="0" w:color="auto"/>
                                                <w:right w:val="none" w:sz="0" w:space="0" w:color="auto"/>
                                              </w:divBdr>
                                              <w:divsChild>
                                                <w:div w:id="611674012">
                                                  <w:marLeft w:val="0"/>
                                                  <w:marRight w:val="0"/>
                                                  <w:marTop w:val="0"/>
                                                  <w:marBottom w:val="0"/>
                                                  <w:divBdr>
                                                    <w:top w:val="none" w:sz="0" w:space="0" w:color="auto"/>
                                                    <w:left w:val="none" w:sz="0" w:space="0" w:color="auto"/>
                                                    <w:bottom w:val="none" w:sz="0" w:space="0" w:color="auto"/>
                                                    <w:right w:val="none" w:sz="0" w:space="0" w:color="auto"/>
                                                  </w:divBdr>
                                                  <w:divsChild>
                                                    <w:div w:id="1592591127">
                                                      <w:marLeft w:val="0"/>
                                                      <w:marRight w:val="0"/>
                                                      <w:marTop w:val="0"/>
                                                      <w:marBottom w:val="0"/>
                                                      <w:divBdr>
                                                        <w:top w:val="none" w:sz="0" w:space="0" w:color="auto"/>
                                                        <w:left w:val="none" w:sz="0" w:space="0" w:color="auto"/>
                                                        <w:bottom w:val="none" w:sz="0" w:space="0" w:color="auto"/>
                                                        <w:right w:val="none" w:sz="0" w:space="0" w:color="auto"/>
                                                      </w:divBdr>
                                                      <w:divsChild>
                                                        <w:div w:id="49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03430">
      <w:bodyDiv w:val="1"/>
      <w:marLeft w:val="0"/>
      <w:marRight w:val="0"/>
      <w:marTop w:val="0"/>
      <w:marBottom w:val="0"/>
      <w:divBdr>
        <w:top w:val="none" w:sz="0" w:space="0" w:color="auto"/>
        <w:left w:val="none" w:sz="0" w:space="0" w:color="auto"/>
        <w:bottom w:val="none" w:sz="0" w:space="0" w:color="auto"/>
        <w:right w:val="none" w:sz="0" w:space="0" w:color="auto"/>
      </w:divBdr>
    </w:div>
    <w:div w:id="1506019174">
      <w:bodyDiv w:val="1"/>
      <w:marLeft w:val="0"/>
      <w:marRight w:val="0"/>
      <w:marTop w:val="0"/>
      <w:marBottom w:val="0"/>
      <w:divBdr>
        <w:top w:val="none" w:sz="0" w:space="0" w:color="auto"/>
        <w:left w:val="none" w:sz="0" w:space="0" w:color="auto"/>
        <w:bottom w:val="none" w:sz="0" w:space="0" w:color="auto"/>
        <w:right w:val="none" w:sz="0" w:space="0" w:color="auto"/>
      </w:divBdr>
      <w:divsChild>
        <w:div w:id="1942182550">
          <w:marLeft w:val="0"/>
          <w:marRight w:val="0"/>
          <w:marTop w:val="0"/>
          <w:marBottom w:val="0"/>
          <w:divBdr>
            <w:top w:val="none" w:sz="0" w:space="0" w:color="auto"/>
            <w:left w:val="none" w:sz="0" w:space="0" w:color="auto"/>
            <w:bottom w:val="none" w:sz="0" w:space="0" w:color="auto"/>
            <w:right w:val="none" w:sz="0" w:space="0" w:color="auto"/>
          </w:divBdr>
          <w:divsChild>
            <w:div w:id="1114133176">
              <w:marLeft w:val="0"/>
              <w:marRight w:val="0"/>
              <w:marTop w:val="0"/>
              <w:marBottom w:val="0"/>
              <w:divBdr>
                <w:top w:val="none" w:sz="0" w:space="0" w:color="auto"/>
                <w:left w:val="none" w:sz="0" w:space="0" w:color="auto"/>
                <w:bottom w:val="none" w:sz="0" w:space="0" w:color="auto"/>
                <w:right w:val="none" w:sz="0" w:space="0" w:color="auto"/>
              </w:divBdr>
              <w:divsChild>
                <w:div w:id="300577785">
                  <w:marLeft w:val="0"/>
                  <w:marRight w:val="0"/>
                  <w:marTop w:val="0"/>
                  <w:marBottom w:val="0"/>
                  <w:divBdr>
                    <w:top w:val="none" w:sz="0" w:space="0" w:color="auto"/>
                    <w:left w:val="none" w:sz="0" w:space="0" w:color="auto"/>
                    <w:bottom w:val="none" w:sz="0" w:space="0" w:color="auto"/>
                    <w:right w:val="none" w:sz="0" w:space="0" w:color="auto"/>
                  </w:divBdr>
                  <w:divsChild>
                    <w:div w:id="1280407581">
                      <w:marLeft w:val="1"/>
                      <w:marRight w:val="1"/>
                      <w:marTop w:val="0"/>
                      <w:marBottom w:val="0"/>
                      <w:divBdr>
                        <w:top w:val="none" w:sz="0" w:space="0" w:color="auto"/>
                        <w:left w:val="none" w:sz="0" w:space="0" w:color="auto"/>
                        <w:bottom w:val="none" w:sz="0" w:space="0" w:color="auto"/>
                        <w:right w:val="none" w:sz="0" w:space="0" w:color="auto"/>
                      </w:divBdr>
                      <w:divsChild>
                        <w:div w:id="207761447">
                          <w:marLeft w:val="0"/>
                          <w:marRight w:val="0"/>
                          <w:marTop w:val="0"/>
                          <w:marBottom w:val="0"/>
                          <w:divBdr>
                            <w:top w:val="none" w:sz="0" w:space="0" w:color="auto"/>
                            <w:left w:val="none" w:sz="0" w:space="0" w:color="auto"/>
                            <w:bottom w:val="none" w:sz="0" w:space="0" w:color="auto"/>
                            <w:right w:val="none" w:sz="0" w:space="0" w:color="auto"/>
                          </w:divBdr>
                          <w:divsChild>
                            <w:div w:id="835345138">
                              <w:marLeft w:val="0"/>
                              <w:marRight w:val="0"/>
                              <w:marTop w:val="0"/>
                              <w:marBottom w:val="360"/>
                              <w:divBdr>
                                <w:top w:val="none" w:sz="0" w:space="0" w:color="auto"/>
                                <w:left w:val="none" w:sz="0" w:space="0" w:color="auto"/>
                                <w:bottom w:val="none" w:sz="0" w:space="0" w:color="auto"/>
                                <w:right w:val="none" w:sz="0" w:space="0" w:color="auto"/>
                              </w:divBdr>
                              <w:divsChild>
                                <w:div w:id="1452892388">
                                  <w:marLeft w:val="0"/>
                                  <w:marRight w:val="0"/>
                                  <w:marTop w:val="0"/>
                                  <w:marBottom w:val="0"/>
                                  <w:divBdr>
                                    <w:top w:val="none" w:sz="0" w:space="0" w:color="auto"/>
                                    <w:left w:val="none" w:sz="0" w:space="0" w:color="auto"/>
                                    <w:bottom w:val="none" w:sz="0" w:space="0" w:color="auto"/>
                                    <w:right w:val="none" w:sz="0" w:space="0" w:color="auto"/>
                                  </w:divBdr>
                                  <w:divsChild>
                                    <w:div w:id="1229880104">
                                      <w:marLeft w:val="0"/>
                                      <w:marRight w:val="0"/>
                                      <w:marTop w:val="0"/>
                                      <w:marBottom w:val="0"/>
                                      <w:divBdr>
                                        <w:top w:val="none" w:sz="0" w:space="0" w:color="auto"/>
                                        <w:left w:val="none" w:sz="0" w:space="0" w:color="auto"/>
                                        <w:bottom w:val="none" w:sz="0" w:space="0" w:color="auto"/>
                                        <w:right w:val="none" w:sz="0" w:space="0" w:color="auto"/>
                                      </w:divBdr>
                                      <w:divsChild>
                                        <w:div w:id="1827167674">
                                          <w:marLeft w:val="0"/>
                                          <w:marRight w:val="0"/>
                                          <w:marTop w:val="0"/>
                                          <w:marBottom w:val="0"/>
                                          <w:divBdr>
                                            <w:top w:val="none" w:sz="0" w:space="0" w:color="auto"/>
                                            <w:left w:val="none" w:sz="0" w:space="0" w:color="auto"/>
                                            <w:bottom w:val="none" w:sz="0" w:space="0" w:color="auto"/>
                                            <w:right w:val="none" w:sz="0" w:space="0" w:color="auto"/>
                                          </w:divBdr>
                                          <w:divsChild>
                                            <w:div w:id="664895173">
                                              <w:marLeft w:val="0"/>
                                              <w:marRight w:val="0"/>
                                              <w:marTop w:val="0"/>
                                              <w:marBottom w:val="0"/>
                                              <w:divBdr>
                                                <w:top w:val="none" w:sz="0" w:space="0" w:color="auto"/>
                                                <w:left w:val="none" w:sz="0" w:space="0" w:color="auto"/>
                                                <w:bottom w:val="none" w:sz="0" w:space="0" w:color="auto"/>
                                                <w:right w:val="none" w:sz="0" w:space="0" w:color="auto"/>
                                              </w:divBdr>
                                              <w:divsChild>
                                                <w:div w:id="1352414840">
                                                  <w:marLeft w:val="0"/>
                                                  <w:marRight w:val="0"/>
                                                  <w:marTop w:val="0"/>
                                                  <w:marBottom w:val="0"/>
                                                  <w:divBdr>
                                                    <w:top w:val="none" w:sz="0" w:space="0" w:color="auto"/>
                                                    <w:left w:val="none" w:sz="0" w:space="0" w:color="auto"/>
                                                    <w:bottom w:val="none" w:sz="0" w:space="0" w:color="auto"/>
                                                    <w:right w:val="none" w:sz="0" w:space="0" w:color="auto"/>
                                                  </w:divBdr>
                                                  <w:divsChild>
                                                    <w:div w:id="401487734">
                                                      <w:marLeft w:val="0"/>
                                                      <w:marRight w:val="0"/>
                                                      <w:marTop w:val="0"/>
                                                      <w:marBottom w:val="0"/>
                                                      <w:divBdr>
                                                        <w:top w:val="none" w:sz="0" w:space="0" w:color="auto"/>
                                                        <w:left w:val="none" w:sz="0" w:space="0" w:color="auto"/>
                                                        <w:bottom w:val="none" w:sz="0" w:space="0" w:color="auto"/>
                                                        <w:right w:val="none" w:sz="0" w:space="0" w:color="auto"/>
                                                      </w:divBdr>
                                                      <w:divsChild>
                                                        <w:div w:id="1789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7420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43">
          <w:marLeft w:val="0"/>
          <w:marRight w:val="0"/>
          <w:marTop w:val="0"/>
          <w:marBottom w:val="0"/>
          <w:divBdr>
            <w:top w:val="none" w:sz="0" w:space="0" w:color="auto"/>
            <w:left w:val="none" w:sz="0" w:space="0" w:color="auto"/>
            <w:bottom w:val="none" w:sz="0" w:space="0" w:color="auto"/>
            <w:right w:val="none" w:sz="0" w:space="0" w:color="auto"/>
          </w:divBdr>
          <w:divsChild>
            <w:div w:id="2027097901">
              <w:marLeft w:val="0"/>
              <w:marRight w:val="0"/>
              <w:marTop w:val="0"/>
              <w:marBottom w:val="0"/>
              <w:divBdr>
                <w:top w:val="none" w:sz="0" w:space="0" w:color="auto"/>
                <w:left w:val="none" w:sz="0" w:space="0" w:color="auto"/>
                <w:bottom w:val="none" w:sz="0" w:space="0" w:color="auto"/>
                <w:right w:val="none" w:sz="0" w:space="0" w:color="auto"/>
              </w:divBdr>
              <w:divsChild>
                <w:div w:id="1169826678">
                  <w:marLeft w:val="0"/>
                  <w:marRight w:val="0"/>
                  <w:marTop w:val="0"/>
                  <w:marBottom w:val="0"/>
                  <w:divBdr>
                    <w:top w:val="none" w:sz="0" w:space="0" w:color="auto"/>
                    <w:left w:val="none" w:sz="0" w:space="0" w:color="auto"/>
                    <w:bottom w:val="none" w:sz="0" w:space="0" w:color="auto"/>
                    <w:right w:val="none" w:sz="0" w:space="0" w:color="auto"/>
                  </w:divBdr>
                  <w:divsChild>
                    <w:div w:id="1819683194">
                      <w:marLeft w:val="1"/>
                      <w:marRight w:val="1"/>
                      <w:marTop w:val="0"/>
                      <w:marBottom w:val="0"/>
                      <w:divBdr>
                        <w:top w:val="none" w:sz="0" w:space="0" w:color="auto"/>
                        <w:left w:val="none" w:sz="0" w:space="0" w:color="auto"/>
                        <w:bottom w:val="none" w:sz="0" w:space="0" w:color="auto"/>
                        <w:right w:val="none" w:sz="0" w:space="0" w:color="auto"/>
                      </w:divBdr>
                      <w:divsChild>
                        <w:div w:id="314258545">
                          <w:marLeft w:val="0"/>
                          <w:marRight w:val="0"/>
                          <w:marTop w:val="0"/>
                          <w:marBottom w:val="0"/>
                          <w:divBdr>
                            <w:top w:val="none" w:sz="0" w:space="0" w:color="auto"/>
                            <w:left w:val="none" w:sz="0" w:space="0" w:color="auto"/>
                            <w:bottom w:val="none" w:sz="0" w:space="0" w:color="auto"/>
                            <w:right w:val="none" w:sz="0" w:space="0" w:color="auto"/>
                          </w:divBdr>
                          <w:divsChild>
                            <w:div w:id="792138010">
                              <w:marLeft w:val="0"/>
                              <w:marRight w:val="0"/>
                              <w:marTop w:val="0"/>
                              <w:marBottom w:val="360"/>
                              <w:divBdr>
                                <w:top w:val="none" w:sz="0" w:space="0" w:color="auto"/>
                                <w:left w:val="none" w:sz="0" w:space="0" w:color="auto"/>
                                <w:bottom w:val="none" w:sz="0" w:space="0" w:color="auto"/>
                                <w:right w:val="none" w:sz="0" w:space="0" w:color="auto"/>
                              </w:divBdr>
                              <w:divsChild>
                                <w:div w:id="1871062947">
                                  <w:marLeft w:val="0"/>
                                  <w:marRight w:val="0"/>
                                  <w:marTop w:val="0"/>
                                  <w:marBottom w:val="0"/>
                                  <w:divBdr>
                                    <w:top w:val="none" w:sz="0" w:space="0" w:color="auto"/>
                                    <w:left w:val="none" w:sz="0" w:space="0" w:color="auto"/>
                                    <w:bottom w:val="none" w:sz="0" w:space="0" w:color="auto"/>
                                    <w:right w:val="none" w:sz="0" w:space="0" w:color="auto"/>
                                  </w:divBdr>
                                  <w:divsChild>
                                    <w:div w:id="1840002608">
                                      <w:marLeft w:val="0"/>
                                      <w:marRight w:val="0"/>
                                      <w:marTop w:val="0"/>
                                      <w:marBottom w:val="0"/>
                                      <w:divBdr>
                                        <w:top w:val="none" w:sz="0" w:space="0" w:color="auto"/>
                                        <w:left w:val="none" w:sz="0" w:space="0" w:color="auto"/>
                                        <w:bottom w:val="none" w:sz="0" w:space="0" w:color="auto"/>
                                        <w:right w:val="none" w:sz="0" w:space="0" w:color="auto"/>
                                      </w:divBdr>
                                      <w:divsChild>
                                        <w:div w:id="539128182">
                                          <w:marLeft w:val="0"/>
                                          <w:marRight w:val="0"/>
                                          <w:marTop w:val="0"/>
                                          <w:marBottom w:val="0"/>
                                          <w:divBdr>
                                            <w:top w:val="none" w:sz="0" w:space="0" w:color="auto"/>
                                            <w:left w:val="none" w:sz="0" w:space="0" w:color="auto"/>
                                            <w:bottom w:val="none" w:sz="0" w:space="0" w:color="auto"/>
                                            <w:right w:val="none" w:sz="0" w:space="0" w:color="auto"/>
                                          </w:divBdr>
                                          <w:divsChild>
                                            <w:div w:id="1410806001">
                                              <w:marLeft w:val="0"/>
                                              <w:marRight w:val="0"/>
                                              <w:marTop w:val="0"/>
                                              <w:marBottom w:val="0"/>
                                              <w:divBdr>
                                                <w:top w:val="none" w:sz="0" w:space="0" w:color="auto"/>
                                                <w:left w:val="none" w:sz="0" w:space="0" w:color="auto"/>
                                                <w:bottom w:val="none" w:sz="0" w:space="0" w:color="auto"/>
                                                <w:right w:val="none" w:sz="0" w:space="0" w:color="auto"/>
                                              </w:divBdr>
                                              <w:divsChild>
                                                <w:div w:id="1723287426">
                                                  <w:marLeft w:val="0"/>
                                                  <w:marRight w:val="0"/>
                                                  <w:marTop w:val="0"/>
                                                  <w:marBottom w:val="0"/>
                                                  <w:divBdr>
                                                    <w:top w:val="none" w:sz="0" w:space="0" w:color="auto"/>
                                                    <w:left w:val="none" w:sz="0" w:space="0" w:color="auto"/>
                                                    <w:bottom w:val="none" w:sz="0" w:space="0" w:color="auto"/>
                                                    <w:right w:val="none" w:sz="0" w:space="0" w:color="auto"/>
                                                  </w:divBdr>
                                                  <w:divsChild>
                                                    <w:div w:id="2110814943">
                                                      <w:marLeft w:val="0"/>
                                                      <w:marRight w:val="0"/>
                                                      <w:marTop w:val="0"/>
                                                      <w:marBottom w:val="0"/>
                                                      <w:divBdr>
                                                        <w:top w:val="none" w:sz="0" w:space="0" w:color="auto"/>
                                                        <w:left w:val="none" w:sz="0" w:space="0" w:color="auto"/>
                                                        <w:bottom w:val="none" w:sz="0" w:space="0" w:color="auto"/>
                                                        <w:right w:val="none" w:sz="0" w:space="0" w:color="auto"/>
                                                      </w:divBdr>
                                                      <w:divsChild>
                                                        <w:div w:id="740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3786">
      <w:bodyDiv w:val="1"/>
      <w:marLeft w:val="0"/>
      <w:marRight w:val="0"/>
      <w:marTop w:val="0"/>
      <w:marBottom w:val="0"/>
      <w:divBdr>
        <w:top w:val="none" w:sz="0" w:space="0" w:color="auto"/>
        <w:left w:val="none" w:sz="0" w:space="0" w:color="auto"/>
        <w:bottom w:val="none" w:sz="0" w:space="0" w:color="auto"/>
        <w:right w:val="none" w:sz="0" w:space="0" w:color="auto"/>
      </w:divBdr>
      <w:divsChild>
        <w:div w:id="1149126990">
          <w:marLeft w:val="0"/>
          <w:marRight w:val="0"/>
          <w:marTop w:val="0"/>
          <w:marBottom w:val="0"/>
          <w:divBdr>
            <w:top w:val="none" w:sz="0" w:space="0" w:color="auto"/>
            <w:left w:val="none" w:sz="0" w:space="0" w:color="auto"/>
            <w:bottom w:val="none" w:sz="0" w:space="0" w:color="auto"/>
            <w:right w:val="none" w:sz="0" w:space="0" w:color="auto"/>
          </w:divBdr>
          <w:divsChild>
            <w:div w:id="700284331">
              <w:marLeft w:val="0"/>
              <w:marRight w:val="0"/>
              <w:marTop w:val="0"/>
              <w:marBottom w:val="0"/>
              <w:divBdr>
                <w:top w:val="none" w:sz="0" w:space="0" w:color="auto"/>
                <w:left w:val="none" w:sz="0" w:space="0" w:color="auto"/>
                <w:bottom w:val="none" w:sz="0" w:space="0" w:color="auto"/>
                <w:right w:val="none" w:sz="0" w:space="0" w:color="auto"/>
              </w:divBdr>
              <w:divsChild>
                <w:div w:id="421415695">
                  <w:marLeft w:val="0"/>
                  <w:marRight w:val="0"/>
                  <w:marTop w:val="0"/>
                  <w:marBottom w:val="0"/>
                  <w:divBdr>
                    <w:top w:val="none" w:sz="0" w:space="0" w:color="auto"/>
                    <w:left w:val="none" w:sz="0" w:space="0" w:color="auto"/>
                    <w:bottom w:val="none" w:sz="0" w:space="0" w:color="auto"/>
                    <w:right w:val="none" w:sz="0" w:space="0" w:color="auto"/>
                  </w:divBdr>
                  <w:divsChild>
                    <w:div w:id="1660693377">
                      <w:marLeft w:val="1"/>
                      <w:marRight w:val="1"/>
                      <w:marTop w:val="0"/>
                      <w:marBottom w:val="0"/>
                      <w:divBdr>
                        <w:top w:val="none" w:sz="0" w:space="0" w:color="auto"/>
                        <w:left w:val="none" w:sz="0" w:space="0" w:color="auto"/>
                        <w:bottom w:val="none" w:sz="0" w:space="0" w:color="auto"/>
                        <w:right w:val="none" w:sz="0" w:space="0" w:color="auto"/>
                      </w:divBdr>
                      <w:divsChild>
                        <w:div w:id="1751808465">
                          <w:marLeft w:val="0"/>
                          <w:marRight w:val="0"/>
                          <w:marTop w:val="0"/>
                          <w:marBottom w:val="0"/>
                          <w:divBdr>
                            <w:top w:val="none" w:sz="0" w:space="0" w:color="auto"/>
                            <w:left w:val="none" w:sz="0" w:space="0" w:color="auto"/>
                            <w:bottom w:val="none" w:sz="0" w:space="0" w:color="auto"/>
                            <w:right w:val="none" w:sz="0" w:space="0" w:color="auto"/>
                          </w:divBdr>
                          <w:divsChild>
                            <w:div w:id="809635790">
                              <w:marLeft w:val="0"/>
                              <w:marRight w:val="0"/>
                              <w:marTop w:val="0"/>
                              <w:marBottom w:val="360"/>
                              <w:divBdr>
                                <w:top w:val="none" w:sz="0" w:space="0" w:color="auto"/>
                                <w:left w:val="none" w:sz="0" w:space="0" w:color="auto"/>
                                <w:bottom w:val="none" w:sz="0" w:space="0" w:color="auto"/>
                                <w:right w:val="none" w:sz="0" w:space="0" w:color="auto"/>
                              </w:divBdr>
                              <w:divsChild>
                                <w:div w:id="1484545962">
                                  <w:marLeft w:val="0"/>
                                  <w:marRight w:val="0"/>
                                  <w:marTop w:val="0"/>
                                  <w:marBottom w:val="0"/>
                                  <w:divBdr>
                                    <w:top w:val="none" w:sz="0" w:space="0" w:color="auto"/>
                                    <w:left w:val="none" w:sz="0" w:space="0" w:color="auto"/>
                                    <w:bottom w:val="none" w:sz="0" w:space="0" w:color="auto"/>
                                    <w:right w:val="none" w:sz="0" w:space="0" w:color="auto"/>
                                  </w:divBdr>
                                  <w:divsChild>
                                    <w:div w:id="2032800188">
                                      <w:marLeft w:val="0"/>
                                      <w:marRight w:val="0"/>
                                      <w:marTop w:val="0"/>
                                      <w:marBottom w:val="0"/>
                                      <w:divBdr>
                                        <w:top w:val="none" w:sz="0" w:space="0" w:color="auto"/>
                                        <w:left w:val="none" w:sz="0" w:space="0" w:color="auto"/>
                                        <w:bottom w:val="none" w:sz="0" w:space="0" w:color="auto"/>
                                        <w:right w:val="none" w:sz="0" w:space="0" w:color="auto"/>
                                      </w:divBdr>
                                      <w:divsChild>
                                        <w:div w:id="358553051">
                                          <w:marLeft w:val="0"/>
                                          <w:marRight w:val="0"/>
                                          <w:marTop w:val="0"/>
                                          <w:marBottom w:val="0"/>
                                          <w:divBdr>
                                            <w:top w:val="none" w:sz="0" w:space="0" w:color="auto"/>
                                            <w:left w:val="none" w:sz="0" w:space="0" w:color="auto"/>
                                            <w:bottom w:val="none" w:sz="0" w:space="0" w:color="auto"/>
                                            <w:right w:val="none" w:sz="0" w:space="0" w:color="auto"/>
                                          </w:divBdr>
                                          <w:divsChild>
                                            <w:div w:id="749621478">
                                              <w:marLeft w:val="0"/>
                                              <w:marRight w:val="0"/>
                                              <w:marTop w:val="0"/>
                                              <w:marBottom w:val="0"/>
                                              <w:divBdr>
                                                <w:top w:val="none" w:sz="0" w:space="0" w:color="auto"/>
                                                <w:left w:val="none" w:sz="0" w:space="0" w:color="auto"/>
                                                <w:bottom w:val="none" w:sz="0" w:space="0" w:color="auto"/>
                                                <w:right w:val="none" w:sz="0" w:space="0" w:color="auto"/>
                                              </w:divBdr>
                                              <w:divsChild>
                                                <w:div w:id="1164591346">
                                                  <w:marLeft w:val="0"/>
                                                  <w:marRight w:val="0"/>
                                                  <w:marTop w:val="0"/>
                                                  <w:marBottom w:val="0"/>
                                                  <w:divBdr>
                                                    <w:top w:val="none" w:sz="0" w:space="0" w:color="auto"/>
                                                    <w:left w:val="none" w:sz="0" w:space="0" w:color="auto"/>
                                                    <w:bottom w:val="none" w:sz="0" w:space="0" w:color="auto"/>
                                                    <w:right w:val="none" w:sz="0" w:space="0" w:color="auto"/>
                                                  </w:divBdr>
                                                  <w:divsChild>
                                                    <w:div w:id="999382448">
                                                      <w:marLeft w:val="0"/>
                                                      <w:marRight w:val="0"/>
                                                      <w:marTop w:val="0"/>
                                                      <w:marBottom w:val="0"/>
                                                      <w:divBdr>
                                                        <w:top w:val="none" w:sz="0" w:space="0" w:color="auto"/>
                                                        <w:left w:val="none" w:sz="0" w:space="0" w:color="auto"/>
                                                        <w:bottom w:val="none" w:sz="0" w:space="0" w:color="auto"/>
                                                        <w:right w:val="none" w:sz="0" w:space="0" w:color="auto"/>
                                                      </w:divBdr>
                                                      <w:divsChild>
                                                        <w:div w:id="65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54701">
      <w:bodyDiv w:val="1"/>
      <w:marLeft w:val="0"/>
      <w:marRight w:val="0"/>
      <w:marTop w:val="0"/>
      <w:marBottom w:val="0"/>
      <w:divBdr>
        <w:top w:val="none" w:sz="0" w:space="0" w:color="auto"/>
        <w:left w:val="none" w:sz="0" w:space="0" w:color="auto"/>
        <w:bottom w:val="none" w:sz="0" w:space="0" w:color="auto"/>
        <w:right w:val="none" w:sz="0" w:space="0" w:color="auto"/>
      </w:divBdr>
      <w:divsChild>
        <w:div w:id="968972707">
          <w:marLeft w:val="0"/>
          <w:marRight w:val="0"/>
          <w:marTop w:val="0"/>
          <w:marBottom w:val="0"/>
          <w:divBdr>
            <w:top w:val="none" w:sz="0" w:space="0" w:color="auto"/>
            <w:left w:val="none" w:sz="0" w:space="0" w:color="auto"/>
            <w:bottom w:val="none" w:sz="0" w:space="0" w:color="auto"/>
            <w:right w:val="none" w:sz="0" w:space="0" w:color="auto"/>
          </w:divBdr>
          <w:divsChild>
            <w:div w:id="1841431340">
              <w:marLeft w:val="0"/>
              <w:marRight w:val="0"/>
              <w:marTop w:val="0"/>
              <w:marBottom w:val="0"/>
              <w:divBdr>
                <w:top w:val="none" w:sz="0" w:space="0" w:color="auto"/>
                <w:left w:val="none" w:sz="0" w:space="0" w:color="auto"/>
                <w:bottom w:val="none" w:sz="0" w:space="0" w:color="auto"/>
                <w:right w:val="none" w:sz="0" w:space="0" w:color="auto"/>
              </w:divBdr>
              <w:divsChild>
                <w:div w:id="576743454">
                  <w:marLeft w:val="0"/>
                  <w:marRight w:val="0"/>
                  <w:marTop w:val="0"/>
                  <w:marBottom w:val="0"/>
                  <w:divBdr>
                    <w:top w:val="none" w:sz="0" w:space="0" w:color="auto"/>
                    <w:left w:val="none" w:sz="0" w:space="0" w:color="auto"/>
                    <w:bottom w:val="none" w:sz="0" w:space="0" w:color="auto"/>
                    <w:right w:val="none" w:sz="0" w:space="0" w:color="auto"/>
                  </w:divBdr>
                  <w:divsChild>
                    <w:div w:id="1719041073">
                      <w:marLeft w:val="1"/>
                      <w:marRight w:val="1"/>
                      <w:marTop w:val="0"/>
                      <w:marBottom w:val="0"/>
                      <w:divBdr>
                        <w:top w:val="none" w:sz="0" w:space="0" w:color="auto"/>
                        <w:left w:val="none" w:sz="0" w:space="0" w:color="auto"/>
                        <w:bottom w:val="none" w:sz="0" w:space="0" w:color="auto"/>
                        <w:right w:val="none" w:sz="0" w:space="0" w:color="auto"/>
                      </w:divBdr>
                      <w:divsChild>
                        <w:div w:id="1667316910">
                          <w:marLeft w:val="0"/>
                          <w:marRight w:val="0"/>
                          <w:marTop w:val="0"/>
                          <w:marBottom w:val="0"/>
                          <w:divBdr>
                            <w:top w:val="none" w:sz="0" w:space="0" w:color="auto"/>
                            <w:left w:val="none" w:sz="0" w:space="0" w:color="auto"/>
                            <w:bottom w:val="none" w:sz="0" w:space="0" w:color="auto"/>
                            <w:right w:val="none" w:sz="0" w:space="0" w:color="auto"/>
                          </w:divBdr>
                          <w:divsChild>
                            <w:div w:id="1460369492">
                              <w:marLeft w:val="0"/>
                              <w:marRight w:val="0"/>
                              <w:marTop w:val="0"/>
                              <w:marBottom w:val="360"/>
                              <w:divBdr>
                                <w:top w:val="none" w:sz="0" w:space="0" w:color="auto"/>
                                <w:left w:val="none" w:sz="0" w:space="0" w:color="auto"/>
                                <w:bottom w:val="none" w:sz="0" w:space="0" w:color="auto"/>
                                <w:right w:val="none" w:sz="0" w:space="0" w:color="auto"/>
                              </w:divBdr>
                              <w:divsChild>
                                <w:div w:id="866407942">
                                  <w:marLeft w:val="0"/>
                                  <w:marRight w:val="0"/>
                                  <w:marTop w:val="0"/>
                                  <w:marBottom w:val="0"/>
                                  <w:divBdr>
                                    <w:top w:val="none" w:sz="0" w:space="0" w:color="auto"/>
                                    <w:left w:val="none" w:sz="0" w:space="0" w:color="auto"/>
                                    <w:bottom w:val="none" w:sz="0" w:space="0" w:color="auto"/>
                                    <w:right w:val="none" w:sz="0" w:space="0" w:color="auto"/>
                                  </w:divBdr>
                                  <w:divsChild>
                                    <w:div w:id="516312978">
                                      <w:marLeft w:val="0"/>
                                      <w:marRight w:val="0"/>
                                      <w:marTop w:val="0"/>
                                      <w:marBottom w:val="0"/>
                                      <w:divBdr>
                                        <w:top w:val="none" w:sz="0" w:space="0" w:color="auto"/>
                                        <w:left w:val="none" w:sz="0" w:space="0" w:color="auto"/>
                                        <w:bottom w:val="none" w:sz="0" w:space="0" w:color="auto"/>
                                        <w:right w:val="none" w:sz="0" w:space="0" w:color="auto"/>
                                      </w:divBdr>
                                      <w:divsChild>
                                        <w:div w:id="360322527">
                                          <w:marLeft w:val="0"/>
                                          <w:marRight w:val="0"/>
                                          <w:marTop w:val="0"/>
                                          <w:marBottom w:val="0"/>
                                          <w:divBdr>
                                            <w:top w:val="none" w:sz="0" w:space="0" w:color="auto"/>
                                            <w:left w:val="none" w:sz="0" w:space="0" w:color="auto"/>
                                            <w:bottom w:val="none" w:sz="0" w:space="0" w:color="auto"/>
                                            <w:right w:val="none" w:sz="0" w:space="0" w:color="auto"/>
                                          </w:divBdr>
                                          <w:divsChild>
                                            <w:div w:id="2070881850">
                                              <w:marLeft w:val="0"/>
                                              <w:marRight w:val="0"/>
                                              <w:marTop w:val="0"/>
                                              <w:marBottom w:val="0"/>
                                              <w:divBdr>
                                                <w:top w:val="none" w:sz="0" w:space="0" w:color="auto"/>
                                                <w:left w:val="none" w:sz="0" w:space="0" w:color="auto"/>
                                                <w:bottom w:val="none" w:sz="0" w:space="0" w:color="auto"/>
                                                <w:right w:val="none" w:sz="0" w:space="0" w:color="auto"/>
                                              </w:divBdr>
                                              <w:divsChild>
                                                <w:div w:id="2009090260">
                                                  <w:marLeft w:val="0"/>
                                                  <w:marRight w:val="0"/>
                                                  <w:marTop w:val="0"/>
                                                  <w:marBottom w:val="0"/>
                                                  <w:divBdr>
                                                    <w:top w:val="none" w:sz="0" w:space="0" w:color="auto"/>
                                                    <w:left w:val="none" w:sz="0" w:space="0" w:color="auto"/>
                                                    <w:bottom w:val="none" w:sz="0" w:space="0" w:color="auto"/>
                                                    <w:right w:val="none" w:sz="0" w:space="0" w:color="auto"/>
                                                  </w:divBdr>
                                                  <w:divsChild>
                                                    <w:div w:id="1645352925">
                                                      <w:marLeft w:val="0"/>
                                                      <w:marRight w:val="0"/>
                                                      <w:marTop w:val="0"/>
                                                      <w:marBottom w:val="0"/>
                                                      <w:divBdr>
                                                        <w:top w:val="none" w:sz="0" w:space="0" w:color="auto"/>
                                                        <w:left w:val="none" w:sz="0" w:space="0" w:color="auto"/>
                                                        <w:bottom w:val="none" w:sz="0" w:space="0" w:color="auto"/>
                                                        <w:right w:val="none" w:sz="0" w:space="0" w:color="auto"/>
                                                      </w:divBdr>
                                                      <w:divsChild>
                                                        <w:div w:id="1152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7683">
      <w:bodyDiv w:val="1"/>
      <w:marLeft w:val="0"/>
      <w:marRight w:val="0"/>
      <w:marTop w:val="0"/>
      <w:marBottom w:val="0"/>
      <w:divBdr>
        <w:top w:val="none" w:sz="0" w:space="0" w:color="auto"/>
        <w:left w:val="none" w:sz="0" w:space="0" w:color="auto"/>
        <w:bottom w:val="none" w:sz="0" w:space="0" w:color="auto"/>
        <w:right w:val="none" w:sz="0" w:space="0" w:color="auto"/>
      </w:divBdr>
    </w:div>
    <w:div w:id="1902213511">
      <w:bodyDiv w:val="1"/>
      <w:marLeft w:val="0"/>
      <w:marRight w:val="0"/>
      <w:marTop w:val="0"/>
      <w:marBottom w:val="0"/>
      <w:divBdr>
        <w:top w:val="none" w:sz="0" w:space="0" w:color="auto"/>
        <w:left w:val="none" w:sz="0" w:space="0" w:color="auto"/>
        <w:bottom w:val="none" w:sz="0" w:space="0" w:color="auto"/>
        <w:right w:val="none" w:sz="0" w:space="0" w:color="auto"/>
      </w:divBdr>
    </w:div>
    <w:div w:id="2014063174">
      <w:bodyDiv w:val="1"/>
      <w:marLeft w:val="0"/>
      <w:marRight w:val="0"/>
      <w:marTop w:val="0"/>
      <w:marBottom w:val="0"/>
      <w:divBdr>
        <w:top w:val="none" w:sz="0" w:space="0" w:color="auto"/>
        <w:left w:val="none" w:sz="0" w:space="0" w:color="auto"/>
        <w:bottom w:val="none" w:sz="0" w:space="0" w:color="auto"/>
        <w:right w:val="none" w:sz="0" w:space="0" w:color="auto"/>
      </w:divBdr>
      <w:divsChild>
        <w:div w:id="2055150944">
          <w:marLeft w:val="0"/>
          <w:marRight w:val="0"/>
          <w:marTop w:val="0"/>
          <w:marBottom w:val="0"/>
          <w:divBdr>
            <w:top w:val="none" w:sz="0" w:space="0" w:color="auto"/>
            <w:left w:val="none" w:sz="0" w:space="0" w:color="auto"/>
            <w:bottom w:val="none" w:sz="0" w:space="0" w:color="auto"/>
            <w:right w:val="none" w:sz="0" w:space="0" w:color="auto"/>
          </w:divBdr>
          <w:divsChild>
            <w:div w:id="1303386100">
              <w:marLeft w:val="0"/>
              <w:marRight w:val="0"/>
              <w:marTop w:val="0"/>
              <w:marBottom w:val="0"/>
              <w:divBdr>
                <w:top w:val="none" w:sz="0" w:space="0" w:color="auto"/>
                <w:left w:val="none" w:sz="0" w:space="0" w:color="auto"/>
                <w:bottom w:val="none" w:sz="0" w:space="0" w:color="auto"/>
                <w:right w:val="none" w:sz="0" w:space="0" w:color="auto"/>
              </w:divBdr>
              <w:divsChild>
                <w:div w:id="382677421">
                  <w:marLeft w:val="0"/>
                  <w:marRight w:val="0"/>
                  <w:marTop w:val="0"/>
                  <w:marBottom w:val="0"/>
                  <w:divBdr>
                    <w:top w:val="none" w:sz="0" w:space="0" w:color="auto"/>
                    <w:left w:val="none" w:sz="0" w:space="0" w:color="auto"/>
                    <w:bottom w:val="none" w:sz="0" w:space="0" w:color="auto"/>
                    <w:right w:val="none" w:sz="0" w:space="0" w:color="auto"/>
                  </w:divBdr>
                  <w:divsChild>
                    <w:div w:id="1218400849">
                      <w:marLeft w:val="1"/>
                      <w:marRight w:val="1"/>
                      <w:marTop w:val="0"/>
                      <w:marBottom w:val="0"/>
                      <w:divBdr>
                        <w:top w:val="none" w:sz="0" w:space="0" w:color="auto"/>
                        <w:left w:val="none" w:sz="0" w:space="0" w:color="auto"/>
                        <w:bottom w:val="none" w:sz="0" w:space="0" w:color="auto"/>
                        <w:right w:val="none" w:sz="0" w:space="0" w:color="auto"/>
                      </w:divBdr>
                      <w:divsChild>
                        <w:div w:id="2138837792">
                          <w:marLeft w:val="0"/>
                          <w:marRight w:val="0"/>
                          <w:marTop w:val="0"/>
                          <w:marBottom w:val="0"/>
                          <w:divBdr>
                            <w:top w:val="none" w:sz="0" w:space="0" w:color="auto"/>
                            <w:left w:val="none" w:sz="0" w:space="0" w:color="auto"/>
                            <w:bottom w:val="none" w:sz="0" w:space="0" w:color="auto"/>
                            <w:right w:val="none" w:sz="0" w:space="0" w:color="auto"/>
                          </w:divBdr>
                          <w:divsChild>
                            <w:div w:id="150174959">
                              <w:marLeft w:val="0"/>
                              <w:marRight w:val="0"/>
                              <w:marTop w:val="0"/>
                              <w:marBottom w:val="360"/>
                              <w:divBdr>
                                <w:top w:val="none" w:sz="0" w:space="0" w:color="auto"/>
                                <w:left w:val="none" w:sz="0" w:space="0" w:color="auto"/>
                                <w:bottom w:val="none" w:sz="0" w:space="0" w:color="auto"/>
                                <w:right w:val="none" w:sz="0" w:space="0" w:color="auto"/>
                              </w:divBdr>
                              <w:divsChild>
                                <w:div w:id="1422407177">
                                  <w:marLeft w:val="0"/>
                                  <w:marRight w:val="0"/>
                                  <w:marTop w:val="0"/>
                                  <w:marBottom w:val="0"/>
                                  <w:divBdr>
                                    <w:top w:val="none" w:sz="0" w:space="0" w:color="auto"/>
                                    <w:left w:val="none" w:sz="0" w:space="0" w:color="auto"/>
                                    <w:bottom w:val="none" w:sz="0" w:space="0" w:color="auto"/>
                                    <w:right w:val="none" w:sz="0" w:space="0" w:color="auto"/>
                                  </w:divBdr>
                                  <w:divsChild>
                                    <w:div w:id="1641613261">
                                      <w:marLeft w:val="0"/>
                                      <w:marRight w:val="0"/>
                                      <w:marTop w:val="0"/>
                                      <w:marBottom w:val="0"/>
                                      <w:divBdr>
                                        <w:top w:val="none" w:sz="0" w:space="0" w:color="auto"/>
                                        <w:left w:val="none" w:sz="0" w:space="0" w:color="auto"/>
                                        <w:bottom w:val="none" w:sz="0" w:space="0" w:color="auto"/>
                                        <w:right w:val="none" w:sz="0" w:space="0" w:color="auto"/>
                                      </w:divBdr>
                                      <w:divsChild>
                                        <w:div w:id="2128116600">
                                          <w:marLeft w:val="0"/>
                                          <w:marRight w:val="0"/>
                                          <w:marTop w:val="0"/>
                                          <w:marBottom w:val="0"/>
                                          <w:divBdr>
                                            <w:top w:val="none" w:sz="0" w:space="0" w:color="auto"/>
                                            <w:left w:val="none" w:sz="0" w:space="0" w:color="auto"/>
                                            <w:bottom w:val="none" w:sz="0" w:space="0" w:color="auto"/>
                                            <w:right w:val="none" w:sz="0" w:space="0" w:color="auto"/>
                                          </w:divBdr>
                                          <w:divsChild>
                                            <w:div w:id="416748202">
                                              <w:marLeft w:val="0"/>
                                              <w:marRight w:val="0"/>
                                              <w:marTop w:val="0"/>
                                              <w:marBottom w:val="0"/>
                                              <w:divBdr>
                                                <w:top w:val="none" w:sz="0" w:space="0" w:color="auto"/>
                                                <w:left w:val="none" w:sz="0" w:space="0" w:color="auto"/>
                                                <w:bottom w:val="none" w:sz="0" w:space="0" w:color="auto"/>
                                                <w:right w:val="none" w:sz="0" w:space="0" w:color="auto"/>
                                              </w:divBdr>
                                              <w:divsChild>
                                                <w:div w:id="2043742199">
                                                  <w:marLeft w:val="0"/>
                                                  <w:marRight w:val="0"/>
                                                  <w:marTop w:val="0"/>
                                                  <w:marBottom w:val="0"/>
                                                  <w:divBdr>
                                                    <w:top w:val="none" w:sz="0" w:space="0" w:color="auto"/>
                                                    <w:left w:val="none" w:sz="0" w:space="0" w:color="auto"/>
                                                    <w:bottom w:val="none" w:sz="0" w:space="0" w:color="auto"/>
                                                    <w:right w:val="none" w:sz="0" w:space="0" w:color="auto"/>
                                                  </w:divBdr>
                                                  <w:divsChild>
                                                    <w:div w:id="613098428">
                                                      <w:marLeft w:val="0"/>
                                                      <w:marRight w:val="0"/>
                                                      <w:marTop w:val="0"/>
                                                      <w:marBottom w:val="0"/>
                                                      <w:divBdr>
                                                        <w:top w:val="none" w:sz="0" w:space="0" w:color="auto"/>
                                                        <w:left w:val="none" w:sz="0" w:space="0" w:color="auto"/>
                                                        <w:bottom w:val="none" w:sz="0" w:space="0" w:color="auto"/>
                                                        <w:right w:val="none" w:sz="0" w:space="0" w:color="auto"/>
                                                      </w:divBdr>
                                                      <w:divsChild>
                                                        <w:div w:id="680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9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6:16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58E5-D176-4C3F-AA38-34E8062A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1557</Words>
  <Characters>9234</Characters>
  <Application>Microsoft Office Word</Application>
  <DocSecurity>0</DocSecurity>
  <Lines>205</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2019-02-19T14:23:00Z</cp:lastPrinted>
  <dcterms:created xsi:type="dcterms:W3CDTF">2019-05-13T08:15:00Z</dcterms:created>
  <dcterms:modified xsi:type="dcterms:W3CDTF">2019-05-14T16:07:00Z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