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725C26C-6C93-40E1-942B-816C5A4DB639" style="width:450.8pt;height:3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rPr>
          <w:noProof/>
        </w:rPr>
      </w:pPr>
      <w:r>
        <w:rPr>
          <w:noProof/>
        </w:rPr>
        <w:t>Regulamentul (UE) 2019/124 al Consiliului stabilește, pentru anul 2019, posibilitățile de pescuit pentru anumite stocuri de pește și grupuri de stocuri de pește, aplicabile în apele Uniunii, iar pentru navele din Uniune, în anumite ape din afara acesteia. Aceste posibilități de pescuit sunt, de obicei, modificate de mai multe ori pe parcursul perioadei în care sunt în vigoare.</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w:t>
      </w:r>
    </w:p>
    <w:p>
      <w:pPr>
        <w:rPr>
          <w:noProof/>
        </w:rPr>
      </w:pPr>
      <w:r>
        <w:rPr>
          <w:noProof/>
        </w:rPr>
        <w:t>Măsurile propuse sunt concepute în conformitate cu obiectivele și cu normele politicii comune în domeniul pescuitului și sunt compatibile cu politica de dezvoltare durabilă a Uniunii.</w:t>
      </w:r>
    </w:p>
    <w:p>
      <w:pPr>
        <w:pStyle w:val="ManualHeading2"/>
        <w:rPr>
          <w:rFonts w:eastAsia="Arial Unicode MS"/>
          <w:noProof/>
        </w:rPr>
      </w:pPr>
      <w:r>
        <w:rPr>
          <w:noProof/>
          <w:color w:val="000000"/>
          <w:u w:color="000000"/>
          <w:bdr w:val="nil"/>
        </w:rPr>
        <w:t>•</w:t>
      </w:r>
      <w:r>
        <w:rPr>
          <w:noProof/>
        </w:rPr>
        <w:tab/>
        <w:t>Coerența cu alte domenii de politică ale Uniunii</w:t>
      </w:r>
    </w:p>
    <w:p>
      <w:pPr>
        <w:rPr>
          <w:noProof/>
        </w:rPr>
      </w:pPr>
      <w:r>
        <w:rPr>
          <w:noProof/>
        </w:rPr>
        <w:t>Măsurile propuse sunt compatibile cu alte politici ale Uniunii, în special cu politicile din domeniul mediului.</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 juridic</w:t>
      </w:r>
    </w:p>
    <w:p>
      <w:pPr>
        <w:rPr>
          <w:noProof/>
        </w:rPr>
      </w:pPr>
      <w:r>
        <w:rPr>
          <w:noProof/>
        </w:rPr>
        <w:t>Temeiul juridic al prezentei propuneri îl constituie articolul 43 alineatul (3) din Tratatul privind funcționarea Uniunii Europene.</w:t>
      </w:r>
    </w:p>
    <w:p>
      <w:pPr>
        <w:rPr>
          <w:noProof/>
        </w:rPr>
      </w:pPr>
      <w:r>
        <w:rPr>
          <w:noProof/>
        </w:rPr>
        <w:t>Obligațiile Uniunii în ceea ce privește exploatarea durabilă a resurselor acvatice vii decurg din obligațiile prevăzute la articolul 2 din noul regulament de bază al PCP.</w:t>
      </w:r>
    </w:p>
    <w:p>
      <w:pPr>
        <w:pStyle w:val="ManualHeading2"/>
        <w:rPr>
          <w:rFonts w:eastAsia="Arial Unicode MS"/>
          <w:noProof/>
          <w:u w:color="000000"/>
          <w:bdr w:val="nil"/>
        </w:rPr>
      </w:pPr>
      <w:r>
        <w:rPr>
          <w:noProof/>
        </w:rPr>
        <w:t>•</w:t>
      </w:r>
      <w:r>
        <w:rPr>
          <w:noProof/>
        </w:rPr>
        <w:tab/>
        <w:t>Subsidiaritate (în cazul competențelor neexclusive)</w:t>
      </w:r>
    </w:p>
    <w:p>
      <w:pPr>
        <w:spacing w:after="0"/>
        <w:rPr>
          <w:noProof/>
        </w:rPr>
      </w:pPr>
      <w:r>
        <w:rPr>
          <w:noProof/>
        </w:rPr>
        <w:t>Propunerea este de competența exclusivă a Uniunii, în conformitate cu articolul 3 alineatul (1) litera (d) din tratat. În consecință, principiul subsidiarității nu se aplică.</w:t>
      </w:r>
    </w:p>
    <w:p>
      <w:pPr>
        <w:pStyle w:val="ManualHeading2"/>
        <w:rPr>
          <w:rFonts w:eastAsia="Arial Unicode MS"/>
          <w:noProof/>
          <w:u w:color="000000"/>
          <w:bdr w:val="nil"/>
        </w:rPr>
      </w:pPr>
      <w:r>
        <w:rPr>
          <w:noProof/>
        </w:rPr>
        <w:t>•</w:t>
      </w:r>
      <w:r>
        <w:rPr>
          <w:noProof/>
        </w:rPr>
        <w:tab/>
        <w:t>Proporționalitate</w:t>
      </w:r>
    </w:p>
    <w:p>
      <w:pPr>
        <w:pBdr>
          <w:top w:val="nil"/>
          <w:left w:val="nil"/>
          <w:bottom w:val="nil"/>
          <w:right w:val="nil"/>
          <w:between w:val="nil"/>
          <w:bar w:val="nil"/>
        </w:pBdr>
        <w:spacing w:before="0" w:after="240"/>
        <w:rPr>
          <w:rFonts w:eastAsia="Arial Unicode MS"/>
          <w:noProof/>
        </w:rPr>
      </w:pPr>
      <w:r>
        <w:rPr>
          <w:noProof/>
        </w:rPr>
        <w:t>Propunerea respectă principiul proporționalității din următorul motiv: PCP este o politică comună. În conformitate cu articolul 43 alineatul (3) din tratat, Consiliului îi revine obligația de a adopta măsurile de stabilire și de repartizare a posibilităților de pescuit.</w:t>
      </w:r>
    </w:p>
    <w:p>
      <w:pPr>
        <w:pStyle w:val="ManualHeading2"/>
        <w:rPr>
          <w:rFonts w:eastAsia="Arial Unicode MS"/>
          <w:noProof/>
          <w:u w:color="000000"/>
          <w:bdr w:val="nil"/>
        </w:rPr>
      </w:pPr>
      <w:r>
        <w:rPr>
          <w:noProof/>
        </w:rPr>
        <w:t>•</w:t>
      </w:r>
      <w:r>
        <w:rPr>
          <w:noProof/>
        </w:rPr>
        <w:tab/>
        <w:t>Alegerea instrumentului</w:t>
      </w:r>
    </w:p>
    <w:p>
      <w:pPr>
        <w:spacing w:after="0"/>
        <w:rPr>
          <w:noProof/>
        </w:rPr>
      </w:pPr>
      <w:r>
        <w:rPr>
          <w:noProof/>
        </w:rPr>
        <w:t xml:space="preserve">Instrumentul propus: regulament. </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rPr>
        <w:t>•</w:t>
      </w:r>
      <w:r>
        <w:rPr>
          <w:noProof/>
        </w:rPr>
        <w:tab/>
        <w:t>Evaluări ex post/verificări ale adecvării legislației existente</w:t>
      </w:r>
    </w:p>
    <w:p>
      <w:pPr>
        <w:pBdr>
          <w:top w:val="nil"/>
          <w:left w:val="nil"/>
          <w:bottom w:val="nil"/>
          <w:right w:val="nil"/>
          <w:between w:val="nil"/>
          <w:bar w:val="nil"/>
        </w:pBdr>
        <w:spacing w:before="0" w:after="240"/>
        <w:rPr>
          <w:noProof/>
        </w:rPr>
      </w:pPr>
      <w:r>
        <w:rPr>
          <w:noProof/>
        </w:rPr>
        <w:t>Nu se aplică</w:t>
      </w:r>
    </w:p>
    <w:p>
      <w:pPr>
        <w:pStyle w:val="ManualHeading2"/>
        <w:rPr>
          <w:rFonts w:eastAsia="Arial Unicode MS"/>
          <w:noProof/>
          <w:u w:color="000000"/>
          <w:bdr w:val="nil"/>
        </w:rPr>
      </w:pPr>
      <w:r>
        <w:rPr>
          <w:noProof/>
        </w:rPr>
        <w:t>•</w:t>
      </w:r>
      <w:r>
        <w:rPr>
          <w:noProof/>
        </w:rPr>
        <w:tab/>
        <w:t>Consultări cu părțile interesate</w:t>
      </w:r>
    </w:p>
    <w:p>
      <w:pPr>
        <w:pBdr>
          <w:top w:val="nil"/>
          <w:left w:val="nil"/>
          <w:bottom w:val="nil"/>
          <w:right w:val="nil"/>
          <w:between w:val="nil"/>
          <w:bar w:val="nil"/>
        </w:pBdr>
        <w:spacing w:before="0" w:after="240"/>
        <w:rPr>
          <w:noProof/>
        </w:rPr>
      </w:pPr>
      <w:r>
        <w:rPr>
          <w:noProof/>
        </w:rPr>
        <w:t xml:space="preserve">Propunerea ține seama de observațiile părților interesate, ale consiliilor consultative, ale administrațiilor naționale, ale organizațiilor de pescari și ale organizațiilor neguvernamentale </w:t>
      </w:r>
      <w:r>
        <w:rPr>
          <w:noProof/>
        </w:rPr>
        <w:lastRenderedPageBreak/>
        <w:t>pe parcursul anului, iar feedback-ul lor este luat în considerare la stabilirea posibilităților de pescuit.</w:t>
      </w:r>
    </w:p>
    <w:p>
      <w:pPr>
        <w:pStyle w:val="ManualHeading2"/>
        <w:rPr>
          <w:rFonts w:eastAsia="Arial Unicode MS"/>
          <w:noProof/>
          <w:u w:color="000000"/>
          <w:bdr w:val="nil"/>
        </w:rPr>
      </w:pPr>
      <w:r>
        <w:rPr>
          <w:noProof/>
        </w:rPr>
        <w:t>•</w:t>
      </w:r>
      <w:r>
        <w:rPr>
          <w:noProof/>
        </w:rPr>
        <w:tab/>
        <w:t>Obținerea și utilizarea expertizei</w:t>
      </w:r>
    </w:p>
    <w:p>
      <w:pPr>
        <w:pBdr>
          <w:top w:val="nil"/>
          <w:left w:val="nil"/>
          <w:bottom w:val="nil"/>
          <w:right w:val="nil"/>
          <w:between w:val="nil"/>
          <w:bar w:val="nil"/>
        </w:pBdr>
        <w:spacing w:before="0" w:after="240"/>
        <w:rPr>
          <w:rFonts w:eastAsia="Arial Unicode MS"/>
          <w:noProof/>
        </w:rPr>
      </w:pPr>
      <w:r>
        <w:rPr>
          <w:noProof/>
        </w:rPr>
        <w:t>Propunerea se bazează pe avizul științific</w:t>
      </w:r>
      <w:r>
        <w:rPr>
          <w:rStyle w:val="FootnoteReference"/>
          <w:noProof/>
        </w:rPr>
        <w:footnoteReference w:id="1"/>
      </w:r>
      <w:r>
        <w:rPr>
          <w:noProof/>
        </w:rPr>
        <w:t xml:space="preserve"> al Consiliului internațional pentru explorarea apelor maritime (ICES) și pe cel al Comitetului științific, tehnic și economic pentru pescuit (CSTEP).</w:t>
      </w:r>
    </w:p>
    <w:p>
      <w:pPr>
        <w:pStyle w:val="ManualHeading2"/>
        <w:rPr>
          <w:rFonts w:eastAsia="Arial Unicode MS"/>
          <w:noProof/>
          <w:u w:color="000000"/>
          <w:bdr w:val="nil"/>
        </w:rPr>
      </w:pPr>
      <w:r>
        <w:rPr>
          <w:noProof/>
        </w:rPr>
        <w:t>•</w:t>
      </w:r>
      <w:r>
        <w:rPr>
          <w:noProof/>
        </w:rPr>
        <w:tab/>
        <w:t>Evaluarea impactului</w:t>
      </w:r>
    </w:p>
    <w:p>
      <w:pPr>
        <w:rPr>
          <w:noProof/>
        </w:rPr>
      </w:pPr>
      <w:r>
        <w:rPr>
          <w:noProof/>
        </w:rPr>
        <w:t>Domeniul de aplicare al regulamentului privind posibilitățile de pescuit este circumscris de articolul 43 alineatul (3) din tratat.</w:t>
      </w:r>
    </w:p>
    <w:p>
      <w:pPr>
        <w:pStyle w:val="ManualHeading2"/>
        <w:rPr>
          <w:rFonts w:eastAsia="Arial Unicode MS"/>
          <w:noProof/>
          <w:u w:color="000000"/>
          <w:bdr w:val="nil"/>
        </w:rPr>
      </w:pPr>
      <w:r>
        <w:rPr>
          <w:noProof/>
        </w:rPr>
        <w:t>•</w:t>
      </w:r>
      <w:r>
        <w:rPr>
          <w:noProof/>
        </w:rPr>
        <w:tab/>
        <w:t>Adecvarea reglementărilor și simplificarea</w:t>
      </w:r>
    </w:p>
    <w:p>
      <w:pPr>
        <w:pBdr>
          <w:top w:val="nil"/>
          <w:left w:val="nil"/>
          <w:bottom w:val="nil"/>
          <w:right w:val="nil"/>
          <w:between w:val="nil"/>
          <w:bar w:val="nil"/>
        </w:pBdr>
        <w:spacing w:before="0" w:after="240"/>
        <w:rPr>
          <w:noProof/>
        </w:rPr>
      </w:pPr>
      <w:r>
        <w:rPr>
          <w:noProof/>
        </w:rPr>
        <w:t>Nu se aplică.</w:t>
      </w:r>
    </w:p>
    <w:p>
      <w:pPr>
        <w:pStyle w:val="ManualHeading2"/>
        <w:rPr>
          <w:rFonts w:eastAsia="Arial Unicode MS"/>
          <w:noProof/>
          <w:u w:color="000000"/>
          <w:bdr w:val="nil"/>
        </w:rPr>
      </w:pPr>
      <w:r>
        <w:rPr>
          <w:noProof/>
        </w:rPr>
        <w:t>•</w:t>
      </w:r>
      <w:r>
        <w:rPr>
          <w:noProof/>
        </w:rPr>
        <w:tab/>
        <w:t>Drepturi fundamentale</w:t>
      </w:r>
    </w:p>
    <w:p>
      <w:pPr>
        <w:pBdr>
          <w:top w:val="nil"/>
          <w:left w:val="nil"/>
          <w:bottom w:val="nil"/>
          <w:right w:val="nil"/>
          <w:between w:val="nil"/>
          <w:bar w:val="nil"/>
        </w:pBdr>
        <w:spacing w:before="0" w:after="240"/>
        <w:rPr>
          <w:noProof/>
        </w:rPr>
      </w:pPr>
      <w:r>
        <w:rPr>
          <w:noProof/>
        </w:rPr>
        <w:t>Nu se aplică.</w:t>
      </w:r>
    </w:p>
    <w:p>
      <w:pPr>
        <w:pStyle w:val="ManualHeading1"/>
        <w:rPr>
          <w:noProof/>
        </w:rPr>
      </w:pPr>
      <w:r>
        <w:rPr>
          <w:noProof/>
        </w:rPr>
        <w:t>4.</w:t>
      </w:r>
      <w:r>
        <w:rPr>
          <w:noProof/>
        </w:rPr>
        <w:tab/>
        <w:t>IMPLICAȚII BUGETARE</w:t>
      </w:r>
    </w:p>
    <w:p>
      <w:pPr>
        <w:pBdr>
          <w:top w:val="nil"/>
          <w:left w:val="nil"/>
          <w:bottom w:val="nil"/>
          <w:right w:val="nil"/>
          <w:between w:val="nil"/>
          <w:bar w:val="nil"/>
        </w:pBdr>
        <w:spacing w:before="0" w:after="240"/>
        <w:rPr>
          <w:noProof/>
        </w:rPr>
      </w:pPr>
      <w:r>
        <w:rPr>
          <w:noProof/>
        </w:rPr>
        <w:t>Măsurile propuse nu vor avea implicații bugetare.</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Explicarea detaliată a dispozițiilor specifice ale propunerii</w:t>
      </w:r>
    </w:p>
    <w:p>
      <w:pPr>
        <w:rPr>
          <w:noProof/>
          <w:szCs w:val="24"/>
        </w:rPr>
      </w:pPr>
      <w:r>
        <w:rPr>
          <w:noProof/>
        </w:rPr>
        <w:t>Modificările propuse urmăresc modificarea Regulamentului 2019/124 după cum se precizează în continuare.</w:t>
      </w:r>
    </w:p>
    <w:p>
      <w:pPr>
        <w:rPr>
          <w:noProof/>
          <w:color w:val="000000"/>
          <w:szCs w:val="24"/>
          <w:u w:val="single"/>
        </w:rPr>
      </w:pPr>
      <w:r>
        <w:rPr>
          <w:noProof/>
          <w:color w:val="000000"/>
          <w:u w:val="single"/>
        </w:rPr>
        <w:t>Efortul de pescuit pentru nave în contextul refacerii anumitor stocuri de bacaliar albastru și de langustină în diviziunile ICES 8c și 9a, cu excepția Golfului Cádiz</w:t>
      </w:r>
    </w:p>
    <w:p>
      <w:pPr>
        <w:rPr>
          <w:noProof/>
          <w:color w:val="000000"/>
          <w:szCs w:val="24"/>
        </w:rPr>
      </w:pPr>
      <w:r>
        <w:rPr>
          <w:noProof/>
          <w:color w:val="000000"/>
        </w:rPr>
        <w:t>Planul multianual privind apele occidentale, care a intrat în vigoare la 26 martie 2019, a abrogat planul de refacere a stocurilor de bacaliar albastru și de langustină. Limitele efortului de pescuit prevăzute în anexa II la regulamentul privind posibilitățile de pescuit au fost stabilite în conformitate cu planul de refacere respectiv. Întrucât stocurile vizate vor fi gestionate în conformitate cu dispozițiile planului multianual privind apele occidentale prin stabilirea unor limite de captură în intervalele MSY, nu mai este necesară stabilirea în continuare a unor limite ale efortului de pescuit pentru flotele care pescuiesc stocurile respective. Prin urmare, anexa II trebuie abrogată.</w:t>
      </w:r>
    </w:p>
    <w:p>
      <w:pPr>
        <w:rPr>
          <w:noProof/>
          <w:color w:val="000000"/>
          <w:szCs w:val="24"/>
          <w:u w:val="single"/>
        </w:rPr>
      </w:pPr>
      <w:r>
        <w:rPr>
          <w:noProof/>
          <w:color w:val="000000"/>
          <w:u w:val="single"/>
        </w:rPr>
        <w:t>Merlan în Marea Irlandei (diviziunea ICES 7a)</w:t>
      </w:r>
    </w:p>
    <w:p>
      <w:pPr>
        <w:rPr>
          <w:noProof/>
          <w:szCs w:val="24"/>
        </w:rPr>
      </w:pPr>
      <w:r>
        <w:rPr>
          <w:noProof/>
        </w:rPr>
        <w:t xml:space="preserve">Comisia a solicitat și a primit o analiză științifică actualizată din partea ICES cu privire la nivelul „capturilor accidentale inevitabile” de merlan în Marea Irlandei. Această analiză indică un nivel mai ridicat al capturilor accidentale preconizate de merlan în alte zone de pescuit vizate, în cazul în care respectivele zone de pescuit sunt exploatate în conformitate cu MSY. Cu toate acestea, avizul actualizat privind capturile pentru merlan în zona 7a recomandă în continuare zero capturi pentru 2019, mortalitatea prin pescuit și biomasa fiind încă la niveluri nesustenabile. Prin urmare, propunerea Comisiei stabilește un echilibru pentru a permite o creștere a nivelului de capturi totale admisibile de merlan, pentru a preveni </w:t>
      </w:r>
      <w:r>
        <w:rPr>
          <w:noProof/>
        </w:rPr>
        <w:lastRenderedPageBreak/>
        <w:t>încetarea anticipată a activității de pescuit, permițând, în același timp, creșterea biomasei stocului de reproducere.</w:t>
      </w:r>
    </w:p>
    <w:p>
      <w:pPr>
        <w:rPr>
          <w:noProof/>
          <w:color w:val="000000"/>
          <w:szCs w:val="24"/>
          <w:u w:val="single"/>
        </w:rPr>
      </w:pPr>
      <w:r>
        <w:rPr>
          <w:noProof/>
          <w:color w:val="000000"/>
          <w:u w:val="single"/>
        </w:rPr>
        <w:t>Langustină în diviziunea ICES 8c</w:t>
      </w:r>
    </w:p>
    <w:p>
      <w:pPr>
        <w:rPr>
          <w:noProof/>
          <w:color w:val="000000"/>
          <w:szCs w:val="24"/>
        </w:rPr>
      </w:pPr>
      <w:r>
        <w:rPr>
          <w:noProof/>
          <w:color w:val="000000"/>
        </w:rPr>
        <w:t>La 28 martie, ICES a emis avizul pentru pescuitul de specii santinelă de langustină în unitatea funcțională 31 din diviziunea ICES 8c.  În conformitate cu avizul ICES, ar trebui să se efectueze zero capturi, deoarece studiile video subacvatice pentru monitorizarea abundenței stocului se desfășoară fără a îndepărta animalele.  ICES a emis însă o recomandare potrivit căreia, în cazul în care un studiu video subacvatic nu poate fi efectuat, pescuitul de specii santinelă ar putea fi utilizat pentru a colecta date privind capturile pe unitatea de efort de pescuit de langustină în unitatea funcțională 31 din diviziunea ICES 8c.  Conform recomandării ICES, capturile de langustină nu ar trebui să depășească 0,7 tone.  Prin urmare, posibilitățile de pescuit pentru langustină ar trebui modificate astfel încât să prevadă acest tip de pescuit de specii santinelă.</w:t>
      </w:r>
    </w:p>
    <w:p>
      <w:pPr>
        <w:rPr>
          <w:noProof/>
          <w:szCs w:val="24"/>
          <w:u w:val="single"/>
        </w:rPr>
      </w:pPr>
      <w:r>
        <w:rPr>
          <w:noProof/>
          <w:u w:val="single"/>
        </w:rPr>
        <w:t>Crevete nordic în diviziunile ICES 3a și 4a Est</w:t>
      </w:r>
    </w:p>
    <w:p>
      <w:pPr>
        <w:rPr>
          <w:noProof/>
          <w:szCs w:val="24"/>
        </w:rPr>
      </w:pPr>
      <w:r>
        <w:rPr>
          <w:noProof/>
        </w:rPr>
        <w:t>La 28 martie 2019, ICES a emis un aviz privind capturile de crevete nordic (</w:t>
      </w:r>
      <w:r>
        <w:rPr>
          <w:i/>
          <w:noProof/>
        </w:rPr>
        <w:t>Pandalus borealis</w:t>
      </w:r>
      <w:r>
        <w:rPr>
          <w:noProof/>
        </w:rPr>
        <w:t>) din diviziunile ICES 3a și 4a Est (Skagerrak, Kattegat și nordul Mării Nordului, în Fosa Norvegiană). În urma consultărilor cu Norvegia, s-a decis că alocarea de crevete nordic pentru UE în Skagerrak va fi de 2 010 tone.</w:t>
      </w:r>
    </w:p>
    <w:p>
      <w:pPr>
        <w:rPr>
          <w:noProof/>
          <w:szCs w:val="24"/>
          <w:u w:val="single"/>
        </w:rPr>
      </w:pPr>
      <w:r>
        <w:rPr>
          <w:noProof/>
          <w:u w:val="single"/>
        </w:rPr>
        <w:t>Cod saithe în Marea Nordului</w:t>
      </w:r>
    </w:p>
    <w:p>
      <w:pPr>
        <w:rPr>
          <w:noProof/>
          <w:szCs w:val="24"/>
          <w:highlight w:val="yellow"/>
        </w:rPr>
      </w:pPr>
      <w:r>
        <w:rPr>
          <w:noProof/>
        </w:rPr>
        <w:t>La 22 februarie 2019, ICES a emis un aviz actualizat pentru capturi de cod saithe (</w:t>
      </w:r>
      <w:r>
        <w:rPr>
          <w:i/>
          <w:noProof/>
        </w:rPr>
        <w:t>Pollachius virens</w:t>
      </w:r>
      <w:r>
        <w:rPr>
          <w:noProof/>
        </w:rPr>
        <w:t>) în subzonele ICES 4 și 6 și în diviziunea 3a. În urma acestor consultări și în urma consultărilor cu Norvegia, TAC pentru codul saithe ar trebui modificată în consecință, în conformitate cu producția maximă durabilă.</w:t>
      </w:r>
    </w:p>
    <w:p>
      <w:pPr>
        <w:widowControl w:val="0"/>
        <w:shd w:val="clear" w:color="auto" w:fill="FFFFFF"/>
        <w:autoSpaceDE w:val="0"/>
        <w:autoSpaceDN w:val="0"/>
        <w:adjustRightInd w:val="0"/>
        <w:spacing w:after="0"/>
        <w:ind w:right="86"/>
        <w:rPr>
          <w:noProof/>
          <w:szCs w:val="24"/>
          <w:u w:val="single"/>
        </w:rPr>
      </w:pPr>
      <w:r>
        <w:rPr>
          <w:noProof/>
          <w:u w:val="single"/>
        </w:rPr>
        <w:t>Șprot în Marea Nordului</w:t>
      </w:r>
    </w:p>
    <w:p>
      <w:pPr>
        <w:rPr>
          <w:noProof/>
          <w:szCs w:val="24"/>
        </w:rPr>
      </w:pPr>
      <w:r>
        <w:rPr>
          <w:noProof/>
        </w:rPr>
        <w:t>La 12 aprilie 2019, ICES și-a emis avizul anual pentru șprot (</w:t>
      </w:r>
      <w:r>
        <w:rPr>
          <w:i/>
          <w:noProof/>
        </w:rPr>
        <w:t>Sprattus sprattus</w:t>
      </w:r>
      <w:r>
        <w:rPr>
          <w:noProof/>
        </w:rPr>
        <w:t>) în Marea Nordului. Conform avizului ICES, capturile de șprot din Marea Nordului nu ar trebui să depășească XXX tone în perioada cuprinsă între 1 iulie 2019 și 30 iunie 2020. Posibilitățile de pescuit pentru șprot ar trebui deci să fie stabilite în consecință.</w:t>
      </w:r>
    </w:p>
    <w:p>
      <w:pPr>
        <w:rPr>
          <w:noProof/>
          <w:szCs w:val="24"/>
          <w:u w:val="single"/>
        </w:rPr>
      </w:pPr>
      <w:r>
        <w:rPr>
          <w:noProof/>
          <w:u w:val="single"/>
        </w:rPr>
        <w:t>Limite ale efortului de pescuit în zona Convenției ICCAT</w:t>
      </w:r>
    </w:p>
    <w:p>
      <w:pPr>
        <w:rPr>
          <w:noProof/>
          <w:szCs w:val="24"/>
        </w:rPr>
      </w:pPr>
      <w:r>
        <w:rPr>
          <w:noProof/>
        </w:rPr>
        <w:t>La cea de-a 21-a reuniune specială a sa din 2018, Comisia Internațională pentru Conservarea Tonului din Oceanul Atlantic (ICCAT) a adoptat Recomandarea 18-02 privind instituirea unui plan multianual de gestionare pentru tonul roșu în Atlanticul de Est și în Marea Mediterană. Acest plan de gestionare respectă avizul Comitetului permanent pentru cercetare și statistică în vederea stabilirii unui plan multianual de gestionare a stocului în 2018, dat fiind că starea actuală a stocului nu mai necesită măsurile de urgență introduse prin planul de refacere a stocului de ton roșu (Recomandarea 17-17 de modificare a Recomandării 14-04). Planul de gestionare ia în considerare caracteristicile specifice ale diverselor tipuri de unelte și tehnici de pescuit. Prin urmare, se revizuiesc dispozițiile privind limitele efortului de pescuit și aportul maxim în fermele de ton.</w:t>
      </w:r>
    </w:p>
    <w:p>
      <w:pPr>
        <w:rPr>
          <w:noProof/>
          <w:szCs w:val="24"/>
        </w:rPr>
      </w:pPr>
    </w:p>
    <w:p>
      <w:pPr>
        <w:pStyle w:val="Rfrenceinterinstitutionnelle"/>
        <w:rPr>
          <w:noProof/>
        </w:rPr>
      </w:pPr>
      <w:r>
        <w:rPr>
          <w:noProof/>
        </w:rPr>
        <w:t>2019/0117 (NLE)</w:t>
      </w:r>
    </w:p>
    <w:p>
      <w:pPr>
        <w:pStyle w:val="Statut"/>
        <w:rPr>
          <w:noProof/>
        </w:rPr>
      </w:pPr>
      <w:r>
        <w:rPr>
          <w:noProof/>
        </w:rPr>
        <w:t>Propunere de</w:t>
      </w:r>
    </w:p>
    <w:p>
      <w:pPr>
        <w:pStyle w:val="Typedudocument"/>
        <w:rPr>
          <w:noProof/>
        </w:rPr>
      </w:pPr>
      <w:r>
        <w:rPr>
          <w:noProof/>
        </w:rPr>
        <w:t>REGULAMENT AL CONSILIULUI</w:t>
      </w:r>
    </w:p>
    <w:p>
      <w:pPr>
        <w:pStyle w:val="Titreobjet"/>
        <w:rPr>
          <w:noProof/>
        </w:rPr>
      </w:pPr>
      <w:r>
        <w:rPr>
          <w:noProof/>
        </w:rPr>
        <w:lastRenderedPageBreak/>
        <w:t>de modificare a Regulamentului (UE) 2019/124 în ceea ce privește anumite posibilități de pescuit</w:t>
      </w:r>
    </w:p>
    <w:p>
      <w:pPr>
        <w:pStyle w:val="Institutionquiagit"/>
        <w:rPr>
          <w:noProof/>
        </w:rPr>
      </w:pPr>
      <w:r>
        <w:rPr>
          <w:noProof/>
        </w:rPr>
        <w:t>CONSILIUL UNIUNII EUROPENE,</w:t>
      </w:r>
    </w:p>
    <w:p>
      <w:pPr>
        <w:rPr>
          <w:noProof/>
        </w:rPr>
      </w:pPr>
      <w:r>
        <w:rPr>
          <w:noProof/>
        </w:rPr>
        <w:t>având în vedere Tratatul privind funcționarea Uniunii Europene, în special articolul 43 alineatul (3),</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Regulamentul (UE) 2019/124 al Consiliului</w:t>
      </w:r>
      <w:r>
        <w:rPr>
          <w:rStyle w:val="FootnoteReference"/>
          <w:noProof/>
        </w:rPr>
        <w:footnoteReference w:id="2"/>
      </w:r>
      <w:r>
        <w:rPr>
          <w:noProof/>
        </w:rPr>
        <w:t xml:space="preserve"> stabilește, pentru anul 2019, posibilitățile de pescuit pentru anumite stocuri de pește și grupuri de stocuri de pește, aplicabile în apele Uniunii, iar pentru navele din Uniune, în anumite ape din afara acesteia.</w:t>
      </w:r>
    </w:p>
    <w:p>
      <w:pPr>
        <w:pStyle w:val="ManualConsidrant"/>
        <w:rPr>
          <w:noProof/>
        </w:rPr>
      </w:pPr>
      <w:r>
        <w:t>(2)</w:t>
      </w:r>
      <w:r>
        <w:tab/>
      </w:r>
      <w:r>
        <w:rPr>
          <w:noProof/>
        </w:rPr>
        <w:t>Planul multianual privind apele occidentale</w:t>
      </w:r>
      <w:r>
        <w:rPr>
          <w:rStyle w:val="FootnoteReference"/>
          <w:noProof/>
        </w:rPr>
        <w:footnoteReference w:id="3"/>
      </w:r>
      <w:r>
        <w:rPr>
          <w:noProof/>
        </w:rPr>
        <w:t>, care a intrat în vigoare la 26 martie 2019, a abrogat planul de refacere a stocurilor de bacaliar albastru și de langustină</w:t>
      </w:r>
      <w:r>
        <w:rPr>
          <w:rStyle w:val="FootnoteReference"/>
          <w:noProof/>
        </w:rPr>
        <w:footnoteReference w:id="4"/>
      </w:r>
      <w:r>
        <w:rPr>
          <w:noProof/>
        </w:rPr>
        <w:t>. Limitele efortului de pescuit prevăzute în anexa II la Regulamentul (UE) 2019/124 al Consiliului au fost stabilite în conformitate cu planul de refacere respectiv. Întrucât stocurile vizate vor fi gestionate în conformitate cu dispozițiile planului multianual privind apele occidentale prin stabilirea unor limite de captură în vederea atingerii ratei-țintă a mortalității prin pescuit în conformitate cu intervalele Fmsy, nu mai este necesar să se continue fixarea unor limite ale efortului de pescuit pentru flotele care pescuiesc stocurile respective. Prin urmare, anexa II trebuie abrogată.</w:t>
      </w:r>
    </w:p>
    <w:p>
      <w:pPr>
        <w:pStyle w:val="ManualConsidrant"/>
        <w:rPr>
          <w:noProof/>
        </w:rPr>
      </w:pPr>
      <w:r>
        <w:t>(3)</w:t>
      </w:r>
      <w:r>
        <w:tab/>
      </w:r>
      <w:r>
        <w:rPr>
          <w:noProof/>
        </w:rPr>
        <w:t>Consiliul Internațional pentru Explorarea Apelor Maritime (ICES) a emis un aviz științific pentru zero capturi de merlan (</w:t>
      </w:r>
      <w:r>
        <w:rPr>
          <w:i/>
          <w:noProof/>
        </w:rPr>
        <w:t>merlangius melagnus</w:t>
      </w:r>
      <w:r>
        <w:rPr>
          <w:noProof/>
        </w:rPr>
        <w:t>) în diviziunea ICES 7a (Marea Irlandei ). TAC de capturi accidentale pentru stocul respectiv pentru 2019 a fost stabilită astfel încât să se ajungă la un echilibru corect între continuarea activităților de pescuit, având în vedere posibilele implicații  socio-economice grave, și necesitatea de a obține o stare biologică bună pentru stocurile respective, ținând seama de dificultatea de a pescui în același timp toate stocurile de pește în cadrul unei activități de pescuit mixt ținând cont de producția maximă durabilă. Analiza științifică actualizată efectuată de Consiliul Internațional pentru Explorarea Apelor Maritime (ICES) cu privire la statutul merlanului (</w:t>
      </w:r>
      <w:r>
        <w:rPr>
          <w:i/>
          <w:noProof/>
        </w:rPr>
        <w:t>merlangius melagnus</w:t>
      </w:r>
      <w:r>
        <w:rPr>
          <w:noProof/>
        </w:rPr>
        <w:t xml:space="preserve">) în diviziunea ICES 7a și la capturile accidentale inevitabile din această specie efectuate în alte zone de pescuit prevedea scenariul statu-quo, capturile corespunzătoare fiind estimate la 1 385 de tone. În urma acestei analize științifice, captura totală admisibilă (TAC) ar trebui modificată pentru a reflecta o cantitate care va reduce la minimum riscul unei încetări anticipate a activității de pescuit, permițând, în același timp, refacerea în continuare a </w:t>
      </w:r>
      <w:r>
        <w:rPr>
          <w:noProof/>
        </w:rPr>
        <w:lastRenderedPageBreak/>
        <w:t>biomasei stocului de reproducere. Nivelul TAC-urilor ar trebui să reflecte și faptul că mortalitatea pentru acest stoc nu trebuie să crească, oferind stimulente pentru îmbunătățirea selectivității și a evitării capturilor.</w:t>
      </w:r>
    </w:p>
    <w:p>
      <w:pPr>
        <w:pStyle w:val="ManualConsidrant"/>
        <w:rPr>
          <w:noProof/>
          <w:szCs w:val="24"/>
        </w:rPr>
      </w:pPr>
      <w:r>
        <w:t>(4)</w:t>
      </w:r>
      <w:r>
        <w:tab/>
      </w:r>
      <w:r>
        <w:rPr>
          <w:noProof/>
        </w:rPr>
        <w:t>În decembrie 2018, statele membre în cauză au convenit să coopereze în cadrul Grupului statelor membre din apele nord-vestice și în strânsă cooperare cu Consiliul consultativ pentru apele de nord-vest, în vederea elaborării unui plan multianual de reducere a capturilor accidentale. Acest plan ar trebui să garanteze că capturile accidentale din cele cinci stocuri în cauză, care includ merlanul din Marea Irlandei, pentru care Consiliul Internațional pentru Explorarea Apelor Maritime (ICES) a emis un aviz de zero capturi pentru 2019, se reduc prin măsuri de selectivitate sau de evitare. Comisia intenționează să prezinte acest plan pentru sesiunea plenară din iulie 2019 a Comitetului științific, tehnic și economic pentru pescuit (CSTEP), pentru a i se evalua eficacitatea. În cazul în care evaluarea efectuată de CSTEP arată că planul de reducere a capturilor accidentale nu va obține efectul dorit de reducere a mortalității prin pescuit a capturilor accidentale, Comisia va analiza măsuri alternative de reducere a mortalității prin pescuit pentru stocurile în cauză.</w:t>
      </w:r>
    </w:p>
    <w:p>
      <w:pPr>
        <w:pStyle w:val="ManualConsidrant"/>
        <w:rPr>
          <w:noProof/>
          <w:szCs w:val="24"/>
        </w:rPr>
      </w:pPr>
      <w:r>
        <w:t>(5)</w:t>
      </w:r>
      <w:r>
        <w:tab/>
      </w:r>
      <w:r>
        <w:rPr>
          <w:noProof/>
        </w:rPr>
        <w:t>În conformitate cu avizul ICES din 28 martie, capturile de langustină (</w:t>
      </w:r>
      <w:r>
        <w:rPr>
          <w:i/>
          <w:noProof/>
        </w:rPr>
        <w:t>Nephrops norvegicus</w:t>
      </w:r>
      <w:r>
        <w:rPr>
          <w:noProof/>
        </w:rPr>
        <w:t>) din unitatea funcțională 31, diviziunea ICES 8c nu ar trebui să depășească 0,7 tone pentru perioada 1 ianuarie 2019-31 decembrie 2019.  Posibilitățile de pescuit pentru langustină în unitatea funcțională 31 din diviziunea ICES 8c ar trebui stabilite în consecință.</w:t>
      </w:r>
    </w:p>
    <w:p>
      <w:pPr>
        <w:pStyle w:val="ManualConsidrant"/>
        <w:rPr>
          <w:i/>
          <w:noProof/>
        </w:rPr>
      </w:pPr>
      <w:r>
        <w:t>(6)</w:t>
      </w:r>
      <w:r>
        <w:tab/>
      </w:r>
      <w:r>
        <w:rPr>
          <w:noProof/>
        </w:rPr>
        <w:t>La 28 martie 2019, ICES a emis un aviz privind capturile de crevete nordic (</w:t>
      </w:r>
      <w:r>
        <w:rPr>
          <w:i/>
          <w:noProof/>
        </w:rPr>
        <w:t>Pandalus borealis</w:t>
      </w:r>
      <w:r>
        <w:rPr>
          <w:noProof/>
        </w:rPr>
        <w:t>) din diviziunile ICES 3a și 4a Est (Skagerrak, Kattegat și nordul Mării Nordului, în Fosa Norvegiană). Pe baza acestui aviz și în urma consultărilor cu Norvegia, este oportun să se stabilească la 2 010 tone cota de crevete nordic a Uniunii în diviziunea ICES 3a, în conformitate cu producția maximă durabilă.</w:t>
      </w:r>
    </w:p>
    <w:p>
      <w:pPr>
        <w:pStyle w:val="ManualConsidrant"/>
        <w:rPr>
          <w:i/>
          <w:noProof/>
        </w:rPr>
      </w:pPr>
      <w:r>
        <w:t>(7)</w:t>
      </w:r>
      <w:r>
        <w:tab/>
      </w:r>
      <w:r>
        <w:rPr>
          <w:noProof/>
        </w:rPr>
        <w:t xml:space="preserve">La 22 februarie 2019, ICES a emis un aviz actualizat pentru capturi de cod saithe ( </w:t>
      </w:r>
      <w:r>
        <w:rPr>
          <w:i/>
          <w:noProof/>
        </w:rPr>
        <w:t>Pollachius virens</w:t>
      </w:r>
      <w:r>
        <w:rPr>
          <w:noProof/>
        </w:rPr>
        <w:t>) în Marea Nordului. În urma acestor consultări și în urma consultărilor cu Norvegia, TAC pentru codul saithe ar trebui modificată în consecință, în conformitate cu producția maximă durabilă.</w:t>
      </w:r>
    </w:p>
    <w:p>
      <w:pPr>
        <w:pStyle w:val="ManualConsidrant"/>
        <w:rPr>
          <w:noProof/>
        </w:rPr>
      </w:pPr>
      <w:r>
        <w:t>(8)</w:t>
      </w:r>
      <w:r>
        <w:tab/>
      </w:r>
      <w:r>
        <w:rPr>
          <w:noProof/>
        </w:rPr>
        <w:t>Conform avizului ICES din 12 aprilie 2019, capturile de șprot (</w:t>
      </w:r>
      <w:r>
        <w:rPr>
          <w:i/>
          <w:noProof/>
        </w:rPr>
        <w:t>Sprattus sprattus</w:t>
      </w:r>
      <w:r>
        <w:rPr>
          <w:noProof/>
        </w:rPr>
        <w:t>) din Marea Nordului nu ar trebui să depășească XXX tone în perioada cuprinsă între 1 iulie 2019 și 30 iunie 2020. Posibilitățile de pescuit pentru șprot în diviziunea ICES 2a (Marea Norvegiei) și în subzona ICES 4 (Marea Nordului) ar trebui stabilite în consecință.</w:t>
      </w:r>
    </w:p>
    <w:p>
      <w:pPr>
        <w:pStyle w:val="ManualConsidrant"/>
        <w:rPr>
          <w:noProof/>
        </w:rPr>
      </w:pPr>
      <w:r>
        <w:t>(9)</w:t>
      </w:r>
      <w:r>
        <w:tab/>
      </w:r>
      <w:r>
        <w:rPr>
          <w:noProof/>
        </w:rPr>
        <w:t>La cea de-a 21-a reuniune specială a sa din 2018, Comisia Internațională pentru Conservarea Tonului din Oceanul Atlantic (ICCAT) a adoptat Recomandarea 18-02 privind instituirea unui plan multianual de gestionare pentru tonul roșu în Atlanticul de Est și în Marea Mediterană. Acest plan de gestionare respectă avizul Comitetului permanent pentru cercetare și statistică în vederea stabilirii unui plan multianual de gestionare a stocului în 2018, dat fiind că starea actuală a stocului nu mai necesită măsurile de urgență introduse prin planul de refacere a stocului de ton roșu (Recomandarea 17-17 de modificare a Recomandării 14-04). Planul de gestionare ia în considerare caracteristicile specifice ale diverselor tipuri de unelte și tehnici de pescuit. Prin urmare, este oportun să se revizuiască dispozițiile privind limitele efortului de pescuit și aportul maxim în fermele de ton.</w:t>
      </w:r>
    </w:p>
    <w:p>
      <w:pPr>
        <w:pStyle w:val="ManualConsidrant"/>
        <w:rPr>
          <w:noProof/>
        </w:rPr>
      </w:pPr>
      <w:r>
        <w:lastRenderedPageBreak/>
        <w:t>(10)</w:t>
      </w:r>
      <w:r>
        <w:tab/>
      </w:r>
      <w:r>
        <w:rPr>
          <w:noProof/>
        </w:rPr>
        <w:t>Limitele de captură prevăzute de Regulamentul (UE) 2019/124 se aplică de la 1 ianuarie 2019. Dispozițiile prezentului regulament privind limitele de captură ar trebui să se aplice, prin urmare, de la aceeași dată. Această aplicare retroactivă nu aduce atingere principiilor securității juridice și protecției încrederii legitime, întrucât posibilitățile de pescuit în cauză nu au fost încă epuizate.</w:t>
      </w:r>
    </w:p>
    <w:p>
      <w:pPr>
        <w:pStyle w:val="ManualConsidrant"/>
        <w:rPr>
          <w:noProof/>
        </w:rPr>
      </w:pPr>
      <w:r>
        <w:t>(11)</w:t>
      </w:r>
      <w:r>
        <w:tab/>
      </w:r>
      <w:r>
        <w:rPr>
          <w:noProof/>
        </w:rPr>
        <w:t>Prin urmare, Regulamentul (UE) 2019/124 ar trebui modificat în consecință,</w:t>
      </w:r>
    </w:p>
    <w:p>
      <w:pPr>
        <w:pStyle w:val="ManualConsidrant"/>
        <w:rPr>
          <w:noProof/>
        </w:rPr>
      </w:pPr>
    </w:p>
    <w:p>
      <w:pPr>
        <w:pStyle w:val="Formuledadoption"/>
        <w:rPr>
          <w:noProof/>
        </w:rPr>
      </w:pPr>
      <w:r>
        <w:rPr>
          <w:noProof/>
        </w:rPr>
        <w:t>ADOPTĂ PREZENTUL REGULAMENT:</w:t>
      </w:r>
    </w:p>
    <w:p>
      <w:pPr>
        <w:pStyle w:val="Titrearticle"/>
        <w:rPr>
          <w:noProof/>
        </w:rPr>
      </w:pPr>
      <w:r>
        <w:rPr>
          <w:noProof/>
        </w:rPr>
        <w:t>Articolul 1</w:t>
      </w:r>
      <w:r>
        <w:rPr>
          <w:noProof/>
        </w:rPr>
        <w:br/>
      </w:r>
    </w:p>
    <w:p>
      <w:pPr>
        <w:pStyle w:val="ManualNumPar1"/>
        <w:ind w:left="0" w:firstLine="0"/>
        <w:rPr>
          <w:noProof/>
        </w:rPr>
      </w:pPr>
      <w:r>
        <w:rPr>
          <w:noProof/>
        </w:rPr>
        <w:t>Regulamentul (UE) 2019/124 se modifică după cum urmează:</w:t>
      </w:r>
    </w:p>
    <w:p>
      <w:pPr>
        <w:pStyle w:val="Point0number"/>
        <w:numPr>
          <w:ilvl w:val="0"/>
          <w:numId w:val="10"/>
        </w:numPr>
        <w:rPr>
          <w:noProof/>
        </w:rPr>
      </w:pPr>
      <w:r>
        <w:rPr>
          <w:noProof/>
        </w:rPr>
        <w:t>La articolul 9, litera (a) se elimină;</w:t>
      </w:r>
    </w:p>
    <w:p>
      <w:pPr>
        <w:pStyle w:val="Point0number"/>
        <w:rPr>
          <w:noProof/>
        </w:rPr>
      </w:pPr>
      <w:r>
        <w:rPr>
          <w:noProof/>
        </w:rPr>
        <w:t>Anexa IA la Regulamentul (UE) 2019/124 se modifică în conformitate cu anexa la prezentul regulament;</w:t>
      </w:r>
    </w:p>
    <w:p>
      <w:pPr>
        <w:pStyle w:val="Point0number"/>
        <w:rPr>
          <w:noProof/>
        </w:rPr>
      </w:pPr>
      <w:r>
        <w:rPr>
          <w:noProof/>
        </w:rPr>
        <w:t>Anexa IIA se elimină;</w:t>
      </w:r>
    </w:p>
    <w:p>
      <w:pPr>
        <w:pStyle w:val="Point0number"/>
        <w:rPr>
          <w:noProof/>
        </w:rPr>
      </w:pPr>
      <w:r>
        <w:rPr>
          <w:noProof/>
        </w:rPr>
        <w:t>Anexa IV se modifică în conformitate cu anexa la prezentul regulament.</w:t>
      </w:r>
    </w:p>
    <w:p>
      <w:pPr>
        <w:pStyle w:val="Titrearticle"/>
        <w:rPr>
          <w:noProof/>
        </w:rPr>
      </w:pPr>
      <w:r>
        <w:rPr>
          <w:noProof/>
        </w:rPr>
        <w:t>Articolul 2</w:t>
      </w:r>
      <w:r>
        <w:rPr>
          <w:noProof/>
        </w:rPr>
        <w:br/>
      </w:r>
    </w:p>
    <w:p>
      <w:pPr>
        <w:rPr>
          <w:noProof/>
        </w:rPr>
      </w:pPr>
      <w:r>
        <w:rPr>
          <w:noProof/>
        </w:rPr>
        <w:t xml:space="preserve">Prezentul regulament intră în vigoare în ziua următoare datei publicării în </w:t>
      </w:r>
      <w:r>
        <w:rPr>
          <w:i/>
          <w:noProof/>
        </w:rPr>
        <w:t>Jurnalul Oficial al Uniunii Europene</w:t>
      </w:r>
      <w:r>
        <w:rPr>
          <w:noProof/>
        </w:rPr>
        <w:t>.</w:t>
      </w:r>
    </w:p>
    <w:p>
      <w:pPr>
        <w:rPr>
          <w:noProof/>
        </w:rPr>
      </w:pPr>
      <w:r>
        <w:rPr>
          <w:noProof/>
        </w:rPr>
        <w:t>Se aplică de la 1 ianuarie 2019.</w:t>
      </w:r>
    </w:p>
    <w:p>
      <w:pPr>
        <w:pStyle w:val="Applicationdirecte"/>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ab/>
        <w:t>Pentru Consiliu</w:t>
      </w:r>
    </w:p>
    <w:p>
      <w:pPr>
        <w:pStyle w:val="Personnequisigne"/>
        <w:rPr>
          <w:noProof/>
        </w:rPr>
      </w:pPr>
      <w:r>
        <w:rPr>
          <w:noProof/>
        </w:rPr>
        <w:tab/>
        <w:t>Președintele</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IE"/>
        </w:rPr>
      </w:pPr>
      <w:r>
        <w:rPr>
          <w:rStyle w:val="FootnoteReference"/>
        </w:rPr>
        <w:footnoteRef/>
      </w:r>
      <w:r>
        <w:tab/>
      </w:r>
      <w:hyperlink r:id="rId1">
        <w:r>
          <w:rPr>
            <w:rStyle w:val="Hyperlink"/>
          </w:rPr>
          <w:t>http://www.ices.dk/community/advisory-process/Pages/Latest-advice.aspx</w:t>
        </w:r>
      </w:hyperlink>
      <w:r>
        <w:t xml:space="preserve"> </w:t>
      </w:r>
    </w:p>
  </w:footnote>
  <w:footnote w:id="2">
    <w:p>
      <w:pPr>
        <w:pStyle w:val="FootnoteText"/>
      </w:pPr>
      <w:r>
        <w:rPr>
          <w:rStyle w:val="FootnoteReference"/>
        </w:rPr>
        <w:footnoteRef/>
      </w:r>
      <w:r>
        <w:tab/>
        <w:t>Regulamentul (UE) 2019/124 al Consiliului din 30 ianuarie 2019 de stabilire, pentru anul 2019, a posibilităților de pescuit pentru anumite stocuri de pește și grupuri de stocuri de pește, aplicabile în apele Uniunii și, pentru navele de pescuit ale Uniunii, în anumite ape din afara acesteia (JO L 29, 31.1.2019, p. 1).</w:t>
      </w:r>
    </w:p>
  </w:footnote>
  <w:footnote w:id="3">
    <w:p>
      <w:pPr>
        <w:pStyle w:val="FootnoteText"/>
      </w:pPr>
      <w:r>
        <w:rPr>
          <w:rStyle w:val="FootnoteReference"/>
        </w:rPr>
        <w:footnoteRef/>
      </w:r>
      <w:r>
        <w:tab/>
        <w:t>Regulamentul (UE) 2019/472 al Parlamentului European și al Consiliului din 19 martie 2019 de stabilire a unui plan multianual pentru stocurile pescuite în apele occidentale și apele adiacente și pentru activitățile de pescuit care exploatează stocurile respective, de modificare a Regulamentelor (UE) 2016/1139 și (UE) 2018/973 și de abrogare a Regulamentelor (CE) nr. 811/2004, (CE) nr. 2166/2005, (CE) nr. 388/2006, (CE) nr. 509/2007 și (CE) nr. 1300/2008 ale Consiliului (JO L 83, 25.3.2019, p. 1).</w:t>
      </w:r>
    </w:p>
  </w:footnote>
  <w:footnote w:id="4">
    <w:p>
      <w:pPr>
        <w:pStyle w:val="FootnoteText"/>
      </w:pPr>
      <w:r>
        <w:rPr>
          <w:rStyle w:val="FootnoteReference"/>
        </w:rPr>
        <w:footnoteRef/>
      </w:r>
      <w:r>
        <w:tab/>
        <w:t>Regulamentul (CE) nr. 2166/2005 al Consiliului din 20 decembrie 2005 de stabilire a unor măsuri pentru redresarea stocurilor de bacaliar albastru și de langustină în Marea Cantabrică și vestul Peninsulei Iberice și de modificare a Regulamentului (CE) nr. 850/98 pentru conservarea resurselor piscicole prin măsuri tehnice de protecție a puietului de organisme marine (JO L 345, 28.12.2005, p.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82F9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A66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EF4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BC00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38287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B2EFB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C257B4"/>
    <w:lvl w:ilvl="0">
      <w:start w:val="1"/>
      <w:numFmt w:val="decimal"/>
      <w:pStyle w:val="ListNumber"/>
      <w:lvlText w:val="%1."/>
      <w:lvlJc w:val="left"/>
      <w:pPr>
        <w:tabs>
          <w:tab w:val="num" w:pos="360"/>
        </w:tabs>
        <w:ind w:left="360" w:hanging="360"/>
      </w:pPr>
    </w:lvl>
  </w:abstractNum>
  <w:abstractNum w:abstractNumId="7">
    <w:nsid w:val="FFFFFF89"/>
    <w:multiLevelType w:val="singleLevel"/>
    <w:tmpl w:val="CB2CCE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4"/>
  <w:hideSpellingErrors/>
  <w:hideGrammaticalErrors/>
  <w:attachedTemplate r:id="rId1"/>
  <w:revisionView w:markup="0"/>
  <w:defaultTabStop w:val="720"/>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1 12:19:3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1"/>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725C26C-6C93-40E1-942B-816C5A4DB639"/>
    <w:docVar w:name="LW_COVERPAGE_TYPE" w:val="1"/>
    <w:docVar w:name="LW_CROSSREFERENCE" w:val="&lt;UNUSED&gt;"/>
    <w:docVar w:name="LW_DocType" w:val="COM"/>
    <w:docVar w:name="LW_EMISSION" w:val="24.5.2019"/>
    <w:docVar w:name="LW_EMISSION_ISODATE" w:val="2019-05-24"/>
    <w:docVar w:name="LW_EMISSION_LOCATION" w:val="BRX"/>
    <w:docVar w:name="LW_EMISSION_PREFIX" w:val="Bruxelles,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117"/>
    <w:docVar w:name="LW_REF.II.NEW.CP_YEAR" w:val="2019"/>
    <w:docVar w:name="LW_REF.INST.NEW" w:val="COM"/>
    <w:docVar w:name="LW_REF.INST.NEW_ADOPTED" w:val="final"/>
    <w:docVar w:name="LW_REF.INST.NEW_TEXT" w:val="(2019) 2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nere de"/>
    <w:docVar w:name="LW_SUPERTITRE" w:val="&lt;UNUSED&gt;"/>
    <w:docVar w:name="LW_TITRE.OBJ.CP" w:val="de modificare a Regulamentului (UE) 2019/124 în ceea ce prive\u537?te anumite posibilit\u259?\u539?i de pescuit"/>
    <w:docVar w:name="LW_TYPE.DOC.CP" w:val="REGULAMENT AL CONSILIULU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customStyle="1" w:styleId="a">
    <w:name w:val="`"/>
    <w:basedOn w:val="Pagedecouverture"/>
    <w:rPr>
      <w:noProof/>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customStyle="1" w:styleId="a">
    <w:name w:val="`"/>
    <w:basedOn w:val="Pagedecouverture"/>
    <w:rPr>
      <w:noProof/>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6417">
      <w:bodyDiv w:val="1"/>
      <w:marLeft w:val="0"/>
      <w:marRight w:val="0"/>
      <w:marTop w:val="0"/>
      <w:marBottom w:val="0"/>
      <w:divBdr>
        <w:top w:val="none" w:sz="0" w:space="0" w:color="auto"/>
        <w:left w:val="none" w:sz="0" w:space="0" w:color="auto"/>
        <w:bottom w:val="none" w:sz="0" w:space="0" w:color="auto"/>
        <w:right w:val="none" w:sz="0" w:space="0" w:color="auto"/>
      </w:divBdr>
    </w:div>
    <w:div w:id="510680448">
      <w:bodyDiv w:val="1"/>
      <w:marLeft w:val="0"/>
      <w:marRight w:val="0"/>
      <w:marTop w:val="0"/>
      <w:marBottom w:val="0"/>
      <w:divBdr>
        <w:top w:val="none" w:sz="0" w:space="0" w:color="auto"/>
        <w:left w:val="none" w:sz="0" w:space="0" w:color="auto"/>
        <w:bottom w:val="none" w:sz="0" w:space="0" w:color="auto"/>
        <w:right w:val="none" w:sz="0" w:space="0" w:color="auto"/>
      </w:divBdr>
    </w:div>
    <w:div w:id="1075202070">
      <w:bodyDiv w:val="1"/>
      <w:marLeft w:val="0"/>
      <w:marRight w:val="0"/>
      <w:marTop w:val="0"/>
      <w:marBottom w:val="0"/>
      <w:divBdr>
        <w:top w:val="none" w:sz="0" w:space="0" w:color="auto"/>
        <w:left w:val="none" w:sz="0" w:space="0" w:color="auto"/>
        <w:bottom w:val="none" w:sz="0" w:space="0" w:color="auto"/>
        <w:right w:val="none" w:sz="0" w:space="0" w:color="auto"/>
      </w:divBdr>
    </w:div>
    <w:div w:id="1480876647">
      <w:bodyDiv w:val="1"/>
      <w:marLeft w:val="0"/>
      <w:marRight w:val="0"/>
      <w:marTop w:val="0"/>
      <w:marBottom w:val="0"/>
      <w:divBdr>
        <w:top w:val="none" w:sz="0" w:space="0" w:color="auto"/>
        <w:left w:val="none" w:sz="0" w:space="0" w:color="auto"/>
        <w:bottom w:val="none" w:sz="0" w:space="0" w:color="auto"/>
        <w:right w:val="none" w:sz="0" w:space="0" w:color="auto"/>
      </w:divBdr>
    </w:div>
    <w:div w:id="1553497827">
      <w:bodyDiv w:val="1"/>
      <w:marLeft w:val="0"/>
      <w:marRight w:val="0"/>
      <w:marTop w:val="0"/>
      <w:marBottom w:val="0"/>
      <w:divBdr>
        <w:top w:val="none" w:sz="0" w:space="0" w:color="auto"/>
        <w:left w:val="none" w:sz="0" w:space="0" w:color="auto"/>
        <w:bottom w:val="none" w:sz="0" w:space="0" w:color="auto"/>
        <w:right w:val="none" w:sz="0" w:space="0" w:color="auto"/>
      </w:divBdr>
    </w:div>
    <w:div w:id="1783039704">
      <w:bodyDiv w:val="1"/>
      <w:marLeft w:val="0"/>
      <w:marRight w:val="0"/>
      <w:marTop w:val="0"/>
      <w:marBottom w:val="0"/>
      <w:divBdr>
        <w:top w:val="none" w:sz="0" w:space="0" w:color="auto"/>
        <w:left w:val="none" w:sz="0" w:space="0" w:color="auto"/>
        <w:bottom w:val="none" w:sz="0" w:space="0" w:color="auto"/>
        <w:right w:val="none" w:sz="0" w:space="0" w:color="auto"/>
      </w:divBdr>
    </w:div>
    <w:div w:id="1943030580">
      <w:bodyDiv w:val="1"/>
      <w:marLeft w:val="0"/>
      <w:marRight w:val="0"/>
      <w:marTop w:val="0"/>
      <w:marBottom w:val="0"/>
      <w:divBdr>
        <w:top w:val="none" w:sz="0" w:space="0" w:color="auto"/>
        <w:left w:val="none" w:sz="0" w:space="0" w:color="auto"/>
        <w:bottom w:val="none" w:sz="0" w:space="0" w:color="auto"/>
        <w:right w:val="none" w:sz="0" w:space="0" w:color="auto"/>
      </w:divBdr>
    </w:div>
    <w:div w:id="19605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ices.dk/community/advisory-process/Pages/Latest-advic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F6264-69EC-43AC-B4F5-B35C35A2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2231</Words>
  <Characters>12942</Characters>
  <Application>Microsoft Office Word</Application>
  <DocSecurity>0</DocSecurity>
  <Lines>227</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2019-05-14T15:05:00Z</cp:lastPrinted>
  <dcterms:created xsi:type="dcterms:W3CDTF">2019-05-20T13:04:00Z</dcterms:created>
  <dcterms:modified xsi:type="dcterms:W3CDTF">2019-05-21T10:19:00Z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