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E7DDD56-9807-4628-BD87-A7E598D5B1E9" style="width:450.4pt;height:338.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rPr>
      </w:pPr>
      <w:r>
        <w:rPr>
          <w:noProof/>
        </w:rPr>
        <w:t>Nařízení Rady (EU) 2019/124 stanoví pro rok 2019 rybolovná práva ve vodách Unie a rybolovná práva, jimiž disponují plavidla Unie v některých vodách mimo Unii, pro některé rybí populace a skupiny rybích populací. Tato rybolovná práva jsou během doby své účinnosti zpravidla několikrát pozměněna.</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rPr>
          <w:noProof/>
        </w:rPr>
      </w:pPr>
      <w:r>
        <w:rPr>
          <w:noProof/>
        </w:rPr>
        <w:t>Opatření jsou navrhována v souladu s cíli a pravidly společné rybářské politiky a jsou v souladu s politikou Unie v oblasti udržitelného rozvoje.</w:t>
      </w:r>
    </w:p>
    <w:p>
      <w:pPr>
        <w:pStyle w:val="ManualHeading2"/>
        <w:rPr>
          <w:rFonts w:eastAsia="Arial Unicode MS"/>
          <w:noProof/>
        </w:rPr>
      </w:pPr>
      <w:r>
        <w:rPr>
          <w:noProof/>
          <w:color w:val="000000"/>
          <w:u w:color="000000"/>
          <w:bdr w:val="nil"/>
        </w:rPr>
        <w:t>•</w:t>
      </w:r>
      <w:r>
        <w:rPr>
          <w:noProof/>
        </w:rPr>
        <w:tab/>
        <w:t>Soulad s ostatními politikami Unie</w:t>
      </w:r>
    </w:p>
    <w:p>
      <w:pPr>
        <w:rPr>
          <w:noProof/>
        </w:rPr>
      </w:pPr>
      <w:r>
        <w:rPr>
          <w:noProof/>
        </w:rPr>
        <w:t>Navrhovaná opatření jsou v souladu s ostatními politikami Unie, zejména s politikami v oblasti životního prostředí.</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noProof/>
        </w:rPr>
      </w:pPr>
      <w:r>
        <w:rPr>
          <w:noProof/>
        </w:rPr>
        <w:t>Právním základem návrhu je čl. 43 odst. 3 Smlouvy o fungování Evropské unie.</w:t>
      </w:r>
    </w:p>
    <w:p>
      <w:pPr>
        <w:rPr>
          <w:noProof/>
        </w:rPr>
      </w:pPr>
      <w:r>
        <w:rPr>
          <w:noProof/>
        </w:rPr>
        <w:t>Závazky Unie k udržitelnému využívání živých vodních zdrojů vyplývají ze závazků stanovených článkem 2 nového základního nařízení SRP.</w:t>
      </w:r>
    </w:p>
    <w:p>
      <w:pPr>
        <w:pStyle w:val="ManualHeading2"/>
        <w:rPr>
          <w:rFonts w:eastAsia="Arial Unicode MS"/>
          <w:noProof/>
          <w:u w:color="000000"/>
          <w:bdr w:val="nil"/>
        </w:rPr>
      </w:pPr>
      <w:r>
        <w:rPr>
          <w:noProof/>
        </w:rPr>
        <w:t>•</w:t>
      </w:r>
      <w:r>
        <w:rPr>
          <w:noProof/>
        </w:rPr>
        <w:tab/>
        <w:t>Subsidiarita (v případě nevýlučné pravomoci)</w:t>
      </w:r>
    </w:p>
    <w:p>
      <w:pPr>
        <w:spacing w:after="0"/>
        <w:rPr>
          <w:noProof/>
        </w:rPr>
      </w:pPr>
      <w:r>
        <w:rPr>
          <w:noProof/>
        </w:rPr>
        <w:t>Návrh spadá do výlučné pravomoci Unie v souladu s čl. 3 odst. 1 písm. d) Smlouvy. Zásada subsidiarity se proto neuplatní.</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Návrh je v souladu se zásadou proporcionality z tohoto důvodu: SRP je společnou politikou. Podle čl. 43 odst. 3 Smlouvy je povinností Rady přijmout opatření ke stanovení a přidělení rybolovných práv.</w:t>
      </w:r>
    </w:p>
    <w:p>
      <w:pPr>
        <w:pStyle w:val="ManualHeading2"/>
        <w:rPr>
          <w:rFonts w:eastAsia="Arial Unicode MS"/>
          <w:noProof/>
          <w:u w:color="000000"/>
          <w:bdr w:val="nil"/>
        </w:rPr>
      </w:pPr>
      <w:r>
        <w:rPr>
          <w:noProof/>
        </w:rPr>
        <w:t>•</w:t>
      </w:r>
      <w:r>
        <w:rPr>
          <w:noProof/>
        </w:rPr>
        <w:tab/>
        <w:t>Volba nástroje</w:t>
      </w:r>
    </w:p>
    <w:p>
      <w:pPr>
        <w:spacing w:after="0"/>
        <w:rPr>
          <w:noProof/>
        </w:rPr>
      </w:pPr>
      <w:r>
        <w:rPr>
          <w:noProof/>
        </w:rPr>
        <w:t xml:space="preserve">Navrhovaný nástroj: nařízení. </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pBdr>
          <w:top w:val="nil"/>
          <w:left w:val="nil"/>
          <w:bottom w:val="nil"/>
          <w:right w:val="nil"/>
          <w:between w:val="nil"/>
          <w:bar w:val="nil"/>
        </w:pBdr>
        <w:spacing w:before="0" w:after="240"/>
        <w:rPr>
          <w:noProof/>
        </w:rPr>
      </w:pPr>
      <w:r>
        <w:rPr>
          <w:noProof/>
        </w:rPr>
        <w:t>Nevztahuje se na tento návrh.</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noProof/>
        </w:rPr>
      </w:pPr>
      <w:r>
        <w:rPr>
          <w:noProof/>
        </w:rPr>
        <w:t>Návrh zohledňuje zpětnou vazbu získanou od zúčastněných stran, poradních sborů, vnitrostátních správ, organizací pro rybolov a nevládních organizací v průběhu roku a tato zpětná vazba je brána do úvahy při stanovování rybolovných práv.</w:t>
      </w:r>
    </w:p>
    <w:p>
      <w:pPr>
        <w:pStyle w:val="ManualHeading2"/>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Návrh vychází z vědeckých doporučení</w:t>
      </w:r>
      <w:r>
        <w:rPr>
          <w:rStyle w:val="FootnoteReference"/>
          <w:noProof/>
        </w:rPr>
        <w:footnoteReference w:id="1"/>
      </w:r>
      <w:r>
        <w:rPr>
          <w:noProof/>
        </w:rPr>
        <w:t xml:space="preserve"> Mezinárodní rady pro průzkum moří (dále jen „ICES“) a Vědeckotechnického a hospodářského výboru pro rybářství (dále jen „VTHVR“).</w:t>
      </w:r>
    </w:p>
    <w:p>
      <w:pPr>
        <w:pStyle w:val="ManualHeading2"/>
        <w:rPr>
          <w:rFonts w:eastAsia="Arial Unicode MS"/>
          <w:noProof/>
          <w:u w:color="000000"/>
          <w:bdr w:val="nil"/>
        </w:rPr>
      </w:pPr>
      <w:r>
        <w:rPr>
          <w:noProof/>
        </w:rPr>
        <w:t>•</w:t>
      </w:r>
      <w:r>
        <w:rPr>
          <w:noProof/>
        </w:rPr>
        <w:tab/>
        <w:t>Posouzení dopadů</w:t>
      </w:r>
    </w:p>
    <w:p>
      <w:pPr>
        <w:rPr>
          <w:noProof/>
        </w:rPr>
      </w:pPr>
      <w:r>
        <w:rPr>
          <w:noProof/>
        </w:rPr>
        <w:t>Oblast působnosti nařízení o rybolovných právech je vymezena čl. 43 odst. 3 Smlouvy.</w:t>
      </w:r>
    </w:p>
    <w:p>
      <w:pPr>
        <w:pStyle w:val="ManualHeading2"/>
        <w:rPr>
          <w:rFonts w:eastAsia="Arial Unicode MS"/>
          <w:noProof/>
          <w:u w:color="000000"/>
          <w:bdr w:val="nil"/>
        </w:rPr>
      </w:pPr>
      <w:r>
        <w:rPr>
          <w:noProof/>
        </w:rPr>
        <w:t>•</w:t>
      </w:r>
      <w:r>
        <w:rPr>
          <w:noProof/>
        </w:rPr>
        <w:tab/>
        <w:t>Účelnost právních předpisů a zjednodušení</w:t>
      </w:r>
    </w:p>
    <w:p>
      <w:pPr>
        <w:pBdr>
          <w:top w:val="nil"/>
          <w:left w:val="nil"/>
          <w:bottom w:val="nil"/>
          <w:right w:val="nil"/>
          <w:between w:val="nil"/>
          <w:bar w:val="nil"/>
        </w:pBdr>
        <w:spacing w:before="0" w:after="240"/>
        <w:rPr>
          <w:noProof/>
        </w:rPr>
      </w:pPr>
      <w:r>
        <w:rPr>
          <w:noProof/>
        </w:rPr>
        <w:t>Nevztahuje se na tento návrh.</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noProof/>
        </w:rPr>
      </w:pPr>
      <w:r>
        <w:rPr>
          <w:noProof/>
        </w:rPr>
        <w:t>Nevztahuje se na tento návrh.</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Navrhovaná opatření nebudou mít žádné rozpočtové důsledky.</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Podrobné vysvětlení konkrétních ustanovení návrhu</w:t>
      </w:r>
    </w:p>
    <w:p>
      <w:pPr>
        <w:rPr>
          <w:noProof/>
          <w:szCs w:val="24"/>
        </w:rPr>
      </w:pPr>
      <w:r>
        <w:rPr>
          <w:noProof/>
        </w:rPr>
        <w:t>Účelem navrhovaných úprav je změnit nařízení (EU) 2019/124, jak je popsáno níže.</w:t>
      </w:r>
    </w:p>
    <w:p>
      <w:pPr>
        <w:rPr>
          <w:noProof/>
          <w:color w:val="000000"/>
          <w:szCs w:val="24"/>
          <w:u w:val="single"/>
        </w:rPr>
      </w:pPr>
      <w:r>
        <w:rPr>
          <w:noProof/>
          <w:color w:val="000000"/>
          <w:u w:val="single"/>
        </w:rPr>
        <w:t>Intenzita rybolovu pro plavidla v rámci obnovení některých populací štikozubce novozélandského a humra severského v divizích ICES 8c a 9a, kromě Cádizského zálivu</w:t>
      </w:r>
    </w:p>
    <w:p>
      <w:pPr>
        <w:rPr>
          <w:noProof/>
          <w:color w:val="000000"/>
          <w:szCs w:val="24"/>
        </w:rPr>
      </w:pPr>
      <w:r>
        <w:rPr>
          <w:noProof/>
          <w:color w:val="000000"/>
        </w:rPr>
        <w:t>Víceletý plán pro západní vody, který vstoupil v platnost dne 26. března 2019, zrušil plán obnovy štikozubce novozélandského a humra severského. V souladu s tímto plánem obnovy byla stanovena omezení intenzity rybolovu uvedená v příloze II nařízení o rybolovných právech. Vzhledem k tomu, že v souladu s ustanoveními víceletého plánu pro západní vody budou dotčené populace řízeny tak, že se stanoví omezení odlovu v rámci rozmezí maximálního udržitelného výnosu, není již nadále nutné stanovovat pro loďstva lovící tyto populace omezení intenzity rybolovu. Příloha II by tedy měla být zrušena.</w:t>
      </w:r>
    </w:p>
    <w:p>
      <w:pPr>
        <w:rPr>
          <w:noProof/>
          <w:color w:val="000000"/>
          <w:szCs w:val="24"/>
          <w:u w:val="single"/>
        </w:rPr>
      </w:pPr>
      <w:r>
        <w:rPr>
          <w:noProof/>
          <w:color w:val="000000"/>
          <w:u w:val="single"/>
        </w:rPr>
        <w:t>Treska bezvousá v Irském moři (divize ICES 7a)</w:t>
      </w:r>
    </w:p>
    <w:p>
      <w:pPr>
        <w:rPr>
          <w:noProof/>
          <w:szCs w:val="24"/>
        </w:rPr>
      </w:pPr>
      <w:r>
        <w:rPr>
          <w:noProof/>
        </w:rPr>
        <w:t>Komise požádala ICES o aktualizovanou vědeckou analýzu týkající se úrovně „nevyhnutelných vedlejších úlovků“ tresky bezvousé v Irském moři a tuto analýzu obdržela. Z analýzy vyplývá, že úroveň očekávaných vedlejších úlovků tresky bezvousé v jiných cílových druzích rybolovu je vyšší, pokud tyto druhy rybolovu budou využívány v souladu s maximálním udržitelným výnosem. Aktualizované doporučení k odlovům tresky bezvousé v oblasti 7a i nadále doporučuje pro rok 2019 nulový odlov, neboť úmrtnost způsobená rybolovem a biomasa jsou stále na neudržitelné úrovni. Návrh Komise proto zajišťuje rovnováhu, jež umožní zvýšení celkového přípustného odlovu tresky bezvousé, čímž se zamezí předčasnému ukončení rybolovu, a zároveň zvýšení biomasy reprodukující se populace.</w:t>
      </w:r>
    </w:p>
    <w:p>
      <w:pPr>
        <w:rPr>
          <w:noProof/>
          <w:color w:val="000000"/>
          <w:szCs w:val="24"/>
          <w:u w:val="single"/>
        </w:rPr>
      </w:pPr>
      <w:r>
        <w:rPr>
          <w:noProof/>
          <w:color w:val="000000"/>
          <w:u w:val="single"/>
        </w:rPr>
        <w:t>Humr severský v divizi ICES 8c</w:t>
      </w:r>
    </w:p>
    <w:p>
      <w:pPr>
        <w:rPr>
          <w:noProof/>
          <w:color w:val="000000"/>
          <w:szCs w:val="24"/>
        </w:rPr>
      </w:pPr>
      <w:r>
        <w:rPr>
          <w:noProof/>
          <w:color w:val="000000"/>
        </w:rPr>
        <w:t>Dne 28. března vydala ICES doporučení k ověřovacímu rybolovu humra severského ve funkční jednotce ICES 31 divizi 8c.  Podle doporučení ICES by měl být odlov nulový, protože se podvodní televizní průzkumy k monitorování stavu rybích populací provádí bez odstranění jedinců.  ICES však doporučila, že by se v místech, kde nemůže být proveden podvodní televizní průzkum, mohl zavést ověřovací rybolov za účelem sběru údajů o úlovku na jednotku týkajících se humra severského ve funkční jednotce ICES 31 divizi 8c.  ICES doporučuje, že by odlov humra severského neměl přesáhnout 0,7 tuny.  Rybolovná práva pro humra severského by proto měla být pozměněna tak, aby se tento ověřovací rybolov umožnil.</w:t>
      </w:r>
    </w:p>
    <w:p>
      <w:pPr>
        <w:rPr>
          <w:noProof/>
          <w:szCs w:val="24"/>
          <w:u w:val="single"/>
        </w:rPr>
      </w:pPr>
      <w:r>
        <w:rPr>
          <w:noProof/>
          <w:u w:val="single"/>
        </w:rPr>
        <w:t>Kreveta severní v divizi ICES 3a a 4a východ</w:t>
      </w:r>
    </w:p>
    <w:p>
      <w:pPr>
        <w:rPr>
          <w:noProof/>
          <w:szCs w:val="24"/>
        </w:rPr>
      </w:pPr>
      <w:r>
        <w:rPr>
          <w:noProof/>
        </w:rPr>
        <w:t>Dne 28. března 2019 vydala ICES doporučení pro odlov krevety severní (</w:t>
      </w:r>
      <w:r>
        <w:rPr>
          <w:i/>
          <w:noProof/>
        </w:rPr>
        <w:t>Pandalus borealis</w:t>
      </w:r>
      <w:r>
        <w:rPr>
          <w:noProof/>
        </w:rPr>
        <w:t>) v divizích ICES 3a a 4a východ (Skagerrak, Kattegat, severní část Severního moře v norských hlubokých vodách). Na základě konzultací s Norskem bylo rozhodnuto, že podíl EU pro krevety severní ve Skagerraku bude činit 2 010 tun.</w:t>
      </w:r>
    </w:p>
    <w:p>
      <w:pPr>
        <w:rPr>
          <w:noProof/>
          <w:szCs w:val="24"/>
          <w:u w:val="single"/>
        </w:rPr>
      </w:pPr>
      <w:r>
        <w:rPr>
          <w:noProof/>
          <w:u w:val="single"/>
        </w:rPr>
        <w:t>Treska tmavá v Severním moři</w:t>
      </w:r>
    </w:p>
    <w:p>
      <w:pPr>
        <w:rPr>
          <w:noProof/>
          <w:szCs w:val="24"/>
          <w:highlight w:val="yellow"/>
        </w:rPr>
      </w:pPr>
      <w:r>
        <w:rPr>
          <w:noProof/>
        </w:rPr>
        <w:t>Dne 22. února 2019 vydala ICES aktualizované doporučení k odlovu tresky tmavé (</w:t>
      </w:r>
      <w:r>
        <w:rPr>
          <w:i/>
          <w:noProof/>
        </w:rPr>
        <w:t>Pollachius virens</w:t>
      </w:r>
      <w:r>
        <w:rPr>
          <w:noProof/>
        </w:rPr>
        <w:t>) v podoblastech ICES 4 a 6 a v divizi 3a. Na základě tohoto doporučení a po konzultacích s Norskem by měl být celkový přípustný odlov tresky tmavé v souladu s maximálním udržitelným výnosem odpovídajícím způsobem změněn.</w:t>
      </w:r>
    </w:p>
    <w:p>
      <w:pPr>
        <w:widowControl w:val="0"/>
        <w:shd w:val="clear" w:color="auto" w:fill="FFFFFF"/>
        <w:autoSpaceDE w:val="0"/>
        <w:autoSpaceDN w:val="0"/>
        <w:adjustRightInd w:val="0"/>
        <w:spacing w:after="0"/>
        <w:ind w:right="86"/>
        <w:rPr>
          <w:noProof/>
          <w:szCs w:val="24"/>
          <w:u w:val="single"/>
        </w:rPr>
      </w:pPr>
      <w:r>
        <w:rPr>
          <w:noProof/>
          <w:u w:val="single"/>
        </w:rPr>
        <w:t>Šprot obecný v Severním moři</w:t>
      </w:r>
    </w:p>
    <w:p>
      <w:pPr>
        <w:rPr>
          <w:noProof/>
          <w:szCs w:val="24"/>
        </w:rPr>
      </w:pPr>
      <w:r>
        <w:rPr>
          <w:noProof/>
        </w:rPr>
        <w:t>Dne 12. dubna 2019 vydala ICES své každoroční doporučení pro šprota obecného (</w:t>
      </w:r>
      <w:r>
        <w:rPr>
          <w:i/>
          <w:noProof/>
        </w:rPr>
        <w:t>Sprattus sprattus</w:t>
      </w:r>
      <w:r>
        <w:rPr>
          <w:noProof/>
        </w:rPr>
        <w:t>) v Severním moři. Podle tohoto doporučení by odlov šprota obecného v Severním moři neměl v období od 1. července 2019 do 30. června 2020 překročit XXX tun. Rybolovná práva pro šprota obecného by proto měla být stanovena v odpovídající výši.</w:t>
      </w:r>
    </w:p>
    <w:p>
      <w:pPr>
        <w:rPr>
          <w:noProof/>
          <w:szCs w:val="24"/>
          <w:u w:val="single"/>
        </w:rPr>
      </w:pPr>
      <w:r>
        <w:rPr>
          <w:noProof/>
          <w:u w:val="single"/>
        </w:rPr>
        <w:t>Omezení intenzity rybolovu v oblasti úmluvy ICCAT</w:t>
      </w:r>
    </w:p>
    <w:p>
      <w:pPr>
        <w:rPr>
          <w:noProof/>
          <w:szCs w:val="24"/>
        </w:rPr>
      </w:pPr>
      <w:r>
        <w:rPr>
          <w:noProof/>
        </w:rPr>
        <w:t>Na svém 21. mimořádném zasedání v roce 2018 přijala Mezinárodní komise na ochranu tuňáků v Atlantiku (ICCAT) doporučení 18-02, kterým se zavádí víceletý plán řízení populace tuňáka obecného ve východním Atlantiku a ve Středozemním moři. Tento plán řízení se řídí doporučením Stálého výboru pro výzkum a statistiku ohledně zavedení víceletého plánu řízení populací v roce 2018, neboť současný stav populace již nevyžaduje mimořádná opatření zavedená plánem obnovy populace tuňáka obecného (doporučení 17–17, kterým se mění doporučení 14-04). Plán řízení zohledňuje specifika různých typů lovných zařízení a technik rybolovu. Ustanovení týkající se limitů intenzity rybolovu a maximální míry vysazení v hospodářstvích chovajících tuňáka obecného se proto revidují.</w:t>
      </w:r>
    </w:p>
    <w:p>
      <w:pPr>
        <w:rPr>
          <w:noProof/>
          <w:szCs w:val="24"/>
        </w:rPr>
      </w:pPr>
    </w:p>
    <w:p>
      <w:pPr>
        <w:pStyle w:val="Rfrenceinterinstitutionnelle"/>
        <w:rPr>
          <w:noProof/>
        </w:rPr>
      </w:pPr>
      <w:r>
        <w:rPr>
          <w:noProof/>
        </w:rPr>
        <w:t>2019/0117 (NLE)</w:t>
      </w:r>
    </w:p>
    <w:p>
      <w:pPr>
        <w:pStyle w:val="Statut"/>
        <w:rPr>
          <w:noProof/>
        </w:rPr>
      </w:pPr>
      <w:r>
        <w:rPr>
          <w:noProof/>
        </w:rPr>
        <w:t>Návrh</w:t>
      </w:r>
    </w:p>
    <w:p>
      <w:pPr>
        <w:pStyle w:val="Typedudocument"/>
        <w:rPr>
          <w:noProof/>
        </w:rPr>
      </w:pPr>
      <w:r>
        <w:rPr>
          <w:noProof/>
        </w:rPr>
        <w:t>NAŘÍZENÍ RADY,</w:t>
      </w:r>
    </w:p>
    <w:p>
      <w:pPr>
        <w:pStyle w:val="Titreobjet"/>
        <w:rPr>
          <w:noProof/>
        </w:rPr>
      </w:pPr>
      <w:r>
        <w:rPr>
          <w:noProof/>
        </w:rPr>
        <w:t>kterým se mění nařízení (EU) 2019/124, pokud jde o některá rybolovná práva</w:t>
      </w:r>
    </w:p>
    <w:p>
      <w:pPr>
        <w:pStyle w:val="Institutionquiagit"/>
        <w:rPr>
          <w:noProof/>
        </w:rPr>
      </w:pPr>
      <w:r>
        <w:rPr>
          <w:noProof/>
        </w:rPr>
        <w:t>RADA EVROPSKÉ UNIE,</w:t>
      </w:r>
    </w:p>
    <w:p>
      <w:pPr>
        <w:rPr>
          <w:noProof/>
        </w:rPr>
      </w:pPr>
      <w:r>
        <w:rPr>
          <w:noProof/>
        </w:rPr>
        <w:t>s ohledem na Smlouvu o fungování Evropské unie, a zejména na čl. 43 odst. 3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Nařízení Rady (EU) 2019/124</w:t>
      </w:r>
      <w:r>
        <w:rPr>
          <w:rStyle w:val="FootnoteReference"/>
          <w:noProof/>
        </w:rPr>
        <w:footnoteReference w:id="2"/>
      </w:r>
      <w:r>
        <w:rPr>
          <w:noProof/>
        </w:rPr>
        <w:t xml:space="preserve"> stanoví pro rok 2019 rybolovná práva ve vodách Unie a rybolovná práva, jimiž disponují plavidla Unie v některých vodách mimo Unii, pro některé rybí populace a skupiny rybích populací.</w:t>
      </w:r>
    </w:p>
    <w:p>
      <w:pPr>
        <w:pStyle w:val="ManualConsidrant"/>
        <w:rPr>
          <w:noProof/>
        </w:rPr>
      </w:pPr>
      <w:r>
        <w:t>(2)</w:t>
      </w:r>
      <w:r>
        <w:tab/>
      </w:r>
      <w:r>
        <w:rPr>
          <w:noProof/>
        </w:rPr>
        <w:t>Víceletý plán pro západní vody</w:t>
      </w:r>
      <w:r>
        <w:rPr>
          <w:rStyle w:val="FootnoteReference"/>
          <w:noProof/>
        </w:rPr>
        <w:footnoteReference w:id="3"/>
      </w:r>
      <w:r>
        <w:rPr>
          <w:noProof/>
        </w:rPr>
        <w:t>, který vstoupil v platnost dne 26. března 2019, zrušil plán obnovy štikozubce novozélandského a humra severského</w:t>
      </w:r>
      <w:r>
        <w:rPr>
          <w:rStyle w:val="FootnoteReference"/>
          <w:noProof/>
        </w:rPr>
        <w:footnoteReference w:id="4"/>
      </w:r>
      <w:r>
        <w:rPr>
          <w:noProof/>
        </w:rPr>
        <w:t>. V souladu s tímto plánem obnovy byla stanovena omezení intenzity rybolovu uvedená v příloze II nařízení Rady (EU) 2019/124. Vzhledem k tomu, že v souladu s ustanoveními víceletého plánu pro západní vody budou dotčené populace řízeny stanovením omezení odlovu, aby se dosáhlo cílové hodnoty úmrtnosti způsobené rybolovem v rámci rozmezí maximálního udržitelného výnosu, není již nadále nutné stanovovat pro loďstva lovící tyto populace omezení intenzity rybolovu. Příloha II by tedy měla být zrušena.</w:t>
      </w:r>
    </w:p>
    <w:p>
      <w:pPr>
        <w:pStyle w:val="ManualConsidrant"/>
        <w:rPr>
          <w:noProof/>
        </w:rPr>
      </w:pPr>
      <w:r>
        <w:t>(3)</w:t>
      </w:r>
      <w:r>
        <w:tab/>
      </w:r>
      <w:r>
        <w:rPr>
          <w:noProof/>
        </w:rPr>
        <w:t>Mezinárodní rada pro průzkum moří (ICES) vydala vědecké doporučení týkající se nulového odlovu tresky bezvousé (</w:t>
      </w:r>
      <w:r>
        <w:rPr>
          <w:i/>
          <w:noProof/>
        </w:rPr>
        <w:t>Merlangius melagnus</w:t>
      </w:r>
      <w:r>
        <w:rPr>
          <w:noProof/>
        </w:rPr>
        <w:t>) v divizi ICES 7a (Irské moře). Byl stanoven celkový přípustný odlov vedlejších úlovků těchto populací v roce 2019, aby se dosáhlo náležité rovnováhy mezi pokračováním v rybolovu s ohledem na potenciálně závažné sociálně-ekonomické důsledky a potřebou dosáhnout dobrého biologického stavu těchto populací a aby se zároveň zohlednila obtížnost rybolovu všech populací ve smíšeném rybolovu s maximálním udržitelným výnosem. Aktualizovaná vědecká analýza Mezinárodní rady pro průzkum moří (ICES) týkající se stavu populace tresky bezvousé (</w:t>
      </w:r>
      <w:r>
        <w:rPr>
          <w:i/>
          <w:noProof/>
        </w:rPr>
        <w:t>Merlangius melagnus</w:t>
      </w:r>
      <w:r>
        <w:rPr>
          <w:noProof/>
        </w:rPr>
        <w:t>) v divizi ICES 7a a jejích nevyhnutelných vedlejších úlovků v jiných druzích rybolovu předpokládá zachování současného stavu a odhaduje odpovídající odlov na 1 385 tun. Na základě této vědecké analýzy by měl být změněn celkový přípustný odlov (TAC), aby odrážel hodnotu, která bude minimalizovat riziko předčasného ukončení rybolovu a zároveň umožní další obnovu biomasy reprodukující se populace. Úroveň těchto TAC by měla rovněž zohlednit, že se úmrtnost těchto populací nezvýšila a že se podněcuje zlepšení selektivity a zamezení úlovků.</w:t>
      </w:r>
    </w:p>
    <w:p>
      <w:pPr>
        <w:pStyle w:val="ManualConsidrant"/>
        <w:rPr>
          <w:noProof/>
          <w:szCs w:val="24"/>
        </w:rPr>
      </w:pPr>
      <w:r>
        <w:t>(4)</w:t>
      </w:r>
      <w:r>
        <w:tab/>
      </w:r>
      <w:r>
        <w:rPr>
          <w:noProof/>
        </w:rPr>
        <w:t>V prosinci 2018 se dotčené členské státy dohodly, že budou spolupracovat v rámci skupiny členských států pro severozápadní vody a v úzké spolupráci s poradním sborem pro severozápadní vody, aby připravily víceletý plán ke snížení vedlejších úlovků. Tento plán by měl prostřednictvím opatření pro selektivitu a zamezení úlovků zajistit snížení vedlejších úlovků pěti dotčených populací, včetně tresky bezvousé v Irském moři, pro niž Mezinárodní rada pro průzkum moří (ICES) vydala doporučení nulového odlovu pro rok 2019. Komise má v úmyslu tento plán předložit na plenárním zasedání Vědeckotechnického a hospodářského výboru (VTHVR) konaném v červenci 2019, aby se posoudila jeho účinnost. Jestliže z posouzení VTHVR vyplyne, že plán na snížení vedlejších úlovků nedosáhne požadovaného účinku na snížení úmrtnosti způsobené rybolovem u těchto vedlejších úlovků, Komise zváží Komise alternativní opatření ke snížení úmrtnosti způsobené rybolovem u dotčených populací.</w:t>
      </w:r>
    </w:p>
    <w:p>
      <w:pPr>
        <w:pStyle w:val="ManualConsidrant"/>
        <w:rPr>
          <w:noProof/>
          <w:szCs w:val="24"/>
        </w:rPr>
      </w:pPr>
      <w:r>
        <w:t>(5)</w:t>
      </w:r>
      <w:r>
        <w:tab/>
      </w:r>
      <w:r>
        <w:rPr>
          <w:noProof/>
        </w:rPr>
        <w:t>Podle doporučení rady ICES ze dne 28. března by odlov humra severského (</w:t>
      </w:r>
      <w:r>
        <w:rPr>
          <w:i/>
          <w:noProof/>
        </w:rPr>
        <w:t>Nephrops norvegicus</w:t>
      </w:r>
      <w:r>
        <w:rPr>
          <w:noProof/>
        </w:rPr>
        <w:t>) ve funkční jednotce ICES 31 divizi 8c neměl za období od 1. ledna 2019 do 31. prosince 2019 překročit 0,7 tuny.  V souladu s tím by měla být stanovena rybolovná práva u humra severského ve funkční jednotce ICES 31 divizi 8c.</w:t>
      </w:r>
    </w:p>
    <w:p>
      <w:pPr>
        <w:pStyle w:val="ManualConsidrant"/>
        <w:rPr>
          <w:i/>
          <w:noProof/>
        </w:rPr>
      </w:pPr>
      <w:r>
        <w:t>(6)</w:t>
      </w:r>
      <w:r>
        <w:tab/>
      </w:r>
      <w:r>
        <w:rPr>
          <w:noProof/>
        </w:rPr>
        <w:t>Dne 28. března 2019 vydala ICES doporučení pro odlov krevety severní (</w:t>
      </w:r>
      <w:r>
        <w:rPr>
          <w:i/>
          <w:noProof/>
        </w:rPr>
        <w:t>Pandalus borealis</w:t>
      </w:r>
      <w:r>
        <w:rPr>
          <w:noProof/>
        </w:rPr>
        <w:t>) v divizích ICES 3a a 4a východ (Skagerrak, Kattegat, severní část Severního moře v norských hlubokých vodách). Na základě tohoto doporučení a konzultací s Norskem je vhodné stanovit kvótu Unie pro krevety severní v divizi ICES 3a v souladu s maximálním udržitelným výnosem na 2 010 tun.</w:t>
      </w:r>
    </w:p>
    <w:p>
      <w:pPr>
        <w:pStyle w:val="ManualConsidrant"/>
        <w:rPr>
          <w:i/>
          <w:noProof/>
        </w:rPr>
      </w:pPr>
      <w:r>
        <w:t>(7)</w:t>
      </w:r>
      <w:r>
        <w:tab/>
      </w:r>
      <w:r>
        <w:rPr>
          <w:noProof/>
        </w:rPr>
        <w:t>Dne 22. února 2019 vydala ICES aktualizované doporučení pro odlov tresky tmavé (</w:t>
      </w:r>
      <w:r>
        <w:rPr>
          <w:i/>
          <w:noProof/>
        </w:rPr>
        <w:t>Pollachius virens</w:t>
      </w:r>
      <w:r>
        <w:rPr>
          <w:noProof/>
        </w:rPr>
        <w:t>) v Severním moři. Na základě tohoto doporučení a po konzultacích s Norskem by měl být v souladu s maximálním udržitelným výnosem odpovídajícím způsobem změněn celkový přípustný odlov.</w:t>
      </w:r>
    </w:p>
    <w:p>
      <w:pPr>
        <w:pStyle w:val="ManualConsidrant"/>
        <w:rPr>
          <w:noProof/>
        </w:rPr>
      </w:pPr>
      <w:r>
        <w:t>(8)</w:t>
      </w:r>
      <w:r>
        <w:tab/>
      </w:r>
      <w:r>
        <w:rPr>
          <w:noProof/>
        </w:rPr>
        <w:t>Podle doporučení rady ICES ze dne 12. dubna 2019 by odlov šprota obecného (</w:t>
      </w:r>
      <w:r>
        <w:rPr>
          <w:i/>
          <w:noProof/>
        </w:rPr>
        <w:t>Sprattus sprattus</w:t>
      </w:r>
      <w:r>
        <w:rPr>
          <w:noProof/>
        </w:rPr>
        <w:t>) v Severním moři neměl za období od 1. července 2019 do 30. června 2020 překročit XXX tun. V souladu s tím by měla být stanovena rybolovná práva u šprota obecného v divizi ICES 2a (Norské moře) a podoblasti 4 (Severní moře).</w:t>
      </w:r>
    </w:p>
    <w:p>
      <w:pPr>
        <w:pStyle w:val="ManualConsidrant"/>
        <w:rPr>
          <w:noProof/>
        </w:rPr>
      </w:pPr>
      <w:r>
        <w:t>(9)</w:t>
      </w:r>
      <w:r>
        <w:tab/>
      </w:r>
      <w:r>
        <w:rPr>
          <w:noProof/>
        </w:rPr>
        <w:t>Na svém 21. mimořádném zasedání v roce 2018 přijala Mezinárodní komise na ochranu tuňáků v Atlantiku (ICCAT) doporučení 18-02, kterým se zavádí víceletý plán řízení populace tuňáka obecného ve východním Atlantiku a ve Středozemním moři. Tento plán řízení se řídí doporučením Stálého výboru pro výzkum a statistiku ohledně zavedení víceletého plánu řízení populací v roce 2018, neboť současný stav populace již nevyžaduje mimořádná opatření zavedená plánem obnovy populace tuňáka obecného (doporučení 17–17, kterým se mění doporučení 14-04). Plán řízení zohledňuje specifika různých typů lovných zařízení a technik rybolovu. Je proto vhodné ustanovení týkající se limitů intenzity rybolovu a maximální míry vysazení v hospodářstvích chovajících tuňáka obecného zrevidovat.</w:t>
      </w:r>
    </w:p>
    <w:p>
      <w:pPr>
        <w:pStyle w:val="ManualConsidrant"/>
        <w:rPr>
          <w:noProof/>
        </w:rPr>
      </w:pPr>
      <w:r>
        <w:t>(10)</w:t>
      </w:r>
      <w:r>
        <w:tab/>
      </w:r>
      <w:r>
        <w:rPr>
          <w:noProof/>
        </w:rPr>
        <w:t>Omezení odlovu stanovená v nařízení (EU) 2019/124 jsou použitelná od 1. ledna 2019. Ustanovení tohoto nařízení týkající se omezení odlovu by se proto měla použít rovněž od uvedeného data. Touto zpětnou působností není dotčena zásada právní jistoty a ochrany legitimního očekávání, neboť příslušná rybolovná práva nebyla dosud vyčerpána.</w:t>
      </w:r>
    </w:p>
    <w:p>
      <w:pPr>
        <w:pStyle w:val="ManualConsidrant"/>
        <w:rPr>
          <w:noProof/>
        </w:rPr>
      </w:pPr>
      <w:r>
        <w:t>(11)</w:t>
      </w:r>
      <w:r>
        <w:tab/>
      </w:r>
      <w:r>
        <w:rPr>
          <w:noProof/>
        </w:rPr>
        <w:t>Nařízení (EU) 2019/124 by proto mělo být odpovídajícím způsobem změněno,</w:t>
      </w:r>
    </w:p>
    <w:p>
      <w:pPr>
        <w:pStyle w:val="ManualConsidrant"/>
        <w:rPr>
          <w:noProof/>
        </w:rPr>
      </w:pPr>
    </w:p>
    <w:p>
      <w:pPr>
        <w:pStyle w:val="Formuledadoption"/>
        <w:rPr>
          <w:noProof/>
        </w:rPr>
      </w:pPr>
      <w:r>
        <w:rPr>
          <w:noProof/>
        </w:rPr>
        <w:t>PŘIJALA TOTO NAŘÍZENÍ:</w:t>
      </w:r>
    </w:p>
    <w:p>
      <w:pPr>
        <w:pStyle w:val="Titrearticle"/>
        <w:rPr>
          <w:noProof/>
        </w:rPr>
      </w:pPr>
      <w:r>
        <w:rPr>
          <w:noProof/>
        </w:rPr>
        <w:t>Článek 1</w:t>
      </w:r>
      <w:r>
        <w:rPr>
          <w:noProof/>
        </w:rPr>
        <w:br/>
      </w:r>
    </w:p>
    <w:p>
      <w:pPr>
        <w:pStyle w:val="ManualNumPar1"/>
        <w:ind w:left="0" w:firstLine="0"/>
        <w:rPr>
          <w:noProof/>
        </w:rPr>
      </w:pPr>
      <w:r>
        <w:rPr>
          <w:noProof/>
        </w:rPr>
        <w:t>Nařízení (EU) 2019/124 se mění takto:</w:t>
      </w:r>
    </w:p>
    <w:p>
      <w:pPr>
        <w:pStyle w:val="Point0"/>
        <w:rPr>
          <w:noProof/>
        </w:rPr>
      </w:pPr>
      <w:r>
        <w:rPr>
          <w:noProof/>
        </w:rPr>
        <w:t>1)</w:t>
      </w:r>
      <w:r>
        <w:rPr>
          <w:noProof/>
        </w:rPr>
        <w:tab/>
        <w:t>v článku 9 se zrušuje písmeno a);</w:t>
      </w:r>
    </w:p>
    <w:p>
      <w:pPr>
        <w:pStyle w:val="Point0"/>
        <w:rPr>
          <w:noProof/>
        </w:rPr>
      </w:pPr>
      <w:r>
        <w:rPr>
          <w:noProof/>
        </w:rPr>
        <w:t>2)</w:t>
      </w:r>
      <w:r>
        <w:rPr>
          <w:noProof/>
        </w:rPr>
        <w:tab/>
        <w:t>příloha IA nařízení (EU) 2019/124 se mění v souladu s přílohou tohoto nařízení;</w:t>
      </w:r>
    </w:p>
    <w:p>
      <w:pPr>
        <w:pStyle w:val="Point0"/>
        <w:rPr>
          <w:noProof/>
        </w:rPr>
      </w:pPr>
      <w:r>
        <w:rPr>
          <w:noProof/>
        </w:rPr>
        <w:t>3)</w:t>
      </w:r>
      <w:r>
        <w:rPr>
          <w:noProof/>
        </w:rPr>
        <w:tab/>
        <w:t>příloha IIA se zrušuje;</w:t>
      </w:r>
    </w:p>
    <w:p>
      <w:pPr>
        <w:pStyle w:val="Point0"/>
        <w:rPr>
          <w:noProof/>
        </w:rPr>
      </w:pPr>
      <w:r>
        <w:rPr>
          <w:noProof/>
        </w:rPr>
        <w:t>4)</w:t>
      </w:r>
      <w:r>
        <w:rPr>
          <w:noProof/>
        </w:rPr>
        <w:tab/>
        <w:t>příloha IV se mění v souladu s přílohou tohoto nařízení.</w:t>
      </w:r>
    </w:p>
    <w:p>
      <w:pPr>
        <w:pStyle w:val="Titrearticle"/>
        <w:rPr>
          <w:noProof/>
        </w:rPr>
      </w:pPr>
      <w:r>
        <w:rPr>
          <w:noProof/>
        </w:rPr>
        <w:t>Článek 2</w:t>
      </w:r>
      <w:r>
        <w:rPr>
          <w:noProof/>
        </w:rPr>
        <w:br/>
      </w:r>
    </w:p>
    <w:p>
      <w:pPr>
        <w:rPr>
          <w:noProof/>
        </w:rPr>
      </w:pPr>
      <w:r>
        <w:rPr>
          <w:noProof/>
        </w:rPr>
        <w:t xml:space="preserve">Toto nařízení vstupuje v platnost prvním dnem po vyhlášení v </w:t>
      </w:r>
      <w:r>
        <w:rPr>
          <w:i/>
          <w:noProof/>
        </w:rPr>
        <w:t>Úředním věstníku Evropské unie</w:t>
      </w:r>
      <w:r>
        <w:rPr>
          <w:noProof/>
        </w:rPr>
        <w:t>.</w:t>
      </w:r>
    </w:p>
    <w:p>
      <w:pPr>
        <w:rPr>
          <w:noProof/>
        </w:rPr>
      </w:pPr>
      <w:r>
        <w:rPr>
          <w:noProof/>
        </w:rPr>
        <w:t>Použije se ode dne 1. ledna 2019.</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tab/>
      </w:r>
      <w:hyperlink r:id="rId1">
        <w:r>
          <w:rPr>
            <w:rStyle w:val="Hyperlink"/>
          </w:rPr>
          <w:t>http://www.ices.dk/community/advisory-process/Pages/Latest-advice.aspx</w:t>
        </w:r>
      </w:hyperlink>
      <w:r>
        <w:t xml:space="preserve"> </w:t>
      </w:r>
    </w:p>
  </w:footnote>
  <w:footnote w:id="2">
    <w:p>
      <w:pPr>
        <w:pStyle w:val="FootnoteText"/>
      </w:pPr>
      <w:r>
        <w:rPr>
          <w:rStyle w:val="FootnoteReference"/>
        </w:rPr>
        <w:footnoteRef/>
      </w:r>
      <w:r>
        <w:tab/>
        <w:t>Nařízení Rady (EU) 2019/124 ze dne 30. ledna 2019, kterým se pro rok 2019 stanoví rybolovná práva ve vodách Unie a rybolovná práva, jimiž disponují rybářská plavidla Unie v některých vodách mimo Unii, pro některé rybí populace a skupiny rybích populací (Úř. věst. L 29, 31.1.2019, s. 1).</w:t>
      </w:r>
    </w:p>
  </w:footnote>
  <w:footnote w:id="3">
    <w:p>
      <w:pPr>
        <w:pStyle w:val="FootnoteText"/>
      </w:pPr>
      <w:r>
        <w:rPr>
          <w:rStyle w:val="FootnoteReference"/>
        </w:rPr>
        <w:footnoteRef/>
      </w:r>
      <w:r>
        <w:tab/>
        <w:t>Nařízení Evropského parlamentu a Rady (EU) 2019/472 ze dne 19. března 2019, kterým se zavádí víceletý plán pro populace druhů lovených v západních vodách a přilehlých vodách a pro rybolov využívající tyto populace, o změně nařízení (EU) 2016/1139 a (EU) 2018/973, a o zrušení nařízení Rady (ES) č. 811/2004, (ES) č. 2166/2005, (ES) č. 388/2006, (ES) č. 509/2007 a (ES) č. 1300/2008 (Úř. věst. L 83. 25.3.2019, s. 1).</w:t>
      </w:r>
    </w:p>
  </w:footnote>
  <w:footnote w:id="4">
    <w:p>
      <w:pPr>
        <w:pStyle w:val="FootnoteText"/>
      </w:pPr>
      <w:r>
        <w:rPr>
          <w:rStyle w:val="FootnoteReference"/>
        </w:rPr>
        <w:footnoteRef/>
      </w:r>
      <w:r>
        <w:tab/>
        <w:t>Nařízení Rady (ES) č. 2166/2005 ze dne 20. prosince 2005, kterým se stanoví opatření pro obnovení populace štikozubce novozélandského a humra severského v Kantaberském moři a na západě Iberského poloostrova a kterým se mění nařízení (ES) č. 850/98 o zachování rybolovných zdrojů pomocí technických opatření na ochranu nedospělých mořských živočichů (Úř. věst. L 345, 28.12.2005, s.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CB2CCE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1 12:19: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E7DDD56-9807-4628-BD87-A7E598D5B1E9"/>
    <w:docVar w:name="LW_COVERPAGE_TYPE" w:val="1"/>
    <w:docVar w:name="LW_CROSSREFERENCE" w:val="&lt;UNUSED&gt;"/>
    <w:docVar w:name="LW_DocType" w:val="COM"/>
    <w:docVar w:name="LW_EMISSION" w:val="24.5.2019"/>
    <w:docVar w:name="LW_EMISSION_ISODATE" w:val="2019-05-24"/>
    <w:docVar w:name="LW_EMISSION_LOCATION" w:val="BRX"/>
    <w:docVar w:name="LW_EMISSION_PREFIX" w:val="V Bruselu dne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117"/>
    <w:docVar w:name="LW_REF.II.NEW.CP_YEAR" w:val="2019"/>
    <w:docVar w:name="LW_REF.INST.NEW" w:val="COM"/>
    <w:docVar w:name="LW_REF.INST.NEW_ADOPTED" w:val="final"/>
    <w:docVar w:name="LW_REF.INST.NEW_TEXT" w:val="(2019) 2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erým se m\u283?ní na\u345?ízení (EU) 2019/124, pokud jde o n\u283?která rybolovná práva"/>
    <w:docVar w:name="LW_TYPE.DOC.CP" w:val="NA\u344?ÍZENÍ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6417">
      <w:bodyDiv w:val="1"/>
      <w:marLeft w:val="0"/>
      <w:marRight w:val="0"/>
      <w:marTop w:val="0"/>
      <w:marBottom w:val="0"/>
      <w:divBdr>
        <w:top w:val="none" w:sz="0" w:space="0" w:color="auto"/>
        <w:left w:val="none" w:sz="0" w:space="0" w:color="auto"/>
        <w:bottom w:val="none" w:sz="0" w:space="0" w:color="auto"/>
        <w:right w:val="none" w:sz="0" w:space="0" w:color="auto"/>
      </w:divBdr>
    </w:div>
    <w:div w:id="510680448">
      <w:bodyDiv w:val="1"/>
      <w:marLeft w:val="0"/>
      <w:marRight w:val="0"/>
      <w:marTop w:val="0"/>
      <w:marBottom w:val="0"/>
      <w:divBdr>
        <w:top w:val="none" w:sz="0" w:space="0" w:color="auto"/>
        <w:left w:val="none" w:sz="0" w:space="0" w:color="auto"/>
        <w:bottom w:val="none" w:sz="0" w:space="0" w:color="auto"/>
        <w:right w:val="none" w:sz="0" w:space="0" w:color="auto"/>
      </w:divBdr>
    </w:div>
    <w:div w:id="1075202070">
      <w:bodyDiv w:val="1"/>
      <w:marLeft w:val="0"/>
      <w:marRight w:val="0"/>
      <w:marTop w:val="0"/>
      <w:marBottom w:val="0"/>
      <w:divBdr>
        <w:top w:val="none" w:sz="0" w:space="0" w:color="auto"/>
        <w:left w:val="none" w:sz="0" w:space="0" w:color="auto"/>
        <w:bottom w:val="none" w:sz="0" w:space="0" w:color="auto"/>
        <w:right w:val="none" w:sz="0" w:space="0" w:color="auto"/>
      </w:divBdr>
    </w:div>
    <w:div w:id="1480876647">
      <w:bodyDiv w:val="1"/>
      <w:marLeft w:val="0"/>
      <w:marRight w:val="0"/>
      <w:marTop w:val="0"/>
      <w:marBottom w:val="0"/>
      <w:divBdr>
        <w:top w:val="none" w:sz="0" w:space="0" w:color="auto"/>
        <w:left w:val="none" w:sz="0" w:space="0" w:color="auto"/>
        <w:bottom w:val="none" w:sz="0" w:space="0" w:color="auto"/>
        <w:right w:val="none" w:sz="0" w:space="0" w:color="auto"/>
      </w:divBdr>
    </w:div>
    <w:div w:id="1553497827">
      <w:bodyDiv w:val="1"/>
      <w:marLeft w:val="0"/>
      <w:marRight w:val="0"/>
      <w:marTop w:val="0"/>
      <w:marBottom w:val="0"/>
      <w:divBdr>
        <w:top w:val="none" w:sz="0" w:space="0" w:color="auto"/>
        <w:left w:val="none" w:sz="0" w:space="0" w:color="auto"/>
        <w:bottom w:val="none" w:sz="0" w:space="0" w:color="auto"/>
        <w:right w:val="none" w:sz="0" w:space="0" w:color="auto"/>
      </w:divBdr>
    </w:div>
    <w:div w:id="1783039704">
      <w:bodyDiv w:val="1"/>
      <w:marLeft w:val="0"/>
      <w:marRight w:val="0"/>
      <w:marTop w:val="0"/>
      <w:marBottom w:val="0"/>
      <w:divBdr>
        <w:top w:val="none" w:sz="0" w:space="0" w:color="auto"/>
        <w:left w:val="none" w:sz="0" w:space="0" w:color="auto"/>
        <w:bottom w:val="none" w:sz="0" w:space="0" w:color="auto"/>
        <w:right w:val="none" w:sz="0" w:space="0" w:color="auto"/>
      </w:divBdr>
    </w:div>
    <w:div w:id="1943030580">
      <w:bodyDiv w:val="1"/>
      <w:marLeft w:val="0"/>
      <w:marRight w:val="0"/>
      <w:marTop w:val="0"/>
      <w:marBottom w:val="0"/>
      <w:divBdr>
        <w:top w:val="none" w:sz="0" w:space="0" w:color="auto"/>
        <w:left w:val="none" w:sz="0" w:space="0" w:color="auto"/>
        <w:bottom w:val="none" w:sz="0" w:space="0" w:color="auto"/>
        <w:right w:val="none" w:sz="0" w:space="0" w:color="auto"/>
      </w:divBdr>
    </w:div>
    <w:div w:id="19605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ces.dk/community/advisory-process/Pages/Latest-advi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9F06-2F4A-46E1-B2B2-6C7A96BA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1954</Words>
  <Characters>11201</Characters>
  <Application>Microsoft Office Word</Application>
  <DocSecurity>0</DocSecurity>
  <Lines>207</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2019-05-14T15:05:00Z</cp:lastPrinted>
  <dcterms:created xsi:type="dcterms:W3CDTF">2019-05-20T09:41:00Z</dcterms:created>
  <dcterms:modified xsi:type="dcterms:W3CDTF">2019-05-21T10:19:00Z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