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34F1D74-334A-4B0A-88A2-6675646A6B2D" style="width:450.75pt;height:464.2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rPr>
      </w:pPr>
      <w:r>
        <w:rPr>
          <w:noProof/>
        </w:rPr>
        <w:t>A belső piac működéséhez szükséges jogbiztonság és homogenitás biztosítása érdekében az EGT Vegyes Bizottságnak az összes vonatkozó uniós jogszabály elfogadását követően azokat a lehető leghamarabb bele kell foglalnia az EGT-megállapodásba, valamint lehetővé kell tennie az EGT-tag EFTA-államok számára, hogy részt vegyenek az EGT-vonatkozású uniós fellépésekben vagy programokban.</w:t>
      </w:r>
    </w:p>
    <w:p>
      <w:pPr>
        <w:rPr>
          <w:noProof/>
        </w:rPr>
      </w:pPr>
      <w:r>
        <w:rPr>
          <w:noProof/>
        </w:rPr>
        <w:t>Az EGT Vegyes Bizottság határozattervezete (mely megtalálható a tanácsi határozatra irányuló javaslat mellékletében) az EGT-megállapodás egyes, a négy alapszabadságon kívül eső területeken folytatott együttműködésről szóló 31. jegyzőkönyve módosítását célozza. Ez azért szükséges, hogy az EGT-tag EFTA-államok részt tudjanak venni az Európai Unió általános költségvetésének költségvetési soraiból finanszírozott uniós programokban és fellépésekben. Ebben az esetben a módosítás célja, hogy az EGT-tag EFTA-államok (Norvégia, Izland és Liechtenstein) továbbra is részt tudjanak venni az Európai Unió 2019-es pénzügyi évre vonatkozó általános költségvetésében szereplő 02 03 01. költségvetési sorhoz (Az áruk és szolgáltatások belső piacának működése és fejlesztése) és 02 03 04. költségvetési sorhoz (A belső piac irányítási eszközei) kapcsolódó uniós fellépésekben.</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rPr>
          <w:noProof/>
        </w:rPr>
      </w:pPr>
      <w:r>
        <w:rPr>
          <w:noProof/>
        </w:rPr>
        <w:t>A Vegyes Bizottság csatolt határozattervezete teljes mértékben összhangban áll az EGT-megállapodás azon céljával, hogy előmozdítsa a Szerződő Felek közötti kereskedelmi és gazdasági kapcsolatok egyenlő versenyfeltételek melletti folyamatos és kiegyensúlyozott erősödését és az azonos szabályok betartását, egy homogén Európai Gazdasági Térség létrehozása érdekében.</w:t>
      </w:r>
    </w:p>
    <w:p>
      <w:pPr>
        <w:pStyle w:val="ManualHeading2"/>
        <w:rPr>
          <w:rFonts w:eastAsia="Arial Unicode MS"/>
          <w:noProof/>
        </w:rPr>
      </w:pPr>
      <w:r>
        <w:rPr>
          <w:noProof/>
          <w:color w:val="000000"/>
          <w:u w:color="000000"/>
          <w:bdr w:val="nil"/>
        </w:rPr>
        <w:t>•</w:t>
      </w:r>
      <w:r>
        <w:rPr>
          <w:noProof/>
        </w:rPr>
        <w:tab/>
        <w:t>Összhang az Unió egyéb szakpolitikáival</w:t>
      </w:r>
    </w:p>
    <w:p>
      <w:pPr>
        <w:rPr>
          <w:noProof/>
        </w:rPr>
      </w:pPr>
      <w:r>
        <w:rPr>
          <w:noProof/>
        </w:rPr>
        <w:t>A Vegyes Bizottság határozata összhangban áll más uniós szakpolitikákkal, különös tekintettel az EU belső piacának homogenitása védelmére irányulóan.</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rPr>
        <w:t>•</w:t>
      </w:r>
      <w:r>
        <w:rPr>
          <w:noProof/>
        </w:rPr>
        <w:tab/>
        <w:t>Jogalap</w:t>
      </w:r>
    </w:p>
    <w:p>
      <w:pPr>
        <w:rPr>
          <w:noProof/>
        </w:rPr>
      </w:pPr>
      <w:r>
        <w:rPr>
          <w:noProof/>
        </w:rPr>
        <w:t>A javaslat az EUMSZ 114. cikkén alapul, összefüggésben annak 218. cikke (9) bekezdésével. Az Európai Gazdasági Térségről szóló megállapodás végrehajtására vonatkozó rendelkezésekről szóló 2894/94/EK tanácsi rendelet</w:t>
      </w:r>
      <w:r>
        <w:rPr>
          <w:rStyle w:val="FootnoteReference"/>
          <w:noProof/>
        </w:rPr>
        <w:footnoteReference w:id="1"/>
      </w:r>
      <w:r>
        <w:rPr>
          <w:noProof/>
        </w:rPr>
        <w:t xml:space="preserve"> 1. cikkének (3) bekezdése úgy rendelkezik, hogy a Tanács a Bizottság javaslata alapján kialakítja az ilyen határozatokról az Unió által képviselendő álláspontot.</w:t>
      </w:r>
    </w:p>
    <w:p>
      <w:pPr>
        <w:pStyle w:val="ManualHeading2"/>
        <w:rPr>
          <w:rFonts w:eastAsia="Arial Unicode MS"/>
          <w:noProof/>
          <w:u w:color="000000"/>
          <w:bdr w:val="nil"/>
        </w:rPr>
      </w:pPr>
      <w:r>
        <w:rPr>
          <w:noProof/>
        </w:rPr>
        <w:t>•</w:t>
      </w:r>
      <w:r>
        <w:rPr>
          <w:noProof/>
        </w:rPr>
        <w:tab/>
        <w:t>Szubszidiaritás (nem kizárólagos hatáskör esetén)</w:t>
      </w:r>
    </w:p>
    <w:p>
      <w:pPr>
        <w:rPr>
          <w:rFonts w:cs="EUAlbertina"/>
          <w:noProof/>
          <w:color w:val="000000"/>
        </w:rPr>
      </w:pPr>
      <w:r>
        <w:rPr>
          <w:noProof/>
        </w:rPr>
        <w:t>A javaslat megfelel a szubszidiaritás elvének a következők miatt:</w:t>
      </w:r>
    </w:p>
    <w:p>
      <w:pPr>
        <w:rPr>
          <w:rFonts w:cs="EUAlbertina"/>
          <w:noProof/>
          <w:color w:val="000000"/>
          <w:szCs w:val="24"/>
        </w:rPr>
      </w:pPr>
      <w:r>
        <w:rPr>
          <w:noProof/>
          <w:color w:val="000000"/>
        </w:rPr>
        <w:t>E javaslat célját, nevezetesen a belső piac homogenitásának biztosítását a tagállamok nem tudják kielégítően megvalósítani, és ezért e cél a hatások miatt uniós szinten jobban megvalósítható.</w:t>
      </w:r>
    </w:p>
    <w:p>
      <w:pPr>
        <w:pStyle w:val="ManualHeading2"/>
        <w:rPr>
          <w:rFonts w:eastAsia="Arial Unicode MS"/>
          <w:noProof/>
          <w:u w:color="000000"/>
          <w:bdr w:val="nil"/>
        </w:rPr>
      </w:pPr>
      <w:r>
        <w:rPr>
          <w:noProof/>
        </w:rPr>
        <w:lastRenderedPageBreak/>
        <w:t>•</w:t>
      </w:r>
      <w:r>
        <w:rPr>
          <w:noProof/>
        </w:rPr>
        <w:tab/>
        <w:t>Arányosság</w:t>
      </w:r>
    </w:p>
    <w:p>
      <w:pPr>
        <w:pBdr>
          <w:top w:val="nil"/>
          <w:left w:val="nil"/>
          <w:bottom w:val="nil"/>
          <w:right w:val="nil"/>
          <w:between w:val="nil"/>
          <w:bar w:val="nil"/>
        </w:pBdr>
        <w:spacing w:before="0" w:after="240"/>
        <w:rPr>
          <w:rFonts w:eastAsia="Arial Unicode MS"/>
          <w:noProof/>
        </w:rPr>
      </w:pPr>
      <w:r>
        <w:rPr>
          <w:noProof/>
          <w:color w:val="000000"/>
        </w:rPr>
        <w:t>Az arányosság elvével összhangban a javaslat nem haladja meg a kitűzött cél – a belső piac homogenitásának biztosítása – eléréséhez szükséges és megfelelő mértéket.</w:t>
      </w:r>
    </w:p>
    <w:p>
      <w:pPr>
        <w:pStyle w:val="ManualHeading2"/>
        <w:rPr>
          <w:rFonts w:eastAsia="Arial Unicode MS"/>
          <w:noProof/>
          <w:u w:color="000000"/>
          <w:bdr w:val="nil"/>
        </w:rPr>
      </w:pPr>
      <w:r>
        <w:rPr>
          <w:noProof/>
        </w:rPr>
        <w:t>•</w:t>
      </w:r>
      <w:r>
        <w:rPr>
          <w:noProof/>
        </w:rPr>
        <w:tab/>
        <w:t>A jogi aktus típusának megválasztása</w:t>
      </w:r>
    </w:p>
    <w:p>
      <w:pPr>
        <w:pBdr>
          <w:top w:val="nil"/>
          <w:left w:val="nil"/>
          <w:bottom w:val="nil"/>
          <w:right w:val="nil"/>
          <w:between w:val="nil"/>
          <w:bar w:val="nil"/>
        </w:pBdr>
        <w:spacing w:before="0" w:after="240"/>
        <w:rPr>
          <w:bCs/>
          <w:noProof/>
          <w:szCs w:val="24"/>
        </w:rPr>
      </w:pPr>
      <w:r>
        <w:rPr>
          <w:noProof/>
        </w:rPr>
        <w:t>Az EGT-megállapodás 98. cikkének megfelelően a választott jogi aktus az EGT Vegyes Bizottság határozata. Az EGT Vegyes Bizottság biztosítja az EGT-megállapodás hatékony végrehajtását és érvényesülését. Ennek érdekében határozatokat kell hoznia az e megállapodásban meghatározott esetekben.</w:t>
      </w:r>
    </w:p>
    <w:p>
      <w:pPr>
        <w:pStyle w:val="ManualHeading1"/>
        <w:rPr>
          <w:noProof/>
        </w:rPr>
      </w:pPr>
      <w:r>
        <w:rPr>
          <w:noProof/>
        </w:rPr>
        <w:t>3.</w:t>
      </w:r>
      <w:r>
        <w:rPr>
          <w:noProof/>
        </w:rPr>
        <w:tab/>
        <w:t>AZ UTÓLAGOS ÉRTÉKELÉSEK, AZ ÉRDEKELT FELEKKEL FOLYTATOTT KONZULTÁCIÓK ÉS A HATÁSVIZSGÁLATOK EREDMÉNYEI</w:t>
      </w:r>
    </w:p>
    <w:p>
      <w:pPr>
        <w:pStyle w:val="Text1"/>
        <w:ind w:left="0"/>
        <w:rPr>
          <w:noProof/>
        </w:rPr>
      </w:pPr>
      <w:r>
        <w:rPr>
          <w:noProof/>
        </w:rPr>
        <w:t>Tárgytalan.</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rPr>
      </w:pPr>
      <w:r>
        <w:rPr>
          <w:noProof/>
        </w:rPr>
        <w:t>Az EGT-tag EFTA-államok pénzügyi hozzájárulást nyújtanak „Az áruk és szolgáltatások belső piacának működése és fejlesztése” megnevezésű 02 03 01. költségvetési sorhoz és „A belső piac irányítási eszközei” megnevezésű 02 03 04. költségvetési sorhoz. A pontos összeget e tanácsi határozattervezet elfogadását követően az EGT-megállapodás rendelkezéseivel összhangban határozzák meg.</w:t>
      </w:r>
    </w:p>
    <w:p>
      <w:pPr>
        <w:pStyle w:val="ManualHeading1"/>
        <w:rPr>
          <w:noProof/>
        </w:rPr>
      </w:pPr>
      <w:r>
        <w:rPr>
          <w:noProof/>
        </w:rPr>
        <w:t>5.</w:t>
      </w:r>
      <w:r>
        <w:rPr>
          <w:noProof/>
        </w:rPr>
        <w:tab/>
        <w:t>EGYÉB ELEMEK</w:t>
      </w:r>
    </w:p>
    <w:p>
      <w:pPr>
        <w:spacing w:before="0" w:after="240"/>
        <w:rPr>
          <w:noProof/>
        </w:rPr>
      </w:pPr>
      <w:r>
        <w:rPr>
          <w:noProof/>
        </w:rPr>
        <w:t>Az uniós költségvetési politikával összhangban valamely uniós tevékenységben való részvétel csak akkor valósulhat meg, ha a megfelelő pénzügyi hozzájárulást befizették. Az EGT-megállapodás 32. jegyzőkönyvével összhangban azonban az EGT-tag EFTA-államok éves pénzügyi hozzájárulása minden évben augusztus 31-ig érkezik be, az Európai Bizottság által megállapított és az EGT-tag EFTA-államoknak augusztus 15-ig benyújtott uniós pénzösszegek lehívását követően.</w:t>
      </w:r>
    </w:p>
    <w:p>
      <w:pPr>
        <w:spacing w:before="0" w:after="240"/>
        <w:rPr>
          <w:noProof/>
        </w:rPr>
      </w:pPr>
      <w:r>
        <w:rPr>
          <w:noProof/>
        </w:rPr>
        <w:t>A január és augusztus közötti időszak áthidalása érdekében ezért a Vegyes Bizottság határozattervezetét januártól visszamenőleg kell alkalmazni. Ily módon az együttműködés folytonossága – az EGT-megállapodásban foglaltaknak megfelelően – a teljes naptári évben biztosított.</w:t>
      </w:r>
    </w:p>
    <w:p>
      <w:pPr>
        <w:pBdr>
          <w:top w:val="nil"/>
          <w:left w:val="nil"/>
          <w:bottom w:val="nil"/>
          <w:right w:val="nil"/>
          <w:between w:val="nil"/>
          <w:bar w:val="nil"/>
        </w:pBdr>
        <w:spacing w:before="0" w:after="240"/>
        <w:rPr>
          <w:noProof/>
        </w:rPr>
      </w:pPr>
      <w:r>
        <w:rPr>
          <w:noProof/>
        </w:rPr>
        <w:t>A visszaható hatály nincs hatással az érintett személyek jogaira és kötelezettségeire, valamint tiszteletben tartja a jogos elvárások elvét.</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2019/0114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az Európai Unió által az EGT Vegyes Bizottságban az EGT-megállapodás egyes, a négy alapszabadságon kívül eső területeken folytatott együttműködésről szóló 31. jegyzőkönyvének módosításával kapcsolatban képviselendő álláspontról</w:t>
      </w:r>
      <w:r>
        <w:rPr>
          <w:noProof/>
        </w:rPr>
        <w:br/>
      </w:r>
      <w:r>
        <w:rPr>
          <w:noProof/>
        </w:rPr>
        <w:br/>
        <w:t>(02 03 01. költségvetési sor – Az áruk és szolgáltatások belső piacának működése és fejlesztése és 02 03 04. költségvetési sor – A belső piac irányítási eszközei)</w:t>
      </w:r>
      <w:r>
        <w:rPr>
          <w:noProof/>
        </w:rPr>
        <w:br/>
      </w:r>
    </w:p>
    <w:p>
      <w:pPr>
        <w:pStyle w:val="IntrtEEE"/>
        <w:rPr>
          <w:noProof/>
        </w:rPr>
      </w:pPr>
      <w:r>
        <w:rPr>
          <w:noProof/>
        </w:rPr>
        <w:t>(EGT-vonatkozású szöveg)</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114. cikkére, összefüggésben annak 218. cikke (9) bekezdésével,</w:t>
      </w:r>
    </w:p>
    <w:p>
      <w:pPr>
        <w:rPr>
          <w:noProof/>
        </w:rPr>
      </w:pPr>
      <w:r>
        <w:rPr>
          <w:noProof/>
        </w:rPr>
        <w:t>tekintettel az Európai Gazdasági Térségről szóló megállapodás végrehajtására vonatkozó rendelkezésekről szóló, 1994. november 28-i 2894/94/EK tanácsi rendeletre</w:t>
      </w:r>
      <w:r>
        <w:rPr>
          <w:rStyle w:val="FootnoteReference"/>
          <w:noProof/>
        </w:rPr>
        <w:footnoteReference w:id="2"/>
      </w:r>
      <w:r>
        <w:rPr>
          <w:noProof/>
        </w:rPr>
        <w:t xml:space="preserve"> és különösen annak 1. cikke (3) bekezdésére,</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Európai Gazdasági Térségről szóló megállapodás</w:t>
      </w:r>
      <w:r>
        <w:rPr>
          <w:rStyle w:val="FootnoteReference"/>
          <w:noProof/>
        </w:rPr>
        <w:footnoteReference w:id="3"/>
      </w:r>
      <w:r>
        <w:rPr>
          <w:noProof/>
        </w:rPr>
        <w:t xml:space="preserve"> (a továbbiakban: az EGT-megállapodás) 1994. január 1-jén hatályba lépett.</w:t>
      </w:r>
    </w:p>
    <w:p>
      <w:pPr>
        <w:pStyle w:val="ManualConsidrant"/>
        <w:rPr>
          <w:noProof/>
        </w:rPr>
      </w:pPr>
      <w:r>
        <w:t>(2)</w:t>
      </w:r>
      <w:r>
        <w:tab/>
      </w:r>
      <w:r>
        <w:rPr>
          <w:noProof/>
        </w:rPr>
        <w:t>Az EGT-megállapodás 98. cikke alapján az EGT Vegyes Bizottság határozhat – többek között – az EGT-megállapodás 31. jegyzőkönyvének (a továbbiakban: a 31. jegyzőkönyv) módosításáról.</w:t>
      </w:r>
    </w:p>
    <w:p>
      <w:pPr>
        <w:pStyle w:val="ManualConsidrant"/>
        <w:rPr>
          <w:noProof/>
        </w:rPr>
      </w:pPr>
      <w:r>
        <w:t>(3)</w:t>
      </w:r>
      <w:r>
        <w:tab/>
      </w:r>
      <w:r>
        <w:rPr>
          <w:noProof/>
        </w:rPr>
        <w:t>Az EGT-megállapodás 31. jegyzőkönyve egyes, a négy alapszabadságon kívül eső területeken folytatott együttműködésre vonatkozó rendelkezéseket tartalmaz.</w:t>
      </w:r>
    </w:p>
    <w:p>
      <w:pPr>
        <w:pStyle w:val="ManualConsidrant"/>
        <w:rPr>
          <w:noProof/>
        </w:rPr>
      </w:pPr>
      <w:r>
        <w:t>(4)</w:t>
      </w:r>
      <w:r>
        <w:tab/>
      </w:r>
      <w:r>
        <w:rPr>
          <w:noProof/>
        </w:rPr>
        <w:t>Helyénvaló kiterjeszteni az EGT-megállapodás Szerződő Felei közötti együttműködést az Európai Unió általános költségvetéséből finanszírozott uniós fellépések terén az áruk és szolgáltatások belső piacának működésével és fejlesztésével kapcsolatban.</w:t>
      </w:r>
    </w:p>
    <w:p>
      <w:pPr>
        <w:pStyle w:val="ManualConsidrant"/>
        <w:rPr>
          <w:noProof/>
        </w:rPr>
      </w:pPr>
      <w:r>
        <w:t>(5)</w:t>
      </w:r>
      <w:r>
        <w:tab/>
      </w:r>
      <w:r>
        <w:rPr>
          <w:noProof/>
        </w:rPr>
        <w:t>Az EGT-megállapodás 31. jegyzőkönyvét ezért módosítani kell annak érdekében, hogy e kiterjesztett együttműködés 2019. január 1-jei kezdettel lehetővé váljon.</w:t>
      </w:r>
    </w:p>
    <w:p>
      <w:pPr>
        <w:pStyle w:val="ManualConsidrant"/>
        <w:rPr>
          <w:noProof/>
        </w:rPr>
      </w:pPr>
      <w:r>
        <w:t>(6)</w:t>
      </w:r>
      <w:r>
        <w:tab/>
      </w:r>
      <w:r>
        <w:rPr>
          <w:noProof/>
        </w:rPr>
        <w:t>Az Unió által az EGT Vegyes Bizottságban képviselendő álláspontnak a csatolt határozattervezeten kell alapulnia,</w:t>
      </w:r>
    </w:p>
    <w:p>
      <w:pPr>
        <w:pStyle w:val="Formuledadoption"/>
        <w:rPr>
          <w:noProof/>
        </w:rPr>
      </w:pPr>
      <w:r>
        <w:rPr>
          <w:noProof/>
        </w:rPr>
        <w:lastRenderedPageBreak/>
        <w:t>ELFOGADTA EZT A HATÁROZATOT:</w:t>
      </w:r>
    </w:p>
    <w:p>
      <w:pPr>
        <w:pStyle w:val="Titrearticle"/>
        <w:rPr>
          <w:noProof/>
        </w:rPr>
      </w:pPr>
      <w:r>
        <w:rPr>
          <w:noProof/>
        </w:rPr>
        <w:t>1. cikk</w:t>
      </w:r>
    </w:p>
    <w:p>
      <w:pPr>
        <w:rPr>
          <w:noProof/>
        </w:rPr>
      </w:pPr>
      <w:r>
        <w:rPr>
          <w:noProof/>
        </w:rPr>
        <w:t>Az EGT Vegyes Bizottságban az EGT-megállapodás egyes, a négy alapszabadságon kívül eső területeken folytatott együttműködésről szóló 31. jegyzőkönyvének javasolt módosításával kapcsolatban az Unió által képviselendő álláspont az EGT Vegyes Bizottság határozatának az e határozathoz csatolt tervezetén alapul.</w:t>
      </w:r>
    </w:p>
    <w:p>
      <w:pPr>
        <w:pStyle w:val="Titrearticle"/>
        <w:rPr>
          <w:noProof/>
        </w:rPr>
      </w:pPr>
      <w:r>
        <w:rPr>
          <w:noProof/>
        </w:rPr>
        <w:t>2. cikk</w:t>
      </w:r>
    </w:p>
    <w:p>
      <w:pPr>
        <w:keepLines/>
        <w:rPr>
          <w:noProof/>
        </w:rPr>
      </w:pPr>
      <w:r>
        <w:rPr>
          <w:noProof/>
        </w:rPr>
        <w:t>Ez a határozat az elfogadásának napján lép hatályba.</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de-DE"/>
        </w:rPr>
      </w:pPr>
      <w:r>
        <w:rPr>
          <w:rStyle w:val="FootnoteReference"/>
        </w:rPr>
        <w:footnoteRef/>
      </w:r>
      <w:r>
        <w:tab/>
        <w:t>HL L 305., 1994.11.30., 6. o.</w:t>
      </w:r>
    </w:p>
  </w:footnote>
  <w:footnote w:id="2">
    <w:p>
      <w:pPr>
        <w:pStyle w:val="FootnoteText"/>
        <w:rPr>
          <w:lang w:val="de-DE"/>
        </w:rPr>
      </w:pPr>
      <w:r>
        <w:rPr>
          <w:rStyle w:val="FootnoteReference"/>
        </w:rPr>
        <w:footnoteRef/>
      </w:r>
      <w:r>
        <w:tab/>
        <w:t>HL L 305., 1994.11.30., 6. o.</w:t>
      </w:r>
    </w:p>
  </w:footnote>
  <w:footnote w:id="3">
    <w:p>
      <w:pPr>
        <w:pStyle w:val="FootnoteText"/>
        <w:rPr>
          <w:lang w:val="de-DE"/>
        </w:rPr>
      </w:pPr>
      <w:r>
        <w:rPr>
          <w:rStyle w:val="FootnoteReference"/>
        </w:rPr>
        <w:footnoteRef/>
      </w:r>
      <w:r>
        <w:tab/>
        <w:t>HL L 1., 1994.1.3., 3.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72F7D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65E2AD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C2E4C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488CB98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D6A05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7B08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965A90"/>
    <w:lvl w:ilvl="0">
      <w:start w:val="1"/>
      <w:numFmt w:val="decimal"/>
      <w:pStyle w:val="ListNumber"/>
      <w:lvlText w:val="%1."/>
      <w:lvlJc w:val="left"/>
      <w:pPr>
        <w:tabs>
          <w:tab w:val="num" w:pos="360"/>
        </w:tabs>
        <w:ind w:left="360" w:hanging="360"/>
      </w:pPr>
    </w:lvl>
  </w:abstractNum>
  <w:abstractNum w:abstractNumId="7">
    <w:nsid w:val="FFFFFF89"/>
    <w:multiLevelType w:val="singleLevel"/>
    <w:tmpl w:val="BC488C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6"/>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43: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34F1D74-334A-4B0A-88A2-6675646A6B2D"/>
    <w:docVar w:name="LW_COVERPAGE_TYPE" w:val="1"/>
    <w:docVar w:name="LW_CROSSREFERENCE" w:val="&lt;UNUSED&gt;"/>
    <w:docVar w:name="LW_DocType" w:val="COM"/>
    <w:docVar w:name="LW_EMISSION" w:val="2019.5.27."/>
    <w:docVar w:name="LW_EMISSION_ISODATE" w:val="2019-05-27"/>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114"/>
    <w:docVar w:name="LW_REF.II.NEW.CP_YEAR" w:val="2019"/>
    <w:docVar w:name="LW_REF.INST.NEW" w:val="COM"/>
    <w:docVar w:name="LW_REF.INST.NEW_ADOPTED" w:val="final"/>
    <w:docVar w:name="LW_REF.INST.NEW_TEXT" w:val="(2019)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Javaslat"/>
    <w:docVar w:name="LW_SUPERTITRE" w:val="&lt;UNUSED&gt;"/>
    <w:docVar w:name="LW_TITRE.OBJ.CP" w:val="az Európai Unió által az EGT Vegyes Bizottságban az EGT-megállapodás egyes, a négy alapszabadságon kívül es\u337? területeken folytatott együttm\u369?ködésr\u337?l szóló 31. jegyz\u337?könyvének módosításával kapcsolatban képviselend\u337? álláspontról_x000b__x000b_(02 03 01. költségvetési sor \u8211? Az áruk és szolgáltatások bels\u337? piacának m\u369?ködése és fejlesztése és 02 03 04. költségvetési sor \u8211? A bels\u337? piac irányítási eszközei)_x000b_"/>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5</Pages>
  <Words>857</Words>
  <Characters>6096</Characters>
  <Application>Microsoft Office Word</Application>
  <DocSecurity>0</DocSecurity>
  <Lines>119</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2019-05-21T11:56:00Z</dcterms:created>
  <dcterms:modified xsi:type="dcterms:W3CDTF">2019-05-22T14:43:00Z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