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047CAC0-0807-4CC5-9ACD-E1B34561889C" style="width:450.75pt;height:464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MOTIVERING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BAKGRUND TILL FÖRSLAGET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Motiv och syfte med förslaget</w:t>
      </w:r>
    </w:p>
    <w:p>
      <w:pPr>
        <w:rPr>
          <w:noProof/>
        </w:rPr>
      </w:pPr>
      <w:r>
        <w:rPr>
          <w:noProof/>
        </w:rPr>
        <w:t>För att trygga den erforderliga rättssäkerheten och enhetligheten på den inre marknaden ska gemensamma EES-kommittén införliva all relevant unionslagstiftning med EES-avtalet så snart som möjligt efter antagandet av lagstiftningen i fråga och också göra det möjligt för Eftastaterna i EES att delta i EU-åtgärder och EU-program som är av betydelse för EES.</w:t>
      </w:r>
    </w:p>
    <w:p>
      <w:pPr>
        <w:rPr>
          <w:noProof/>
        </w:rPr>
      </w:pPr>
      <w:r>
        <w:rPr>
          <w:noProof/>
        </w:rPr>
        <w:t>Syftet med utkastet till beslut av gemensamma EES-kommittén (som åtföljer det föreliggande förslaget till rådsbeslut) är att ändra protokoll 31 till EES-avtalet om samarbete inom särskilda områden vid sidan om de fyra friheterna. Detta är nödvändigt för att Eftastaterna i EES ska kunna delta i unionens program och åtgärder som finansieras via budgetposter i Europeiska unionens allmänna budget. I det aktuella fallet är syftet med denna ändring att göra det möjligt för Eftastaterna i EES (Norge, Island och Liechtenstein) att delta i unionens åtgärder som hör till budgetpost 02.03.01 ”Inre marknaden” och budgetpost 02.03.04 ”Verktyg för förvaltning av den inre marknaden”, som infördes i Europeiska unionens allmänna budget för budgetåret 2019.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Förenlighet med befintliga bestämmelser inom området</w:t>
      </w:r>
    </w:p>
    <w:p>
      <w:pPr>
        <w:rPr>
          <w:noProof/>
        </w:rPr>
      </w:pPr>
      <w:r>
        <w:rPr>
          <w:noProof/>
        </w:rPr>
        <w:t>Det bifogade utkastet till beslut av gemensamma EES-kommittén är fullständigt förenligt med EES-avtalets syfte att främja ett fortgående och balanserat stärkande av handeln och de ekonomiska förbindelserna mellan de avtalsslutande parterna på lika konkurrensvillkor och med respekt för samma regler, i avsikt att skapa ett homogent Europeiskt ekonomiskt samarbetsområde.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Förenlighet med unionens politik inom andra områden</w:t>
      </w:r>
    </w:p>
    <w:p>
      <w:pPr>
        <w:rPr>
          <w:noProof/>
        </w:rPr>
      </w:pPr>
      <w:r>
        <w:rPr>
          <w:noProof/>
        </w:rPr>
        <w:t>Gemensamma EES-kommitténs beslut är också förenligt med unionens politik inom andra områden, särskilt genom dess syfte att skydda enhetligheten på EU:s inre marknad.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RÄTTSLIG GRUND, SUBSIDIARITETETSPRINCIPEN OCH PROPORTIONALITETSPRINCIPEN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Rättslig grund</w:t>
      </w:r>
    </w:p>
    <w:p>
      <w:pPr>
        <w:rPr>
          <w:noProof/>
        </w:rPr>
      </w:pPr>
      <w:r>
        <w:rPr>
          <w:noProof/>
        </w:rPr>
        <w:t>Förslaget grundar sig på artikel 114 i EUF-fördraget jämförd med artikel 218.9. Enligt artikel 1.3 i rådets förordning (EG) nr 2894/94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om formerna för genomförandet av avtalet om Europeiska ekonomiska samarbetsområdet ska rådet när det gäller denna typ av beslut fastställa unionens ståndpunkt på förslag från kommissionen.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Subsidiaritetsprincipen (för icke-exklusiv befogenhet)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Förslaget är förenligt med subsidiaritetsprincipen av följande skäl: </w:t>
      </w:r>
      <w:r>
        <w:rPr>
          <w:noProof/>
          <w:color w:val="000000"/>
        </w:rPr>
        <w:t xml:space="preserve"> </w:t>
      </w:r>
    </w:p>
    <w:p>
      <w:pPr>
        <w:rPr>
          <w:rFonts w:cs="EUAlbertina"/>
          <w:noProof/>
          <w:color w:val="000000"/>
          <w:szCs w:val="24"/>
        </w:rPr>
      </w:pPr>
      <w:r>
        <w:rPr>
          <w:noProof/>
          <w:color w:val="000000"/>
        </w:rPr>
        <w:t xml:space="preserve">Målet med detta förslag, nämligen att säkerställa enhetligheten på den inre marknaden, kan inte i tillräcklig utsträckning uppnås av medlemsstaterna och kan därför, på grund av förslagets verkningar, bättre uppnås på unionsnivå.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Proportionalitetsprincipen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I enlighet med proportionalitetsprincipen går förslaget inte utöver vad som är nödvändigt för att uppnå dess mål – att säkerställa enhetligheten på den inre marknaden.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Val av instrument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 xml:space="preserve">I enlighet med artikel 98 i EES-avtalet har ett beslut av gemensamma EES-kommittén valts som instrument. Gemensamma EES-kommittén ska säkerställa att EES-avtalet genomförs och fungerar på ett effektivt sätt. Därför ska kommittén fatta beslut i de fall som anges i detta avtal.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RESULTAT AV EFTERHANDSUTVÄRDERINGAR, SAMRÅD MED BERÖRDA PARTER OCH KONSEKVENSBEDÖMNINGAR</w:t>
      </w:r>
    </w:p>
    <w:p>
      <w:pPr>
        <w:pStyle w:val="Text1"/>
        <w:ind w:left="0"/>
        <w:rPr>
          <w:noProof/>
        </w:rPr>
      </w:pPr>
      <w:r>
        <w:rPr>
          <w:noProof/>
        </w:rPr>
        <w:t>Ej tillämpligt.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BUDGETKONSEKVENSER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Eftastaterna i EES bör bidra ekonomiskt till budgetpost 02.03.01 ”Inre marknaden” och budgetpost 02.03.04 ”Verktyg för förvaltning av den inre marknaden”. Det exakta beloppet kommer att fastställas i enlighet med bestämmelserna i EES-avtalet när detta utkast till rådets beslut har antagits.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ÖVRIGA INSLAG</w:t>
      </w:r>
    </w:p>
    <w:p>
      <w:pPr>
        <w:spacing w:before="0" w:after="240"/>
        <w:rPr>
          <w:noProof/>
        </w:rPr>
      </w:pPr>
      <w:r>
        <w:rPr>
          <w:noProof/>
        </w:rPr>
        <w:t>I överensstämmelse med EU:s budgetpolitik kan deltagande i en EU-verksamhet ske först efter det att motsvarande ekonomiska bidrag har betalats. I enlighet med protokoll 32 till EES-avtalet inkommer det årliga ekonomiska bidraget från Eftastaterna i EES emellertid senast den 31 augusti varje år, till följd av EU:s betalningsbegäran som fastställs av Europeiska kommissionen och överlämnas till Eftastaterna i EES senast den 15 augusti varje år.</w:t>
      </w:r>
    </w:p>
    <w:p>
      <w:pPr>
        <w:spacing w:before="0" w:after="240"/>
        <w:rPr>
          <w:noProof/>
        </w:rPr>
      </w:pPr>
      <w:r>
        <w:rPr>
          <w:noProof/>
        </w:rPr>
        <w:t>För att överbrygga perioden mellan januari och augusti bör därför utkastet till beslut av gemensamma EES-kommittén tillämpas retroaktivt från och med januari. På så sätt säkerställs kontinuiteten i samarbetet under hela kalenderåret, i enlighet med EES-avtalet.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  <w:r>
        <w:rPr>
          <w:noProof/>
        </w:rPr>
        <w:t>Den retroaktiva verkan påverkar inte berörda personers rättigheter och skyldigheter och är förenlig med principen om berättigade förväntningar.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2019/0114 (NLE)</w:t>
      </w:r>
    </w:p>
    <w:p>
      <w:pPr>
        <w:pStyle w:val="Statut"/>
        <w:rPr>
          <w:noProof/>
        </w:rPr>
      </w:pPr>
      <w:r>
        <w:rPr>
          <w:noProof/>
        </w:rPr>
        <w:t>Förslag till</w:t>
      </w:r>
    </w:p>
    <w:p>
      <w:pPr>
        <w:pStyle w:val="Typedudocument"/>
        <w:rPr>
          <w:noProof/>
        </w:rPr>
      </w:pPr>
      <w:r>
        <w:rPr>
          <w:noProof/>
        </w:rPr>
        <w:t>RÅDETS BESLUT</w:t>
      </w:r>
    </w:p>
    <w:p>
      <w:pPr>
        <w:pStyle w:val="Titreobjet"/>
        <w:rPr>
          <w:noProof/>
        </w:rPr>
      </w:pPr>
      <w:r>
        <w:rPr>
          <w:noProof/>
        </w:rPr>
        <w:t>om den ståndpunkt som ska intas på Europeiska unionens vägnar</w:t>
      </w:r>
      <w:r>
        <w:rPr>
          <w:noProof/>
        </w:rPr>
        <w:br/>
        <w:t>i gemensamma EES-kommittén beträffande en ändring av protokoll 31 till EES-avtalet, om samarbete inom särskilda områden vid sidan om de fyra friheterna</w:t>
      </w:r>
      <w:r>
        <w:rPr>
          <w:noProof/>
        </w:rPr>
        <w:br/>
      </w:r>
      <w:r>
        <w:rPr>
          <w:noProof/>
        </w:rPr>
        <w:br/>
        <w:t>(Budgetpost 02.03.01 Inre marknaden och Budgetpost 02.03.04 Verktyg för förvaltning av den inre marknaden)</w:t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(Text av betydelse för EES)</w:t>
      </w:r>
    </w:p>
    <w:p>
      <w:pPr>
        <w:pStyle w:val="Institutionquiagit"/>
        <w:rPr>
          <w:noProof/>
        </w:rPr>
      </w:pPr>
      <w:r>
        <w:rPr>
          <w:noProof/>
        </w:rPr>
        <w:t>EUROPEISKA UNIONENS RÅD HAR ANTAGIT DETTA BESLUT</w:t>
      </w:r>
    </w:p>
    <w:p>
      <w:pPr>
        <w:rPr>
          <w:noProof/>
        </w:rPr>
      </w:pPr>
      <w:r>
        <w:rPr>
          <w:noProof/>
        </w:rPr>
        <w:t>med beaktande av fördraget om Europeiska unionens funktionssätt, särskilt artikel 114 jämförd med artikel 218.9,</w:t>
      </w:r>
    </w:p>
    <w:p>
      <w:pPr>
        <w:rPr>
          <w:noProof/>
        </w:rPr>
      </w:pPr>
      <w:r>
        <w:rPr>
          <w:noProof/>
        </w:rPr>
        <w:t>med beaktande av rådets förordning (EG) nr 2894/94 av den 28 november 1994 om formerna för genomförandet av avtalet om Europeiska ekonomiska samarbetsområdet</w:t>
      </w:r>
      <w:r>
        <w:rPr>
          <w:rStyle w:val="FootnoteReference"/>
          <w:noProof/>
        </w:rPr>
        <w:footnoteReference w:id="2"/>
      </w:r>
      <w:r>
        <w:rPr>
          <w:noProof/>
        </w:rPr>
        <w:t>, särskilt artikel 1.3,</w:t>
      </w:r>
    </w:p>
    <w:p>
      <w:pPr>
        <w:rPr>
          <w:noProof/>
        </w:rPr>
      </w:pPr>
      <w:r>
        <w:rPr>
          <w:noProof/>
        </w:rPr>
        <w:t>med beaktande av Europeiska kommissionens förslag, och</w:t>
      </w:r>
    </w:p>
    <w:p>
      <w:pPr>
        <w:rPr>
          <w:noProof/>
        </w:rPr>
      </w:pPr>
      <w:r>
        <w:rPr>
          <w:noProof/>
        </w:rPr>
        <w:t>av följande skäl: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Avtalet om Europeiska ekonomiska samarbetsområdet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(nedan kallat </w:t>
      </w:r>
      <w:r>
        <w:rPr>
          <w:i/>
          <w:noProof/>
        </w:rPr>
        <w:t>EES-avtalet</w:t>
      </w:r>
      <w:r>
        <w:rPr>
          <w:noProof/>
        </w:rPr>
        <w:t>) trädde i kraft den 1 januari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Enligt artikel 98 i EES-avtalet får gemensamma EES-kommittén besluta att ändra bland annat protokoll 31 till EES-avtalet.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Protokoll 31 till EES-avtalet innehåller bestämmelser om samarbete inom särskilda områden vid sidan om de fyra friheterna.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Samarbetet mellan de avtalsslutande parterna i EES-avtalet i fråga om unionsåtgärder som finansieras via Europeiska unionens allmänna budget och som avser verksamhet och utveckling avseende den inre marknaden för varor och tjänster bör utvidgas.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Protokoll 31 till EES-avtalet bör därför ändras så att detta utvidgade samarbete kan äga rum från och med den 1 januari 2019.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Unionens ståndpunkt i gemensamma EES-kommittén bör grunda sig på det utkast till beslut som åtföljer det här beslutet.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HÄRIGENOM FÖRESKRIVS FÖLJANDE. </w:t>
      </w:r>
    </w:p>
    <w:p>
      <w:pPr>
        <w:pStyle w:val="Titrearticle"/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Den ståndpunkt som ska intas på unionens vägnar i gemensamma EES-kommittén beträffande den föreslagna ändringen av protokoll 31 till EES-avtalet, om samarbete inom särskilda områden vid sidan om de fyra friheterna, ska grunda sig på det utkast till beslut av gemensamma EES-kommittén som åtföljer det här beslutet.</w:t>
      </w:r>
    </w:p>
    <w:p>
      <w:pPr>
        <w:pStyle w:val="Titrearticle"/>
        <w:rPr>
          <w:noProof/>
        </w:rPr>
      </w:pPr>
      <w:r>
        <w:rPr>
          <w:noProof/>
        </w:rPr>
        <w:t>Artikel 2</w:t>
      </w:r>
    </w:p>
    <w:p>
      <w:pPr>
        <w:keepLines/>
        <w:rPr>
          <w:noProof/>
        </w:rPr>
      </w:pPr>
      <w:r>
        <w:rPr>
          <w:noProof/>
        </w:rPr>
        <w:t>Detta beslut träder i kraft samma dag som det antas.</w:t>
      </w:r>
    </w:p>
    <w:p>
      <w:pPr>
        <w:pStyle w:val="Fait"/>
        <w:rPr>
          <w:noProof/>
        </w:rPr>
      </w:pPr>
      <w:r>
        <w:t>Utfärdat i Bryssel den</w:t>
      </w:r>
    </w:p>
    <w:p>
      <w:pPr>
        <w:pStyle w:val="Institutionquisigne"/>
        <w:rPr>
          <w:noProof/>
        </w:rPr>
      </w:pPr>
      <w:r>
        <w:rPr>
          <w:noProof/>
        </w:rPr>
        <w:tab/>
        <w:t>På rådets vägnar</w:t>
      </w:r>
    </w:p>
    <w:p>
      <w:pPr>
        <w:pStyle w:val="Personnequisigne"/>
        <w:rPr>
          <w:noProof/>
        </w:rPr>
      </w:pPr>
      <w:r>
        <w:rPr>
          <w:noProof/>
        </w:rPr>
        <w:tab/>
        <w:t>Ordförande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EGT L 305, 30.11.1994, s. 6.</w:t>
      </w:r>
    </w:p>
  </w:footnote>
  <w:footnote w:id="2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EGT L 305, 30.11.1994, s. 6.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 xml:space="preserve">EGT L 1, 3.1.1994, s. 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72F7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65E2A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2E4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88CB9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D6A05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7B08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1965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C488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47:2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047CAC0-0807-4CC5-9ACD-E1B34561889C"/>
    <w:docVar w:name="LW_COVERPAGE_TYPE" w:val="1"/>
    <w:docVar w:name="LW_CROSSREFERENCE" w:val="&lt;UNUSED&gt;"/>
    <w:docVar w:name="LW_DocType" w:val="COM"/>
    <w:docVar w:name="LW_EMISSION" w:val="27.5.2019"/>
    <w:docVar w:name="LW_EMISSION_ISODATE" w:val="2019-05-27"/>
    <w:docVar w:name="LW_EMISSION_LOCATION" w:val="BRX"/>
    <w:docVar w:name="LW_EMISSION_PREFIX" w:val="Bryssel den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 av betydelse för EES)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4"/>
    <w:docVar w:name="LW_REF.II.NEW.CP_YEAR" w:val="2019"/>
    <w:docVar w:name="LW_REF.INST.NEW" w:val="COM"/>
    <w:docVar w:name="LW_REF.INST.NEW_ADOPTED" w:val="final"/>
    <w:docVar w:name="LW_REF.INST.NEW_TEXT" w:val="(2019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Förslag till"/>
    <w:docVar w:name="LW_SUPERTITRE" w:val="&lt;UNUSED&gt;"/>
    <w:docVar w:name="LW_TITRE.OBJ.CP" w:val="om den ståndpunkt som ska intas på Europeiska unionens vägnar_x000b_i gemensamma EES-kommittén beträffande en ändring av protokoll 31 till EES-avtalet, om samarbete inom särskilda områden vid sidan om de fyra friheterna_x000b__x000b_(Budgetpost 02.03.01 Inre marknaden och Budgetpost 02.03.04 Verktyg för förvaltning av den inre marknaden)_x000b_"/>
    <w:docVar w:name="LW_TYPE.DOC.CP" w:val="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6F57-5EB1-40FA-B18A-CC913544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7</TotalTime>
  <Pages>5</Pages>
  <Words>924</Words>
  <Characters>5624</Characters>
  <Application>Microsoft Office Word</Application>
  <DocSecurity>0</DocSecurity>
  <Lines>112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2019-05-21T14:33:00Z</dcterms:created>
  <dcterms:modified xsi:type="dcterms:W3CDTF">2019-05-22T14:47:00Z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