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0A38E9F-F61E-4F3D-A539-4CB831BE7C4C" style="width:450.75pt;height:436.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rPr>
        <w:t>•</w:t>
      </w:r>
      <w:r>
        <w:rPr>
          <w:noProof/>
        </w:rPr>
        <w:tab/>
        <w:t>Forslagets begrundelse og formål</w:t>
      </w:r>
    </w:p>
    <w:p>
      <w:pPr>
        <w:pBdr>
          <w:top w:val="nil"/>
          <w:left w:val="nil"/>
          <w:bottom w:val="nil"/>
          <w:right w:val="nil"/>
          <w:between w:val="nil"/>
          <w:bar w:val="nil"/>
        </w:pBdr>
        <w:spacing w:before="0" w:after="240"/>
        <w:rPr>
          <w:noProof/>
        </w:rPr>
      </w:pPr>
      <w:r>
        <w:rPr>
          <w:noProof/>
        </w:rPr>
        <w:t>For at sikre den nødvendige retssikkerhed og ensartethed på det indre marked skal Det Blandede EØS-Udvalg indarbejde al relevant EU-lovgivning i EØS-aftalen så hurtigt som muligt efter vedtagelsen og gøre det muligt for EØS-EFTA-staterne at deltage i EØS-relevante EU-foranstaltninger og -programmer.</w:t>
      </w:r>
    </w:p>
    <w:p>
      <w:pPr>
        <w:pBdr>
          <w:top w:val="nil"/>
          <w:left w:val="nil"/>
          <w:bottom w:val="nil"/>
          <w:right w:val="nil"/>
          <w:between w:val="nil"/>
          <w:bar w:val="nil"/>
        </w:pBdr>
        <w:spacing w:before="0" w:after="240"/>
        <w:rPr>
          <w:noProof/>
        </w:rPr>
      </w:pPr>
      <w:r>
        <w:rPr>
          <w:noProof/>
        </w:rPr>
        <w:t>Udkastet til Det Blandede EØS-Udvalgs afgørelse (der er knyttet som bilag til forslaget til Rådets afgørelse) har til formål at ændre protokol 31 til EØS-aftalen om samarbejde på særlige områder ud over de fire friheder. Dette er nødvendigt for at give EØS-EFTA-staterne mulighed for at deltage i de EU-programmer og -aktioner, der finansieres over budgetposterne i Den Europæiske Unions almindelige budget. Formålet med dette ændringsforslag er i dette tilfælde at gøre det muligt for EØS-EFTA-staterne (Norge, Island og Liechtenstein) at deltage i EU-aktioner vedrørende fri bevægelighed for arbejdstagere, koordinering af socialsikringssystemerne og foranstaltninger for migranter, herunder migranter fra tredjelande, vedrørende budgetpost 04 03 01 03 i Den Europæiske Unions almindelige budget for regnskabsåret 2019.</w:t>
      </w:r>
    </w:p>
    <w:p>
      <w:pPr>
        <w:pStyle w:val="ManualHeading2"/>
        <w:rPr>
          <w:rFonts w:eastAsia="Arial Unicode MS"/>
          <w:noProof/>
          <w:u w:color="000000"/>
          <w:bdr w:val="nil"/>
        </w:rPr>
      </w:pPr>
      <w:r>
        <w:rPr>
          <w:noProof/>
        </w:rPr>
        <w:t>•</w:t>
      </w:r>
      <w:r>
        <w:rPr>
          <w:noProof/>
        </w:rPr>
        <w:tab/>
        <w:t>Sammenhæng med de gældende regler på samme område</w:t>
      </w:r>
    </w:p>
    <w:p>
      <w:pPr>
        <w:pBdr>
          <w:top w:val="nil"/>
          <w:left w:val="nil"/>
          <w:bottom w:val="nil"/>
          <w:right w:val="nil"/>
          <w:between w:val="nil"/>
          <w:bar w:val="nil"/>
        </w:pBdr>
        <w:spacing w:before="0" w:after="240"/>
        <w:rPr>
          <w:rFonts w:eastAsia="Arial Unicode MS"/>
          <w:noProof/>
        </w:rPr>
      </w:pPr>
      <w:r>
        <w:rPr>
          <w:noProof/>
        </w:rPr>
        <w:t>Vedlagte udkast til Det Blandede EØS-Udvalgs afgørelse er fuldt ud i overensstemmelse med EØS-aftalens mål om at fremme en vedvarende og afbalanceret styrkelse af de handelsmæssige og økonomiske forbindelser mellem de kontraherende parter på lige konkurrencevilkår og under overholdelse af samme regler med henblik på at oprette et ensartet europæisk økonomisk samarbejdsområde.</w:t>
      </w:r>
    </w:p>
    <w:p>
      <w:pPr>
        <w:pStyle w:val="ManualHeading2"/>
        <w:rPr>
          <w:rFonts w:eastAsia="Arial Unicode MS"/>
          <w:noProof/>
        </w:rPr>
      </w:pPr>
      <w:r>
        <w:rPr>
          <w:noProof/>
        </w:rPr>
        <w:t>•</w:t>
      </w:r>
      <w:r>
        <w:rPr>
          <w:noProof/>
        </w:rPr>
        <w:tab/>
        <w:t>Sammenhæng med Unionens politik på andre områder</w:t>
      </w:r>
    </w:p>
    <w:p>
      <w:pPr>
        <w:pBdr>
          <w:top w:val="nil"/>
          <w:left w:val="nil"/>
          <w:bottom w:val="nil"/>
          <w:right w:val="nil"/>
          <w:between w:val="nil"/>
          <w:bar w:val="nil"/>
        </w:pBdr>
        <w:spacing w:before="0" w:after="240"/>
        <w:rPr>
          <w:rFonts w:eastAsia="Arial Unicode MS"/>
          <w:noProof/>
        </w:rPr>
      </w:pPr>
      <w:r>
        <w:rPr>
          <w:noProof/>
        </w:rPr>
        <w:t>Det Blandede EØS-Udvalgs afgørelse er også i overensstemmelse med EU's øvrige politikker, navnlig gennem målet om at beskytte ensartethed på EU's indre marked.</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rPr>
        <w:t>•</w:t>
      </w:r>
      <w:r>
        <w:rPr>
          <w:noProof/>
        </w:rPr>
        <w:tab/>
        <w:t>Retsgrundlag</w:t>
      </w:r>
    </w:p>
    <w:p>
      <w:pPr>
        <w:pBdr>
          <w:top w:val="nil"/>
          <w:left w:val="nil"/>
          <w:bottom w:val="nil"/>
          <w:right w:val="nil"/>
          <w:between w:val="nil"/>
          <w:bar w:val="nil"/>
        </w:pBdr>
        <w:spacing w:before="0" w:after="240"/>
        <w:rPr>
          <w:noProof/>
        </w:rPr>
      </w:pPr>
      <w:r>
        <w:rPr>
          <w:noProof/>
        </w:rPr>
        <w:t>Forslaget er baseret på artikel 46 og 48 i TEUF sammenholdt med artikel 218, stk. 9. I henhold til artikel 1, stk. 3, i Rådets forordning (EF) nr. 2894/94</w:t>
      </w:r>
      <w:r>
        <w:rPr>
          <w:rStyle w:val="FootnoteReference"/>
          <w:noProof/>
        </w:rPr>
        <w:footnoteReference w:id="1"/>
      </w:r>
      <w:r>
        <w:rPr>
          <w:noProof/>
        </w:rPr>
        <w:t xml:space="preserve"> om visse gennemførelsesbestemmelser til EØS-aftalen fastlægger Rådet på forslag af Kommissionen den holdning, som skal indtages på Unionens vegne til de afgørelser, som omhandles i nævnte stk. 3. </w:t>
      </w:r>
    </w:p>
    <w:p>
      <w:pPr>
        <w:pStyle w:val="ManualHeading2"/>
        <w:rPr>
          <w:rFonts w:eastAsia="Arial Unicode MS"/>
          <w:noProof/>
          <w:u w:color="000000"/>
          <w:bdr w:val="nil"/>
        </w:rPr>
      </w:pPr>
      <w:r>
        <w:rPr>
          <w:noProof/>
        </w:rPr>
        <w:t>•</w:t>
      </w:r>
      <w:r>
        <w:rPr>
          <w:noProof/>
        </w:rPr>
        <w:tab/>
        <w:t xml:space="preserve">Nærhedsprincippet (for områder, der ikke er omfattet af enekompetence) </w:t>
      </w:r>
    </w:p>
    <w:p>
      <w:pPr>
        <w:pBdr>
          <w:top w:val="nil"/>
          <w:left w:val="nil"/>
          <w:bottom w:val="nil"/>
          <w:right w:val="nil"/>
          <w:between w:val="nil"/>
          <w:bar w:val="nil"/>
        </w:pBdr>
        <w:spacing w:before="0" w:after="240"/>
        <w:rPr>
          <w:noProof/>
        </w:rPr>
      </w:pPr>
      <w:r>
        <w:rPr>
          <w:noProof/>
        </w:rPr>
        <w:t xml:space="preserve">Forslaget er i overensstemmelse med nærhedsprincippet af følgende grund: </w:t>
      </w:r>
    </w:p>
    <w:p>
      <w:pPr>
        <w:pBdr>
          <w:top w:val="nil"/>
          <w:left w:val="nil"/>
          <w:bottom w:val="nil"/>
          <w:right w:val="nil"/>
          <w:between w:val="nil"/>
          <w:bar w:val="nil"/>
        </w:pBdr>
        <w:spacing w:before="0" w:after="240"/>
        <w:rPr>
          <w:rFonts w:eastAsia="Arial Unicode MS"/>
          <w:noProof/>
        </w:rPr>
      </w:pPr>
      <w:r>
        <w:rPr>
          <w:noProof/>
        </w:rPr>
        <w:t>Målet for dette forslag, nemlig at sikre ensartethed på det indre marked, kan ikke i tilstrækkelig grad opfyldes af medlemsstaterne, men kan bedre nås på EU-plan.</w:t>
      </w:r>
    </w:p>
    <w:p>
      <w:pPr>
        <w:pStyle w:val="ManualHeading2"/>
        <w:rPr>
          <w:rFonts w:eastAsia="Arial Unicode MS"/>
          <w:noProof/>
          <w:u w:color="000000"/>
          <w:bdr w:val="nil"/>
        </w:rPr>
      </w:pPr>
      <w:r>
        <w:rPr>
          <w:noProof/>
        </w:rPr>
        <w:t>•</w:t>
      </w:r>
      <w:r>
        <w:rPr>
          <w:noProof/>
        </w:rPr>
        <w:tab/>
        <w:t>Proportionalitetsprincippet</w:t>
      </w:r>
    </w:p>
    <w:p>
      <w:pPr>
        <w:pBdr>
          <w:top w:val="nil"/>
          <w:left w:val="nil"/>
          <w:bottom w:val="nil"/>
          <w:right w:val="nil"/>
          <w:between w:val="nil"/>
          <w:bar w:val="nil"/>
        </w:pBdr>
        <w:spacing w:before="0" w:after="240"/>
        <w:rPr>
          <w:rFonts w:eastAsia="Arial Unicode MS"/>
          <w:noProof/>
        </w:rPr>
      </w:pPr>
      <w:r>
        <w:rPr>
          <w:noProof/>
        </w:rPr>
        <w:t>I overensstemmelse med proportionalitetsprincippet går dette forslag ikke videre, end hvad der er nødvendigt for at nå målet.</w:t>
      </w:r>
    </w:p>
    <w:p>
      <w:pPr>
        <w:pStyle w:val="ManualHeading2"/>
        <w:rPr>
          <w:rFonts w:eastAsia="Arial Unicode MS"/>
          <w:noProof/>
          <w:u w:color="000000"/>
          <w:bdr w:val="nil"/>
        </w:rPr>
      </w:pPr>
      <w:r>
        <w:rPr>
          <w:noProof/>
        </w:rPr>
        <w:t>•</w:t>
      </w:r>
      <w:r>
        <w:rPr>
          <w:noProof/>
        </w:rPr>
        <w:tab/>
        <w:t>Valg af retsakt</w:t>
      </w:r>
    </w:p>
    <w:p>
      <w:pPr>
        <w:pBdr>
          <w:top w:val="nil"/>
          <w:left w:val="nil"/>
          <w:bottom w:val="nil"/>
          <w:right w:val="nil"/>
          <w:between w:val="nil"/>
          <w:bar w:val="nil"/>
        </w:pBdr>
        <w:spacing w:before="0" w:after="240"/>
        <w:rPr>
          <w:rFonts w:eastAsia="Arial Unicode MS"/>
          <w:noProof/>
        </w:rPr>
      </w:pPr>
      <w:r>
        <w:rPr>
          <w:noProof/>
        </w:rPr>
        <w:t>I henhold til artikel 98 i EØS-aftalen er den valgte retsakt Det Blandede EØS-Udvalgs afgørelse. Det Blandede EØS-Udvalg sikrer en effektiv gennemførelse og anvendelse af EØS-aftalen. Det træffer med henblik herpå afgørelser i de i EØS-aftalen fastsatte tilfælde.</w:t>
      </w:r>
    </w:p>
    <w:p>
      <w:pPr>
        <w:pStyle w:val="ManualHeading1"/>
        <w:rPr>
          <w:noProof/>
        </w:rPr>
      </w:pPr>
      <w:r>
        <w:rPr>
          <w:noProof/>
        </w:rPr>
        <w:t>3.</w:t>
      </w:r>
      <w:r>
        <w:rPr>
          <w:noProof/>
        </w:rPr>
        <w:tab/>
        <w:t>RESULTATER AF EFTERFØLGENDE EVALUERINGER, HØRINGER AF INTERESSEREDE PARTER OG KONSEKVENSANALYSER</w:t>
      </w:r>
    </w:p>
    <w:p>
      <w:pPr>
        <w:pBdr>
          <w:top w:val="nil"/>
          <w:left w:val="nil"/>
          <w:bottom w:val="nil"/>
          <w:right w:val="nil"/>
          <w:between w:val="nil"/>
          <w:bar w:val="nil"/>
        </w:pBdr>
        <w:spacing w:before="0" w:after="240"/>
        <w:rPr>
          <w:rFonts w:eastAsia="Arial Unicode MS"/>
          <w:noProof/>
        </w:rPr>
      </w:pPr>
      <w:r>
        <w:rPr>
          <w:noProof/>
        </w:rPr>
        <w:t>Ikke relevant.</w:t>
      </w:r>
    </w:p>
    <w:p>
      <w:pPr>
        <w:pStyle w:val="ManualHeading1"/>
        <w:rPr>
          <w:noProof/>
        </w:rPr>
      </w:pPr>
      <w:r>
        <w:rPr>
          <w:noProof/>
        </w:rPr>
        <w:t>4.</w:t>
      </w:r>
      <w:r>
        <w:rPr>
          <w:noProof/>
        </w:rPr>
        <w:tab/>
        <w:t>VIRKNINGER FOR BUDGETTET</w:t>
      </w:r>
    </w:p>
    <w:p>
      <w:pPr>
        <w:pBdr>
          <w:top w:val="nil"/>
          <w:left w:val="nil"/>
          <w:bottom w:val="nil"/>
          <w:right w:val="nil"/>
          <w:between w:val="nil"/>
          <w:bar w:val="nil"/>
        </w:pBdr>
        <w:spacing w:before="0" w:after="240"/>
        <w:rPr>
          <w:rFonts w:eastAsia="Arial Unicode MS"/>
          <w:noProof/>
        </w:rPr>
      </w:pPr>
      <w:r>
        <w:rPr>
          <w:noProof/>
        </w:rPr>
        <w:t>EØS-EFTA-staterne bidrager finansielt til budgetpost 04 03 01 03 "Fri bevægelighed for arbejdstagere, koordinering af socialsikringssystemerne og foranstaltninger for indvandrere, herunder indvandrere fra tredjelande". Det præcise beløb vil blive fastsat i overensstemmelse med bestemmelserne i EØS-aftalen, når dette udkast til Rådets afgørelse er vedtaget.</w:t>
      </w:r>
    </w:p>
    <w:p>
      <w:pPr>
        <w:pStyle w:val="ManualHeading1"/>
        <w:rPr>
          <w:noProof/>
        </w:rPr>
      </w:pPr>
      <w:r>
        <w:rPr>
          <w:noProof/>
        </w:rPr>
        <w:t>5.</w:t>
      </w:r>
      <w:r>
        <w:rPr>
          <w:noProof/>
        </w:rPr>
        <w:tab/>
        <w:t>ANDRE FORHOLD</w:t>
      </w:r>
    </w:p>
    <w:p>
      <w:pPr>
        <w:rPr>
          <w:noProof/>
        </w:rPr>
      </w:pPr>
      <w:r>
        <w:rPr>
          <w:noProof/>
        </w:rPr>
        <w:t>I overensstemmelse med EU's budgetpolitik kan deltagelse i en EU-aktivitet kun finde sted, efter at det tilsvarende finansielle bidrag er betalt. I overensstemmelse med protokol 32 til EØS-aftalen betales de årlige finansielle bidrag fra EØS-EFTA-staterne imidlertid hvert år senest den 31. august efter EU's indkaldelse af midler, som Europa-Kommissionen udarbejder og forelægger for EØS-EFTA-staterne senest den 15. august.</w:t>
      </w:r>
    </w:p>
    <w:p>
      <w:pPr>
        <w:rPr>
          <w:noProof/>
        </w:rPr>
      </w:pPr>
      <w:r>
        <w:rPr>
          <w:noProof/>
        </w:rPr>
        <w:t>For at dække perioden mellem januar og august finder udkastet til Det Blandede EØS-Udvalgs afgørelse derfor anvendelse med tilbagevirkende kraft fra januar. Derved sikres der kontinuitet i samarbejdet som fastsat i EØS-aftalen over hele kalenderåret.</w:t>
      </w:r>
    </w:p>
    <w:p>
      <w:pPr>
        <w:pBdr>
          <w:top w:val="nil"/>
          <w:left w:val="nil"/>
          <w:bottom w:val="nil"/>
          <w:right w:val="nil"/>
          <w:between w:val="nil"/>
          <w:bar w:val="nil"/>
        </w:pBdr>
        <w:spacing w:before="0" w:after="240"/>
        <w:rPr>
          <w:rFonts w:eastAsia="Arial Unicode MS"/>
          <w:noProof/>
        </w:rPr>
      </w:pPr>
      <w:r>
        <w:rPr>
          <w:noProof/>
        </w:rPr>
        <w:t>Anvendelsen med tilbagevirkende kraft påvirker ikke berørte personers rettigheder og forpligtelser og følger princippet om berettiget forventning.</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2019/0113 (NLE)</w:t>
      </w:r>
    </w:p>
    <w:p>
      <w:pPr>
        <w:pStyle w:val="Statut"/>
        <w:rPr>
          <w:noProof/>
        </w:rPr>
      </w:pPr>
      <w:r>
        <w:rPr>
          <w:noProof/>
        </w:rPr>
        <w:t>Forslag til</w:t>
      </w:r>
    </w:p>
    <w:p>
      <w:pPr>
        <w:pStyle w:val="Typedudocument"/>
        <w:rPr>
          <w:noProof/>
        </w:rPr>
      </w:pPr>
      <w:r>
        <w:rPr>
          <w:noProof/>
        </w:rPr>
        <w:t>RÅDETS AFGØRELSE</w:t>
      </w:r>
    </w:p>
    <w:p>
      <w:pPr>
        <w:pStyle w:val="Titreobjet"/>
        <w:rPr>
          <w:noProof/>
        </w:rPr>
      </w:pPr>
      <w:r>
        <w:rPr>
          <w:noProof/>
        </w:rPr>
        <w:t>om den holdning, der skal indtages på Den Europæiske Unions vegne</w:t>
      </w:r>
      <w:r>
        <w:rPr>
          <w:noProof/>
        </w:rPr>
        <w:br/>
        <w:t>i Det Blandede EØS-Udvalg til en ændring af protokol 31</w:t>
      </w:r>
      <w:r>
        <w:rPr>
          <w:noProof/>
        </w:rPr>
        <w:br/>
        <w:t>til EØS-aftalen om samarbejde på særlige områder ud over de fire friheder</w:t>
      </w:r>
      <w:r>
        <w:rPr>
          <w:noProof/>
        </w:rPr>
        <w:br/>
      </w:r>
      <w:r>
        <w:rPr>
          <w:noProof/>
        </w:rPr>
        <w:br/>
        <w:t>(Budgetpost 04 03 01 03 – Socialsikring)</w:t>
      </w:r>
    </w:p>
    <w:p>
      <w:pPr>
        <w:pStyle w:val="IntrtEEE"/>
        <w:rPr>
          <w:noProof/>
        </w:rPr>
      </w:pPr>
      <w:r>
        <w:rPr>
          <w:noProof/>
        </w:rPr>
        <w:t>(EØS-relevant tekst)</w:t>
      </w:r>
    </w:p>
    <w:p>
      <w:pPr>
        <w:pStyle w:val="Institutionquiagit"/>
        <w:rPr>
          <w:noProof/>
        </w:rPr>
      </w:pPr>
      <w:r>
        <w:rPr>
          <w:noProof/>
        </w:rPr>
        <w:t>RÅDET FOR DEN EUROPÆISKE UNION HAR —</w:t>
      </w:r>
    </w:p>
    <w:p>
      <w:pPr>
        <w:rPr>
          <w:noProof/>
        </w:rPr>
      </w:pPr>
      <w:r>
        <w:rPr>
          <w:noProof/>
        </w:rPr>
        <w:t>under henvisning til traktaten om Den Europæiske Unions funktionsmåde, særlig artikel 46 og 48 sammenholdt med artikel 218, stk. 9,</w:t>
      </w:r>
    </w:p>
    <w:p>
      <w:pPr>
        <w:rPr>
          <w:rFonts w:eastAsia="Calibri"/>
          <w:noProof/>
        </w:rPr>
      </w:pPr>
      <w:r>
        <w:rPr>
          <w:noProof/>
        </w:rPr>
        <w:t>under henvisning til Rådets forordning (EF) nr. 2894/94 af 28. november 1994 om visse gennemførelsesbestemmelser til aftalen om Det Europæiske Økonomiske Samarbejdsområde</w:t>
      </w:r>
      <w:r>
        <w:rPr>
          <w:rStyle w:val="FootnoteReference"/>
          <w:noProof/>
        </w:rPr>
        <w:footnoteReference w:id="2"/>
      </w:r>
      <w:r>
        <w:rPr>
          <w:noProof/>
        </w:rPr>
        <w:t>, særlig artikel 1, stk. 3,</w:t>
      </w:r>
    </w:p>
    <w:p>
      <w:pPr>
        <w:rPr>
          <w:noProof/>
        </w:rPr>
      </w:pPr>
      <w:r>
        <w:rPr>
          <w:noProof/>
        </w:rPr>
        <w:t>under henvisning til forslag fra Europa-Kommissionen, og</w:t>
      </w:r>
    </w:p>
    <w:p>
      <w:pPr>
        <w:rPr>
          <w:noProof/>
        </w:rPr>
      </w:pPr>
      <w:r>
        <w:rPr>
          <w:noProof/>
        </w:rPr>
        <w:t>ud fra følgende betragtninger:</w:t>
      </w:r>
    </w:p>
    <w:p>
      <w:pPr>
        <w:pStyle w:val="ManualConsidrant"/>
        <w:rPr>
          <w:noProof/>
        </w:rPr>
      </w:pPr>
      <w:r>
        <w:rPr>
          <w:noProof/>
        </w:rPr>
        <w:t>(1)</w:t>
      </w:r>
      <w:r>
        <w:rPr>
          <w:noProof/>
        </w:rPr>
        <w:tab/>
        <w:t>Aftalen om Det Europæiske Økonomiske Samarbejdsområde</w:t>
      </w:r>
      <w:r>
        <w:rPr>
          <w:rStyle w:val="FootnoteReference"/>
          <w:noProof/>
        </w:rPr>
        <w:footnoteReference w:id="3"/>
      </w:r>
      <w:r>
        <w:rPr>
          <w:noProof/>
        </w:rPr>
        <w:t xml:space="preserve"> ("EØS-aftalen") trådte i kraft den 1. januar 1994.</w:t>
      </w:r>
    </w:p>
    <w:p>
      <w:pPr>
        <w:pStyle w:val="ManualConsidrant"/>
        <w:rPr>
          <w:noProof/>
        </w:rPr>
      </w:pPr>
      <w:r>
        <w:rPr>
          <w:noProof/>
        </w:rPr>
        <w:t>(2)</w:t>
      </w:r>
      <w:r>
        <w:rPr>
          <w:noProof/>
        </w:rPr>
        <w:tab/>
        <w:t>I henhold til EØS-aftalens artikel 98 kan Det Blandede EØS-Udvalg træffe afgørelse om at ændre bl.a. protokol 31 til EØS-aftalen.</w:t>
      </w:r>
    </w:p>
    <w:p>
      <w:pPr>
        <w:pStyle w:val="ManualConsidrant"/>
        <w:rPr>
          <w:noProof/>
        </w:rPr>
      </w:pPr>
      <w:r>
        <w:rPr>
          <w:noProof/>
        </w:rPr>
        <w:t>(3)</w:t>
      </w:r>
      <w:r>
        <w:rPr>
          <w:noProof/>
        </w:rPr>
        <w:tab/>
        <w:t>Protokol 31 til EØS-aftalen indeholder specifikke bestemmelser vedrørende samarbejde på særlige områder ud over de fire friheder.</w:t>
      </w:r>
    </w:p>
    <w:p>
      <w:pPr>
        <w:pStyle w:val="ManualConsidrant"/>
        <w:rPr>
          <w:noProof/>
        </w:rPr>
      </w:pPr>
      <w:r>
        <w:rPr>
          <w:noProof/>
        </w:rPr>
        <w:t>(4)</w:t>
      </w:r>
      <w:r>
        <w:rPr>
          <w:noProof/>
        </w:rPr>
        <w:tab/>
        <w:t>Samarbejdet om EU-aktioner, der finansieres over Den Europæiske Unions almindelige budget, vedrørende fri bevægelighed for arbejdstagere, koordinering af socialsikringssystemer og foranstaltninger for migranter, herunder migranter fra tredjelande, bør fortsættes mellem EØS-aftalens kontraherende parter.</w:t>
      </w:r>
    </w:p>
    <w:p>
      <w:pPr>
        <w:pStyle w:val="ManualConsidrant"/>
        <w:rPr>
          <w:noProof/>
        </w:rPr>
      </w:pPr>
      <w:r>
        <w:rPr>
          <w:noProof/>
        </w:rPr>
        <w:t>(5)</w:t>
      </w:r>
      <w:r>
        <w:rPr>
          <w:noProof/>
        </w:rPr>
        <w:tab/>
        <w:t>Protokol 31 til EØS-aftalen bør derfor ændres, så dette udvidede samarbejde kan fortsætte efter den 31. december 2018.</w:t>
      </w:r>
    </w:p>
    <w:p>
      <w:pPr>
        <w:pStyle w:val="ManualConsidrant"/>
        <w:rPr>
          <w:noProof/>
        </w:rPr>
      </w:pPr>
      <w:r>
        <w:rPr>
          <w:noProof/>
        </w:rPr>
        <w:t>(6)</w:t>
      </w:r>
      <w:r>
        <w:rPr>
          <w:noProof/>
        </w:rPr>
        <w:tab/>
        <w:t>Den holdning, som Unionen skal indtage i Det Blandede EØS-Udvalg, bør derfor baseres på det udkast til afgørelse, der er knyttet til nærværende afgørelse —</w:t>
      </w:r>
    </w:p>
    <w:p>
      <w:pPr>
        <w:pStyle w:val="Formuledadoption"/>
        <w:rPr>
          <w:noProof/>
        </w:rPr>
      </w:pPr>
      <w:r>
        <w:rPr>
          <w:noProof/>
        </w:rPr>
        <w:t xml:space="preserve">VEDTAGET DENNE AFGØRELSE: </w:t>
      </w:r>
    </w:p>
    <w:p>
      <w:pPr>
        <w:pStyle w:val="Titrearticle"/>
        <w:rPr>
          <w:noProof/>
        </w:rPr>
      </w:pPr>
      <w:r>
        <w:rPr>
          <w:noProof/>
        </w:rPr>
        <w:t>Artikel 1</w:t>
      </w:r>
    </w:p>
    <w:p>
      <w:pPr>
        <w:rPr>
          <w:noProof/>
        </w:rPr>
      </w:pPr>
      <w:r>
        <w:rPr>
          <w:noProof/>
        </w:rPr>
        <w:t>Den holdning, der skal indtages på Unionens vegne i Det Blandede EØS-Udvalg til den foreslåede ændring af protokol 31 til EØS-aftalen om samarbejde på særlige områder ud over de fire friheder, baseres på det udkast til Det Blandede EØS-Udvalgs afgørelse, der er knyttet til nærværende afgørelse.</w:t>
      </w:r>
    </w:p>
    <w:p>
      <w:pPr>
        <w:pStyle w:val="Titrearticle"/>
        <w:rPr>
          <w:noProof/>
        </w:rPr>
      </w:pPr>
      <w:r>
        <w:rPr>
          <w:noProof/>
        </w:rPr>
        <w:t>Artikel 2</w:t>
      </w:r>
    </w:p>
    <w:p>
      <w:pPr>
        <w:keepLines/>
        <w:rPr>
          <w:noProof/>
        </w:rPr>
      </w:pPr>
      <w:r>
        <w:rPr>
          <w:noProof/>
        </w:rPr>
        <w:t>Denne afgørelse træder i kraft på datoen for vedtagelsen.</w:t>
      </w: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EFT L 305 af 30.11.1994, s. 6.</w:t>
      </w:r>
    </w:p>
  </w:footnote>
  <w:footnote w:id="2">
    <w:p>
      <w:pPr>
        <w:pStyle w:val="FootnoteText"/>
      </w:pPr>
      <w:r>
        <w:rPr>
          <w:rStyle w:val="FootnoteReference"/>
        </w:rPr>
        <w:footnoteRef/>
      </w:r>
      <w:r>
        <w:tab/>
        <w:t>EFT L 305 af 30.11.1994, s. 6.</w:t>
      </w:r>
    </w:p>
  </w:footnote>
  <w:footnote w:id="3">
    <w:p>
      <w:pPr>
        <w:pStyle w:val="FootnoteText"/>
        <w:rPr>
          <w:lang w:val="pl-PL"/>
        </w:rPr>
      </w:pPr>
      <w:r>
        <w:rPr>
          <w:rStyle w:val="FootnoteReference"/>
        </w:rPr>
        <w:footnoteRef/>
      </w:r>
      <w:r>
        <w:tab/>
        <w:t xml:space="preserve">EFT L 1 af 3.1.1994, s.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B3845E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20854CC"/>
    <w:lvl w:ilvl="0">
      <w:start w:val="1"/>
      <w:numFmt w:val="decimal"/>
      <w:pStyle w:val="ListNumber3"/>
      <w:lvlText w:val="%1."/>
      <w:lvlJc w:val="left"/>
      <w:pPr>
        <w:tabs>
          <w:tab w:val="num" w:pos="926"/>
        </w:tabs>
        <w:ind w:left="926" w:hanging="360"/>
      </w:pPr>
    </w:lvl>
  </w:abstractNum>
  <w:abstractNum w:abstractNumId="2">
    <w:nsid w:val="FFFFFF7F"/>
    <w:multiLevelType w:val="singleLevel"/>
    <w:tmpl w:val="0E6A5F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DEEC76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D101FD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A8230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F1672B8"/>
    <w:lvl w:ilvl="0">
      <w:start w:val="1"/>
      <w:numFmt w:val="decimal"/>
      <w:pStyle w:val="ListNumber"/>
      <w:lvlText w:val="%1."/>
      <w:lvlJc w:val="left"/>
      <w:pPr>
        <w:tabs>
          <w:tab w:val="num" w:pos="360"/>
        </w:tabs>
        <w:ind w:left="360" w:hanging="360"/>
      </w:pPr>
    </w:lvl>
  </w:abstractNum>
  <w:abstractNum w:abstractNumId="7">
    <w:nsid w:val="FFFFFF89"/>
    <w:multiLevelType w:val="singleLevel"/>
    <w:tmpl w:val="9CC6ED0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22 16:39:1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20A38E9F-F61E-4F3D-A539-4CB831BE7C4C"/>
    <w:docVar w:name="LW_COVERPAGE_TYPE" w:val="1"/>
    <w:docVar w:name="LW_CROSSREFERENCE" w:val="&lt;UNUSED&gt;"/>
    <w:docVar w:name="LW_DocType" w:val="COM"/>
    <w:docVar w:name="LW_EMISSION" w:val="27.5.2019"/>
    <w:docVar w:name="LW_EMISSION_ISODATE" w:val="2019-05-27"/>
    <w:docVar w:name="LW_EMISSION_LOCATION" w:val="BRX"/>
    <w:docVar w:name="LW_EMISSION_PREFIX" w:val="Bruxelles, den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EØS-relevant teks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113"/>
    <w:docVar w:name="LW_REF.II.NEW.CP_YEAR" w:val="2019"/>
    <w:docVar w:name="LW_REF.INST.NEW" w:val="COM"/>
    <w:docVar w:name="LW_REF.INST.NEW_ADOPTED" w:val="final"/>
    <w:docVar w:name="LW_REF.INST.NEW_TEXT" w:val="(2019) 23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den holdning, der skal indtages på Den Europæiske Unions vegne_x000b_i Det Blandede EØS-Udvalg til en ændring af protokol 31_x000b_til EØS-aftalen om samarbejde på særlige områder ud over de fire friheder_x000b__x000b_(Budgetpost 04 03 01 03 \u8211? Socialsikring)"/>
    <w:docVar w:name="LW_TYPE.DOC.CP" w:val="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4</TotalTime>
  <Pages>5</Pages>
  <Words>913</Words>
  <Characters>5645</Characters>
  <Application>Microsoft Office Word</Application>
  <DocSecurity>0</DocSecurity>
  <Lines>110</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2019-02-15T17:28:00Z</cp:lastPrinted>
  <dcterms:created xsi:type="dcterms:W3CDTF">2019-05-21T13:51:00Z</dcterms:created>
  <dcterms:modified xsi:type="dcterms:W3CDTF">2019-05-22T14:39:00Z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