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03FAB9-E352-471C-BE5A-BBF15D1259C8" style="width:450.75pt;height:450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rPr>
        <w:t>•</w:t>
      </w:r>
      <w:r>
        <w:rPr>
          <w:noProof/>
        </w:rPr>
        <w:tab/>
        <w:t>Motivele și obiectivele propunerii</w:t>
      </w:r>
    </w:p>
    <w:p>
      <w:pPr>
        <w:pBdr>
          <w:top w:val="nil"/>
          <w:left w:val="nil"/>
          <w:bottom w:val="nil"/>
          <w:right w:val="nil"/>
          <w:between w:val="nil"/>
          <w:bar w:val="nil"/>
        </w:pBdr>
        <w:spacing w:before="0" w:after="240"/>
        <w:rPr>
          <w:noProof/>
        </w:rPr>
      </w:pPr>
      <w:r>
        <w:rPr>
          <w:noProof/>
        </w:rPr>
        <w:t>Pentru a asigura securitatea juridică și omogenitatea necesare pieței interne, Comitetul mixt al SEE trebuie să încorporeze în Acordul privind SEE toată legislația relevantă a UE cât mai curând posibil după adoptarea acesteia și, de asemenea, să permită statelor AELS care fac parte din SEE să participe la acțiunile sau la programele UE cu relevanță pentru SEE.</w:t>
      </w:r>
    </w:p>
    <w:p>
      <w:pPr>
        <w:pBdr>
          <w:top w:val="nil"/>
          <w:left w:val="nil"/>
          <w:bottom w:val="nil"/>
          <w:right w:val="nil"/>
          <w:between w:val="nil"/>
          <w:bar w:val="nil"/>
        </w:pBdr>
        <w:spacing w:before="0" w:after="240"/>
        <w:rPr>
          <w:noProof/>
        </w:rPr>
      </w:pPr>
      <w:r>
        <w:rPr>
          <w:noProof/>
        </w:rPr>
        <w:t>Proiectul de decizie a Comitetului mixt al SEE (anexat la propunerea de decizie a Consiliului) vizează modificarea Protocolului 31 la Acordul privind SEE în ceea ce privește „cooperarea în domenii specifice în afara celor patru libertăți”. Acest lucru este necesar pentru a permite statelor AELS care fac parte din SEE să participe la programele și acțiunile Uniunii finanțate din liniile bugetare ale bugetului general al Uniunii Europene. În cazul de față, scopul acestei modificări este de a permite statelor AELS care fac parte din SEE (Norvegia, Islanda și Liechtenstein) să participe la acțiunile Uniunii privind libera circulație a lucrătorilor, coordonarea sistemelor de securitate socială și măsurile în favoarea migranților, inclusiv a migranților din țări terțe, legate de linia bugetară 04 03 01 03 și înscrise în bugetul general al Uniunii Europene pentru exercițiul financiar 2019.</w:t>
      </w:r>
    </w:p>
    <w:p>
      <w:pPr>
        <w:pStyle w:val="ManualHeading2"/>
        <w:rPr>
          <w:rFonts w:eastAsia="Arial Unicode MS"/>
          <w:noProof/>
          <w:u w:color="000000"/>
          <w:bdr w:val="nil"/>
        </w:rPr>
      </w:pPr>
      <w:r>
        <w:rPr>
          <w:noProof/>
        </w:rPr>
        <w:t>•</w:t>
      </w:r>
      <w:r>
        <w:rPr>
          <w:noProof/>
        </w:rPr>
        <w:tab/>
        <w:t>Coerența cu dispozițiile existente în domeniul de politică vizat</w:t>
      </w:r>
    </w:p>
    <w:p>
      <w:pPr>
        <w:pBdr>
          <w:top w:val="nil"/>
          <w:left w:val="nil"/>
          <w:bottom w:val="nil"/>
          <w:right w:val="nil"/>
          <w:between w:val="nil"/>
          <w:bar w:val="nil"/>
        </w:pBdr>
        <w:spacing w:before="0" w:after="240"/>
        <w:rPr>
          <w:rFonts w:eastAsia="Arial Unicode MS"/>
          <w:noProof/>
        </w:rPr>
      </w:pPr>
      <w:r>
        <w:rPr>
          <w:noProof/>
        </w:rPr>
        <w:t>Proiectul anexat de decizie a Comitetului mixt este în concordanță deplină cu scopul Acordului privind SEE de a promova consolidarea continuă și echilibrată a relațiilor comerciale și economice dintre părțile contractante în condiții concurențiale egale și cu respectarea acelorași norme, în scopul creării unui spațiu economic european omogen.</w:t>
      </w:r>
    </w:p>
    <w:p>
      <w:pPr>
        <w:pStyle w:val="ManualHeading2"/>
        <w:rPr>
          <w:rFonts w:eastAsia="Arial Unicode MS"/>
          <w:noProof/>
        </w:rPr>
      </w:pPr>
      <w:r>
        <w:rPr>
          <w:noProof/>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Decizia Comitetului mixt este, de asemenea, în concordanță cu alte politici ale Uniunii, în special prin obiectivul său de a proteja omogenitatea pieței interne a UE.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pBdr>
          <w:top w:val="nil"/>
          <w:left w:val="nil"/>
          <w:bottom w:val="nil"/>
          <w:right w:val="nil"/>
          <w:between w:val="nil"/>
          <w:bar w:val="nil"/>
        </w:pBdr>
        <w:spacing w:before="0" w:after="240"/>
        <w:rPr>
          <w:noProof/>
        </w:rPr>
      </w:pPr>
      <w:r>
        <w:rPr>
          <w:noProof/>
        </w:rPr>
        <w:t>Propunerea se bazează pe articolele 46 și 48 din TFUE, coroborate cu articolul 218 alineatul (9). Articolul 1 alineatul (3) din Regulamentul (CE) nr. 2894/94 al Consiliului</w:t>
      </w:r>
      <w:r>
        <w:rPr>
          <w:rStyle w:val="FootnoteReference"/>
          <w:noProof/>
        </w:rPr>
        <w:footnoteReference w:id="1"/>
      </w:r>
      <w:r>
        <w:rPr>
          <w:noProof/>
        </w:rPr>
        <w:t xml:space="preserve"> privind normele de punere în aplicare a Acordului privind SEE prevede stabilirea de către Consiliu, pe baza unei propuneri a Comisiei, a poziției care urmează să fie adoptată în numele Uniunii cu privire la astfel de decizii. </w:t>
      </w:r>
    </w:p>
    <w:p>
      <w:pPr>
        <w:pStyle w:val="ManualHeading2"/>
        <w:rPr>
          <w:rFonts w:eastAsia="Arial Unicode MS"/>
          <w:noProof/>
          <w:u w:color="000000"/>
          <w:bdr w:val="nil"/>
        </w:rPr>
      </w:pPr>
      <w:r>
        <w:rPr>
          <w:noProof/>
        </w:rPr>
        <w:t>•</w:t>
      </w:r>
      <w:r>
        <w:rPr>
          <w:noProof/>
        </w:rPr>
        <w:tab/>
        <w:t xml:space="preserve">Subsidiaritatea (în cazul competențelor neexclusive) </w:t>
      </w:r>
    </w:p>
    <w:p>
      <w:pPr>
        <w:pBdr>
          <w:top w:val="nil"/>
          <w:left w:val="nil"/>
          <w:bottom w:val="nil"/>
          <w:right w:val="nil"/>
          <w:between w:val="nil"/>
          <w:bar w:val="nil"/>
        </w:pBdr>
        <w:spacing w:before="0" w:after="240"/>
        <w:rPr>
          <w:noProof/>
        </w:rPr>
      </w:pPr>
      <w:r>
        <w:rPr>
          <w:noProof/>
        </w:rPr>
        <w:t xml:space="preserve">Propunerea respectă principiul subsidiarității din motivul expus mai jos. </w:t>
      </w:r>
    </w:p>
    <w:p>
      <w:pPr>
        <w:pBdr>
          <w:top w:val="nil"/>
          <w:left w:val="nil"/>
          <w:bottom w:val="nil"/>
          <w:right w:val="nil"/>
          <w:between w:val="nil"/>
          <w:bar w:val="nil"/>
        </w:pBdr>
        <w:spacing w:before="0" w:after="240"/>
        <w:rPr>
          <w:rFonts w:eastAsia="Arial Unicode MS"/>
          <w:noProof/>
        </w:rPr>
      </w:pPr>
      <w:r>
        <w:rPr>
          <w:noProof/>
        </w:rPr>
        <w:t>Obiectivul prezentei propuneri, și anume asigurarea omogenității pieței interne, nu poate fi realizat în mod suficient de către statele membre și, prin urmare, având în vedere efectele sale, poate fi mai bine realizat la nivelul Uniunii.</w:t>
      </w:r>
    </w:p>
    <w:p>
      <w:pPr>
        <w:pStyle w:val="ManualHeading2"/>
        <w:rPr>
          <w:rFonts w:eastAsia="Arial Unicode MS"/>
          <w:noProof/>
          <w:u w:color="000000"/>
          <w:bdr w:val="nil"/>
        </w:rPr>
      </w:pPr>
      <w:r>
        <w:rPr>
          <w:noProof/>
        </w:rPr>
        <w:lastRenderedPageBreak/>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În conformitate cu principiul proporționalității, prezenta propunere nu depășește ceea ce este necesar pentru atingerea obiectivului propus.</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În conformitate cu articolul 98 din Acordul privind SEE, instrumentul ales este o decizie a Comitetului mixt al SEE. Comitetul mixt al SEE asigură punerea în aplicare și funcționarea eficace a Acordului privind SEE. În acest scop, Comitetul mixt ia decizii în cazurile prevăzute de Acordul privind SEE.</w:t>
      </w:r>
    </w:p>
    <w:p>
      <w:pPr>
        <w:pStyle w:val="ManualHeading1"/>
        <w:rPr>
          <w:noProof/>
        </w:rPr>
      </w:pPr>
      <w:r>
        <w:rPr>
          <w:noProof/>
        </w:rPr>
        <w:t>3.</w:t>
      </w:r>
      <w:r>
        <w:rPr>
          <w:noProof/>
        </w:rPr>
        <w:tab/>
        <w:t>REZULTATELE EVALUĂRILOR EX-POST, ALE CONSULTĂRILOR CU PĂRȚILE INTERESATE ȘI ALE EVALUĂRILOR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Statele AELS care fac parte din SEE contribuie financiar la linia bugetară 04 03 01 03 – „Libera circulație a lucrătorilor, coordonarea sistemelor de asigurări sociale și măsuri în favoarea lucrătorilor migranți, inclusiv a lucrătorilor migranți din țări terțe”. Suma exactă va fi stabilită în conformitate cu dispozițiile Acordului privind SEE, după adoptarea prezentului proiect de decizie a Consiliului.</w:t>
      </w:r>
    </w:p>
    <w:p>
      <w:pPr>
        <w:pStyle w:val="ManualHeading1"/>
        <w:rPr>
          <w:noProof/>
        </w:rPr>
      </w:pPr>
      <w:r>
        <w:rPr>
          <w:noProof/>
        </w:rPr>
        <w:t>5.</w:t>
      </w:r>
      <w:r>
        <w:rPr>
          <w:noProof/>
        </w:rPr>
        <w:tab/>
        <w:t>ALTE ELEMENTE</w:t>
      </w:r>
    </w:p>
    <w:p>
      <w:pPr>
        <w:rPr>
          <w:noProof/>
        </w:rPr>
      </w:pPr>
      <w:r>
        <w:rPr>
          <w:noProof/>
        </w:rPr>
        <w:t>În conformitate cu politica bugetară a UE, participarea la o activitate a UE poate avea loc numai după achitarea contribuției financiare corespunzătoare. Cu toate acestea, conform Protocolului 32 la Acordul privind SEE, contribuția financiară anuală a statelor AELS care fac parte din SEE sosește în fiecare an până la data de 31 august, în urma solicitării de fonduri de către UE, stabilită de Comisia Europeană și transmisă statelor AELS care fac parte din SEE până la data de 15 august.</w:t>
      </w:r>
    </w:p>
    <w:p>
      <w:pPr>
        <w:rPr>
          <w:noProof/>
        </w:rPr>
      </w:pPr>
      <w:r>
        <w:rPr>
          <w:noProof/>
        </w:rPr>
        <w:t>Prin urmare, pentru a acoperi perioada cuprinsă între ianuarie și august, proiectul de decizie a Comitetului mixt se aplică retroactiv, începând cu luna ianuarie. În acest mod se asigură continuitatea cooperării de-a lungul întregului an calendaristic, astfel cum se prevede în Acordul privind SEE.</w:t>
      </w:r>
    </w:p>
    <w:p>
      <w:pPr>
        <w:pBdr>
          <w:top w:val="nil"/>
          <w:left w:val="nil"/>
          <w:bottom w:val="nil"/>
          <w:right w:val="nil"/>
          <w:between w:val="nil"/>
          <w:bar w:val="nil"/>
        </w:pBdr>
        <w:spacing w:before="0" w:after="240"/>
        <w:rPr>
          <w:rFonts w:eastAsia="Arial Unicode MS"/>
          <w:noProof/>
        </w:rPr>
      </w:pPr>
      <w:r>
        <w:rPr>
          <w:noProof/>
        </w:rPr>
        <w:t>Retroactivitatea nu aduce atingere drepturilor și obligațiilor persoanelor vizate și respectă principiul încrederii legitime.</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2019/0113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w:t>
      </w:r>
      <w:r>
        <w:rPr>
          <w:noProof/>
        </w:rPr>
        <w:br/>
        <w:t>în cadrul Comitetului mixt al SEE cu privire la o modificare a Protocolului 31</w:t>
      </w:r>
      <w:r>
        <w:rPr>
          <w:noProof/>
        </w:rPr>
        <w:br/>
        <w:t>la Acordul privind SEE în ceea ce privește cooperarea în domenii specifice în afara celor patru libertăți</w:t>
      </w:r>
      <w:r>
        <w:rPr>
          <w:noProof/>
        </w:rPr>
        <w:br/>
      </w:r>
      <w:r>
        <w:rPr>
          <w:noProof/>
        </w:rPr>
        <w:br/>
        <w:t>(Linia bugetară 04 03 01 03 - Asigurări sociale)</w:t>
      </w:r>
    </w:p>
    <w:p>
      <w:pPr>
        <w:pStyle w:val="IntrtEEE"/>
        <w:rPr>
          <w:noProof/>
        </w:rPr>
      </w:pPr>
      <w:r>
        <w:rPr>
          <w:noProof/>
        </w:rPr>
        <w:t>(Text cu relevanță pentru SEE)</w:t>
      </w:r>
    </w:p>
    <w:p>
      <w:pPr>
        <w:pStyle w:val="Institutionquiagit"/>
        <w:rPr>
          <w:noProof/>
        </w:rPr>
      </w:pPr>
      <w:r>
        <w:rPr>
          <w:noProof/>
        </w:rPr>
        <w:t>CONSILIUL UNIUNII EUROPENE,</w:t>
      </w:r>
    </w:p>
    <w:p>
      <w:pPr>
        <w:rPr>
          <w:noProof/>
        </w:rPr>
      </w:pPr>
      <w:r>
        <w:rPr>
          <w:noProof/>
        </w:rPr>
        <w:t>având în vedere Tratatul privind funcționarea Uniunii Europene, în special articolele 46 și 48, coroborate cu articolul 218 alineatul (9),</w:t>
      </w:r>
    </w:p>
    <w:p>
      <w:pPr>
        <w:rPr>
          <w:rFonts w:eastAsia="Calibri"/>
          <w:noProof/>
        </w:rPr>
      </w:pPr>
      <w:r>
        <w:rPr>
          <w:noProof/>
        </w:rPr>
        <w:t>având în vedere Regulamentul (CE) nr. 2894/94 al Consiliului din 28 noiembrie 1994 privind normele de punere în aplicare a Acordului privind Spațiul Economic European</w:t>
      </w:r>
      <w:r>
        <w:rPr>
          <w:rStyle w:val="FootnoteReference"/>
          <w:noProof/>
        </w:rPr>
        <w:footnoteReference w:id="2"/>
      </w:r>
      <w:r>
        <w:rPr>
          <w:noProof/>
        </w:rPr>
        <w:t>, în special articolul 1 alineatul (3),</w:t>
      </w:r>
    </w:p>
    <w:p>
      <w:pPr>
        <w:rPr>
          <w:noProof/>
        </w:rPr>
      </w:pPr>
      <w:r>
        <w:rPr>
          <w:noProof/>
        </w:rPr>
        <w:t>având în vedere propunerea Comisiei Europene,</w:t>
      </w:r>
    </w:p>
    <w:p>
      <w:pPr>
        <w:rPr>
          <w:noProof/>
        </w:rPr>
      </w:pPr>
      <w:r>
        <w:rPr>
          <w:noProof/>
        </w:rPr>
        <w:t>întrucât:</w:t>
      </w:r>
    </w:p>
    <w:p>
      <w:pPr>
        <w:pStyle w:val="ManualConsidrant"/>
        <w:rPr>
          <w:noProof/>
        </w:rPr>
      </w:pPr>
      <w:r>
        <w:rPr>
          <w:noProof/>
        </w:rPr>
        <w:t>(1)</w:t>
      </w:r>
      <w:r>
        <w:rPr>
          <w:noProof/>
        </w:rPr>
        <w:tab/>
        <w:t>Acordul privind Spațiul Economic European</w:t>
      </w:r>
      <w:r>
        <w:rPr>
          <w:rStyle w:val="FootnoteReference"/>
          <w:noProof/>
        </w:rPr>
        <w:footnoteReference w:id="3"/>
      </w:r>
      <w:r>
        <w:rPr>
          <w:noProof/>
        </w:rPr>
        <w:t xml:space="preserve"> („Acordul privind SEE”) a intrat în vigoare la 1 ianuarie 1994.</w:t>
      </w:r>
    </w:p>
    <w:p>
      <w:pPr>
        <w:pStyle w:val="ManualConsidrant"/>
        <w:rPr>
          <w:noProof/>
        </w:rPr>
      </w:pPr>
      <w:r>
        <w:rPr>
          <w:noProof/>
        </w:rPr>
        <w:t>(2)</w:t>
      </w:r>
      <w:r>
        <w:rPr>
          <w:noProof/>
        </w:rPr>
        <w:tab/>
        <w:t>În temeiul articolului 98 din Acordul privind SEE, Comitetul mixt al SEE poate decide să modifice, printre altele, Protocolul 31 la Acordul privind SEE.</w:t>
      </w:r>
    </w:p>
    <w:p>
      <w:pPr>
        <w:pStyle w:val="ManualConsidrant"/>
        <w:rPr>
          <w:noProof/>
        </w:rPr>
      </w:pPr>
      <w:r>
        <w:rPr>
          <w:noProof/>
        </w:rPr>
        <w:t>(3)</w:t>
      </w:r>
      <w:r>
        <w:rPr>
          <w:noProof/>
        </w:rPr>
        <w:tab/>
        <w:t>Protocolul 31 la Acordul privind SEE conține dispoziții specifice privind cooperarea în domenii specifice în afara celor patru libertăți.</w:t>
      </w:r>
    </w:p>
    <w:p>
      <w:pPr>
        <w:pStyle w:val="ManualConsidrant"/>
        <w:rPr>
          <w:noProof/>
        </w:rPr>
      </w:pPr>
      <w:r>
        <w:rPr>
          <w:noProof/>
        </w:rPr>
        <w:t>(4)</w:t>
      </w:r>
      <w:r>
        <w:rPr>
          <w:noProof/>
        </w:rPr>
        <w:tab/>
        <w:t>Este oportun să se continue cooperarea dintre părțile contractante la Acordul privind SEE în cadrul acțiunilor Uniunii finanțate din bugetul general al Uniunii Europene privind libera circulație a lucrătorilor, coordonarea sistemelor de asigurări sociale și măsurile în favoarea migranților, inclusiv a migranților din țări terțe.</w:t>
      </w:r>
    </w:p>
    <w:p>
      <w:pPr>
        <w:pStyle w:val="ManualConsidrant"/>
        <w:rPr>
          <w:noProof/>
        </w:rPr>
      </w:pPr>
      <w:r>
        <w:rPr>
          <w:noProof/>
        </w:rPr>
        <w:t>(5)</w:t>
      </w:r>
      <w:r>
        <w:rPr>
          <w:noProof/>
        </w:rPr>
        <w:tab/>
        <w:t>Prin urmare, Protocolul 31 la Acordul privind SEE ar trebui modificat pentru ca această cooperare extinsă să poată continua după data de 31 decembrie 2018.</w:t>
      </w:r>
    </w:p>
    <w:p>
      <w:pPr>
        <w:pStyle w:val="ManualConsidrant"/>
        <w:rPr>
          <w:noProof/>
        </w:rPr>
      </w:pPr>
      <w:r>
        <w:rPr>
          <w:noProof/>
        </w:rPr>
        <w:t>(6)</w:t>
      </w:r>
      <w:r>
        <w:rPr>
          <w:noProof/>
        </w:rPr>
        <w:tab/>
        <w:t>În consecință, poziția Uniunii în cadrul Comitetului mixt al SEE ar trebui să se bazeze pe proiectul de decizie atașat,</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Poziția care urmează să fie adoptată, în numele Uniunii, în cadrul Comitetului mixt al SEE cu privire la propunerea de modificare a Protocolului 31 la Acordul privind SEE în ceea ce privește cooperarea în domenii specifice în afara celor patru libertăți se bazează pe proiectul de decizie a Comitetului mixt al SEE atașat la prezenta decizie.</w:t>
      </w:r>
    </w:p>
    <w:p>
      <w:pPr>
        <w:pStyle w:val="Titrearticle"/>
        <w:rPr>
          <w:noProof/>
        </w:rPr>
      </w:pPr>
      <w:r>
        <w:rPr>
          <w:noProof/>
        </w:rPr>
        <w:t>Articolul 2</w:t>
      </w:r>
    </w:p>
    <w:p>
      <w:pPr>
        <w:keepLines/>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305, 30.11.1994, p. 6–8.</w:t>
      </w:r>
    </w:p>
  </w:footnote>
  <w:footnote w:id="2">
    <w:p>
      <w:pPr>
        <w:pStyle w:val="FootnoteText"/>
        <w:rPr>
          <w:lang w:val="fi-FI"/>
        </w:rPr>
      </w:pPr>
      <w:r>
        <w:rPr>
          <w:rStyle w:val="FootnoteReference"/>
        </w:rPr>
        <w:footnoteRef/>
      </w:r>
      <w:r>
        <w:tab/>
        <w:t>JO L 305, 30.11.1994, p. 6.</w:t>
      </w:r>
    </w:p>
  </w:footnote>
  <w:footnote w:id="3">
    <w:p>
      <w:pPr>
        <w:pStyle w:val="FootnoteText"/>
        <w:rPr>
          <w:lang w:val="fi-FI"/>
        </w:rPr>
      </w:pPr>
      <w:r>
        <w:rPr>
          <w:rStyle w:val="FootnoteReference"/>
        </w:rPr>
        <w:footnoteRef/>
      </w:r>
      <w:r>
        <w:tab/>
        <w:t xml:space="preserve">JO L 1,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8: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103FAB9-E352-471C-BE5A-BBF15D1259C8"/>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_x000b_în cadrul Comitetului mixt al SEE cu privire la o modificare a Protocolului 31_x000b_la Acordul privind SEE în ceea ce prive\u537?te cooperarea în domenii specifice în afara celor patru libert\u259?\u539?i_x000b__x000b_(Linia bugetar\u259? 04 03 01 03 - Asigur\u259?ri social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1060</Words>
  <Characters>6074</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2019-05-22T07:44:00Z</dcterms:created>
  <dcterms:modified xsi:type="dcterms:W3CDTF">2019-05-22T14:38:00Z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