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_Toc358640308"/>
      <w:bookmarkStart w:id="1" w:name="_Toc358640576"/>
      <w:bookmarkStart w:id="2" w:name="_Toc358640627"/>
      <w:bookmarkStart w:id="3" w:name="_Toc358640725"/>
      <w:bookmarkStart w:id="4" w:name="_Toc385254771"/>
      <w:bookmarkStart w:id="5" w:name="_Toc415736037"/>
      <w:bookmarkStart w:id="6" w:name="_Toc415748654"/>
      <w:bookmarkStart w:id="7" w:name="_Toc417031771"/>
      <w:bookmarkStart w:id="8" w:name="_Toc449626267"/>
      <w:bookmarkStart w:id="9" w:name="_Toc449626494"/>
      <w:bookmarkStart w:id="10" w:name="_Toc477351964"/>
      <w:bookmarkStart w:id="11" w:name="_Toc477528171"/>
      <w:bookmarkStart w:id="12" w:name="_Toc477855448"/>
      <w:bookmarkStart w:id="13" w:name="_Toc3825650"/>
      <w:bookmarkStart w:id="14" w:name="_Toc449689407"/>
      <w:bookmarkStart w:id="15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alt="165549D1-9388-47D1-A13A-8029084C9852" style="width:450.8pt;height:348.1pt">
            <v:imagedata r:id="rId9" o:title=""/>
          </v:shape>
        </w:pict>
      </w:r>
    </w:p>
    <w:bookmarkEnd w:id="15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Pagedecouverture"/>
        <w:rPr>
          <w:noProof/>
        </w:rPr>
      </w:pPr>
      <w:bookmarkStart w:id="16" w:name="_GoBack"/>
      <w:bookmarkEnd w:id="16"/>
    </w:p>
    <w:sdt>
      <w:sdtP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id w:val="-7356268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>
          <w:pPr>
            <w:pStyle w:val="TOCHeading"/>
            <w:jc w:val="center"/>
            <w:rPr>
              <w:rFonts w:ascii="Times New Roman" w:hAnsi="Times New Roman" w:cs="Times New Roman"/>
              <w:smallCaps/>
              <w:noProof/>
              <w:color w:val="auto"/>
            </w:rPr>
          </w:pPr>
          <w:r>
            <w:rPr>
              <w:rFonts w:ascii="Times New Roman" w:hAnsi="Times New Roman"/>
              <w:smallCaps/>
              <w:noProof/>
              <w:color w:val="auto"/>
            </w:rPr>
            <w:t>Tartalomjegyzék</w:t>
          </w:r>
        </w:p>
        <w:p>
          <w:pPr>
            <w:rPr>
              <w:noProof/>
            </w:rPr>
          </w:pPr>
        </w:p>
        <w:p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rPr>
              <w:b/>
              <w:bCs/>
              <w:smallCaps/>
              <w:noProof/>
            </w:rPr>
            <w:fldChar w:fldCharType="begin"/>
          </w:r>
          <w:r>
            <w:rPr>
              <w:b/>
              <w:bCs/>
              <w:smallCaps/>
              <w:noProof/>
            </w:rPr>
            <w:instrText xml:space="preserve"> TOC \o "1-3" \h \z \u </w:instrText>
          </w:r>
          <w:r>
            <w:rPr>
              <w:b/>
              <w:bCs/>
              <w:smallCaps/>
              <w:noProof/>
            </w:rPr>
            <w:fldChar w:fldCharType="separate"/>
          </w:r>
          <w:hyperlink w:anchor="_Toc9412960" w:history="1">
            <w:r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>
              <w:rPr>
                <w:rStyle w:val="Hyperlink"/>
                <w:noProof/>
              </w:rPr>
              <w:t>Bevezetés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_Toc9412960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412961" w:history="1">
            <w:r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>
              <w:rPr>
                <w:rStyle w:val="Hyperlink"/>
                <w:noProof/>
              </w:rPr>
              <w:t>Operatív háttér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_Toc9412961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412962" w:history="1">
            <w:r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>
              <w:rPr>
                <w:rStyle w:val="Hyperlink"/>
                <w:noProof/>
              </w:rPr>
              <w:t>Pénzügyi elszámolások és jelentős költségvetési ügyletek 2018-ban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_Toc9412962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412963" w:history="1">
            <w:r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>
              <w:rPr>
                <w:rStyle w:val="Hyperlink"/>
                <w:noProof/>
              </w:rPr>
              <w:t>Az ESBA-garanciaalap 2018. december 31-i pénzügyi kimutatása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_Toc9412963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412964" w:history="1">
            <w:r>
              <w:rPr>
                <w:rStyle w:val="Hyperlink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>
              <w:rPr>
                <w:rStyle w:val="Hyperlink"/>
                <w:noProof/>
              </w:rPr>
              <w:t>Uniós garanciával fedezett ESBA-műveletek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_Toc9412964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412965" w:history="1">
            <w:r>
              <w:rPr>
                <w:rStyle w:val="Hyperlink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>
              <w:rPr>
                <w:rStyle w:val="Hyperlink"/>
                <w:noProof/>
              </w:rPr>
              <w:t>Az ESBA-garanciaalap feltöltése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_Toc9412965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412966" w:history="1">
            <w:r>
              <w:rPr>
                <w:rStyle w:val="Hyperlink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>
              <w:rPr>
                <w:rStyle w:val="Hyperlink"/>
                <w:noProof/>
              </w:rPr>
              <w:t>Az uniós garancia lehívása és felhasználása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_Toc9412966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412967" w:history="1">
            <w:r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>
              <w:rPr>
                <w:rStyle w:val="Hyperlink"/>
                <w:noProof/>
              </w:rPr>
              <w:t>Az ESBA-garanciaalap 2018. évi kezelése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_Toc9412967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412968" w:history="1">
            <w:r>
              <w:rPr>
                <w:rStyle w:val="Hyperlink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>
              <w:rPr>
                <w:rStyle w:val="Hyperlink"/>
                <w:noProof/>
              </w:rPr>
              <w:t>Pénzgazdálkodás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_Toc9412968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412969" w:history="1">
            <w:r>
              <w:rPr>
                <w:rStyle w:val="Hyperlink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>
              <w:rPr>
                <w:rStyle w:val="Hyperlink"/>
                <w:noProof/>
              </w:rPr>
              <w:t>Piaci fejlemények 2018-ban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_Toc9412969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412970" w:history="1">
            <w:r>
              <w:rPr>
                <w:rStyle w:val="Hyperlink"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>
              <w:rPr>
                <w:rStyle w:val="Hyperlink"/>
                <w:noProof/>
              </w:rPr>
              <w:t>A portfólió összetétele és fő kockázati jellemzői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_Toc9412970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412971" w:history="1">
            <w:r>
              <w:rPr>
                <w:rStyle w:val="Hyperlink"/>
                <w:noProof/>
              </w:rPr>
              <w:t>4.4.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>
              <w:rPr>
                <w:rStyle w:val="Hyperlink"/>
                <w:noProof/>
              </w:rPr>
              <w:t>Teljesítmény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_Toc9412971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9412972" w:history="1">
            <w:r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>
              <w:rPr>
                <w:rStyle w:val="Hyperlink"/>
                <w:noProof/>
              </w:rPr>
              <w:t>Az ESBA-garanciaalap célösszege és szintje megfelelőségének értékelése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_Toc9412972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smallCaps/>
              <w:noProof/>
            </w:rPr>
            <w:fldChar w:fldCharType="end"/>
          </w:r>
        </w:p>
      </w:sdtContent>
    </w:sdt>
    <w:p>
      <w:pPr>
        <w:rPr>
          <w:noProof/>
        </w:rPr>
      </w:pPr>
      <w:r>
        <w:rPr>
          <w:noProof/>
        </w:rPr>
        <w:br w:type="page"/>
      </w:r>
    </w:p>
    <w:p>
      <w:pPr>
        <w:pStyle w:val="Heading1"/>
        <w:rPr>
          <w:rFonts w:ascii="Times New Roman" w:hAnsi="Times New Roman" w:cs="Times New Roman"/>
          <w:noProof/>
        </w:rPr>
      </w:pPr>
      <w:bookmarkStart w:id="17" w:name="_Toc7794400"/>
      <w:bookmarkStart w:id="18" w:name="_Toc9412960"/>
      <w:r>
        <w:rPr>
          <w:rFonts w:ascii="Times New Roman" w:hAnsi="Times New Roman"/>
          <w:noProof/>
        </w:rPr>
        <w:t>Bevezetés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7"/>
      <w:bookmarkEnd w:id="18"/>
    </w:p>
    <w:bookmarkEnd w:id="14"/>
    <w:p>
      <w:pPr>
        <w:spacing w:before="240" w:after="240"/>
        <w:jc w:val="both"/>
        <w:rPr>
          <w:noProof/>
          <w:sz w:val="24"/>
          <w:szCs w:val="24"/>
        </w:rPr>
      </w:pPr>
      <w:r>
        <w:rPr>
          <w:noProof/>
          <w:sz w:val="24"/>
        </w:rPr>
        <w:t>E jelentés jogalapját az Európai Stratégiai Beruházási Alapról, az Európai Beruházási Tanácsadó Platformról és a Beruházási Projektek Európai Portáljáról, valamint az 1291/2013/EU és az 1316/2013/EU rendelet módosításáról (az Európai Stratégiai Beruházási Alap) szóló, 2015. június 25-i (EU) 2015/1017 európai parlamenti és tanácsi rendelet</w:t>
      </w:r>
      <w:r>
        <w:rPr>
          <w:noProof/>
          <w:sz w:val="24"/>
          <w:vertAlign w:val="superscript"/>
        </w:rPr>
        <w:footnoteReference w:id="1"/>
      </w:r>
      <w:r>
        <w:rPr>
          <w:noProof/>
          <w:sz w:val="24"/>
        </w:rPr>
        <w:t xml:space="preserve"> (a továbbiakban: az ESBA-rendelet) képezi. Az ESBA-rendeletet az Európai Stratégiai Beruházási Alap időbeli hatályának meghosszabbítására, továbbá az említett alapot és az Európai Beruházási Tanácsadó Platformot érintő technikai javítások bevezetésére vonatkozó 2017. december 13-i (EU) 2017/2396 európai parlamenti és tanácsi rendelet</w:t>
      </w:r>
      <w:r>
        <w:rPr>
          <w:rStyle w:val="FootnoteReference"/>
          <w:noProof/>
          <w:sz w:val="24"/>
        </w:rPr>
        <w:footnoteReference w:id="2"/>
      </w:r>
      <w:r>
        <w:rPr>
          <w:noProof/>
          <w:sz w:val="24"/>
        </w:rPr>
        <w:t xml:space="preserve"> (a továbbiakban: ESBA 2.0 módosítás) módosította. Az ESBA 2.0 módosítás többek között növelte az uniós garancia összegét, továbbá módosította a garanciaalap célösszegét. Az Európai Stratégiai Beruházási Alap (ESBA) irányítására és az uniós garancia biztosítására vonatkozó megállapodást (a továbbiakban: az ESBA-megállapodás) az Európai Bizottság és az Európai Beruházási Bank (EBB) 2015. július 22-én írta alá; a megállapodást 2016. július 21-én, 2017. november 21-én, 2018. március 9-én és 2018. december 20-án módosították és újraszövegezték.</w:t>
      </w:r>
    </w:p>
    <w:p>
      <w:pPr>
        <w:spacing w:before="240" w:after="240"/>
        <w:jc w:val="both"/>
        <w:rPr>
          <w:noProof/>
          <w:sz w:val="24"/>
          <w:szCs w:val="24"/>
        </w:rPr>
      </w:pPr>
      <w:r>
        <w:rPr>
          <w:noProof/>
          <w:sz w:val="24"/>
        </w:rPr>
        <w:t>Az ESBA-rendelet 16. cikkének (6) bekezdése előírja, hogy a Bizottság minden év május 31-ig éves jelentést</w:t>
      </w:r>
      <w:r>
        <w:rPr>
          <w:rStyle w:val="FootnoteReference"/>
          <w:noProof/>
          <w:sz w:val="24"/>
        </w:rPr>
        <w:footnoteReference w:id="3"/>
      </w:r>
      <w:r>
        <w:rPr>
          <w:noProof/>
          <w:sz w:val="24"/>
        </w:rPr>
        <w:t xml:space="preserve"> nyújt be az Európai Parlamentnek, a Tanácsnak és az Európai Számvevőszéknek az Európai Stratégiai Beruházási Alap garanciaalapjának (a továbbiakban: ESBA-garanciaalap) előző naptári évi kezeléséről, amely jelentés többek között értékeli a célösszeg és az ESBA-garanciaalap szintjének megfelelőségét, továbbá azt, hogy szükség van-e a garanciaalap feltöltésére. Ez az éves jelentés tartalmazza az ESBA-garanciaalap előző naptári év végi pénzügyi helyzetének, az előző naptári év során végbement pénzügyi mozgásoknak, valamint a jelentős ügyleteknek és a pénzügyi beszámolókkal kapcsolatos releváns információknak a bemutatását. A jelentés továbbá az előző naptári év végére vonatkozóan információkat tartalmaz az ESBA-garanciaalap pénzgazdálkodásáról, teljesítményéről és kockázatáról.</w:t>
      </w:r>
    </w:p>
    <w:p>
      <w:pPr>
        <w:pStyle w:val="Heading1"/>
        <w:rPr>
          <w:rFonts w:ascii="Times New Roman" w:hAnsi="Times New Roman" w:cs="Times New Roman"/>
          <w:noProof/>
        </w:rPr>
      </w:pPr>
      <w:bookmarkStart w:id="19" w:name="_Toc449689408"/>
      <w:bookmarkStart w:id="20" w:name="_Toc477351965"/>
      <w:bookmarkStart w:id="21" w:name="_Toc477528172"/>
      <w:bookmarkStart w:id="22" w:name="_Toc477855449"/>
      <w:bookmarkStart w:id="23" w:name="_Toc3825651"/>
      <w:bookmarkStart w:id="24" w:name="_Toc7794401"/>
      <w:bookmarkStart w:id="25" w:name="_Toc9412961"/>
      <w:r>
        <w:rPr>
          <w:rFonts w:ascii="Times New Roman" w:hAnsi="Times New Roman"/>
          <w:noProof/>
        </w:rPr>
        <w:t>Operatív háttér</w:t>
      </w:r>
      <w:bookmarkEnd w:id="19"/>
      <w:bookmarkEnd w:id="20"/>
      <w:bookmarkEnd w:id="21"/>
      <w:bookmarkEnd w:id="22"/>
      <w:bookmarkEnd w:id="23"/>
      <w:bookmarkEnd w:id="24"/>
      <w:bookmarkEnd w:id="25"/>
    </w:p>
    <w:p>
      <w:pPr>
        <w:spacing w:before="240" w:after="240"/>
        <w:jc w:val="both"/>
        <w:rPr>
          <w:noProof/>
          <w:sz w:val="24"/>
          <w:szCs w:val="24"/>
        </w:rPr>
      </w:pPr>
      <w:r>
        <w:rPr>
          <w:noProof/>
          <w:sz w:val="24"/>
        </w:rPr>
        <w:t>Az uniós garancia</w:t>
      </w:r>
      <w:r>
        <w:rPr>
          <w:rStyle w:val="FootnoteReference"/>
          <w:noProof/>
          <w:sz w:val="24"/>
        </w:rPr>
        <w:footnoteReference w:id="4"/>
      </w:r>
      <w:r>
        <w:rPr>
          <w:noProof/>
          <w:sz w:val="24"/>
        </w:rPr>
        <w:t xml:space="preserve"> az EBB által az infrastruktúra és innováció keret (IIW) fő részének terhére, valamint az EBA által a kkv-keret (SMEW), valamint az IIW kkv-k/közepes tőkeértékű vállalatok alapjaiba történő befektetésre szolgáló részkeretének terhére jóváhagyott finanszírozási és beruházási műveleteket fedezi. Az ESBA-műveletek egy részét az uniós garancia fedezi, míg egy másik részét az EBB csoport hajtja végre saját kockázatra</w:t>
      </w:r>
      <w:r>
        <w:rPr>
          <w:rStyle w:val="FootnoteReference"/>
          <w:noProof/>
          <w:sz w:val="24"/>
        </w:rPr>
        <w:footnoteReference w:id="5"/>
      </w:r>
      <w:r>
        <w:rPr>
          <w:noProof/>
          <w:sz w:val="24"/>
        </w:rPr>
        <w:t>.</w:t>
      </w:r>
    </w:p>
    <w:p>
      <w:pPr>
        <w:spacing w:before="240" w:after="240"/>
        <w:jc w:val="both"/>
        <w:rPr>
          <w:noProof/>
          <w:sz w:val="24"/>
          <w:szCs w:val="24"/>
        </w:rPr>
      </w:pPr>
      <w:r>
        <w:rPr>
          <w:noProof/>
          <w:sz w:val="24"/>
        </w:rPr>
        <w:t xml:space="preserve">Az ESBA-rendelet 12. cikke szerint az ESBA-garanciaalap olyan likviditási puffert képez, amelyből az uniós garancia lehívása esetén az EBB számára kifizetést kell teljesíteni. Az EU és az EBB között létrejött ESBA-megállapodásnak megfelelően az ESBA-garanciaalapból történő lehívás esetén akkor teljesíthető kifizetés, ha a lehívás összege meghaladja az ESBA-számlán az EBB rendelkezésére álló pénzeszközöket. Az EBB által kezelt ESBA-számla létrehozásának célja az uniós garanciával fedezett műveletekből eredő uniós bevételek, valamint a behajtott összegek beszedése, továbbá a rendelkezésre álló egyenleg mértékéig az uniós garancia keretében eszközölt lehívások kifizetése. </w:t>
      </w:r>
    </w:p>
    <w:p>
      <w:pPr>
        <w:spacing w:before="240" w:after="240"/>
        <w:jc w:val="both"/>
        <w:rPr>
          <w:noProof/>
          <w:sz w:val="24"/>
          <w:szCs w:val="24"/>
        </w:rPr>
      </w:pPr>
      <w:r>
        <w:rPr>
          <w:noProof/>
          <w:sz w:val="24"/>
        </w:rPr>
        <w:t>Az ESBA-garanciaalap feltöltése fokozatosan történik, az uniós garancia által viselt kitettség növekedésének figyelembevételével.</w:t>
      </w:r>
    </w:p>
    <w:p>
      <w:pPr>
        <w:spacing w:before="240" w:after="240"/>
        <w:jc w:val="both"/>
        <w:rPr>
          <w:noProof/>
          <w:sz w:val="24"/>
          <w:szCs w:val="24"/>
        </w:rPr>
      </w:pPr>
      <w:r>
        <w:rPr>
          <w:noProof/>
          <w:sz w:val="24"/>
        </w:rPr>
        <w:t>A 12. cikk (4) bekezdésének megfelelően az ESBA-garanciaalap eszközeit közvetlenül a Bizottság kezeli, és – a megfelelő prudenciális szabályok betartásával – a hatékony és eredményes pénzgazdálkodás elvével összhangban fekteti be.</w:t>
      </w:r>
    </w:p>
    <w:p>
      <w:pPr>
        <w:spacing w:before="240" w:after="240"/>
        <w:jc w:val="both"/>
        <w:rPr>
          <w:noProof/>
          <w:sz w:val="24"/>
          <w:szCs w:val="24"/>
        </w:rPr>
      </w:pPr>
      <w:r>
        <w:rPr>
          <w:noProof/>
          <w:sz w:val="24"/>
        </w:rPr>
        <w:t>Az EBB és az EBA hatáskörébe tartozik az uniós garanciával fedezett egyes műveletek kockázatának értékelése és nyomon követése. A Bizottság e jelentés, továbbá a jövőbeli tevékenységre vonatkozó koherens és prudens feltételezések alapján biztosítja az ESBA-garanciaalap felülvizsgálat tárgyát képező célösszegének és szintjének megfelelőségét. Az ESBA-rendelet 16. cikke (3) bekezdésének megfelelően az EBB és az EBA 2019 márciusában jelentést tett a Bizottságnak és az Európai Számvevőszéknek.</w:t>
      </w:r>
    </w:p>
    <w:p>
      <w:pPr>
        <w:spacing w:before="240" w:after="240"/>
        <w:jc w:val="both"/>
        <w:rPr>
          <w:noProof/>
          <w:sz w:val="24"/>
          <w:szCs w:val="24"/>
        </w:rPr>
      </w:pPr>
      <w:r>
        <w:rPr>
          <w:noProof/>
          <w:sz w:val="24"/>
        </w:rPr>
        <w:t>Az ESBA-rendelet 16. cikkének (2) bekezdése szerint az EBB által az Európai Parlamentnek és a Tanácsnak benyújtandó éves jelentésnek konkrét információkat kell tartalmaznia az ESBA keretében végrehajtott finanszírozási és beruházási műveletekhez kapcsolódó összesített kockázatról, valamint a garancia lehívásáról.</w:t>
      </w:r>
    </w:p>
    <w:p>
      <w:pPr>
        <w:pStyle w:val="Heading1"/>
        <w:rPr>
          <w:rFonts w:ascii="Times New Roman" w:hAnsi="Times New Roman" w:cs="Times New Roman"/>
          <w:noProof/>
        </w:rPr>
      </w:pPr>
      <w:bookmarkStart w:id="26" w:name="_Toc449686525"/>
      <w:bookmarkStart w:id="27" w:name="_Toc449686556"/>
      <w:bookmarkStart w:id="28" w:name="_Toc449689409"/>
      <w:bookmarkStart w:id="29" w:name="_Toc449686526"/>
      <w:bookmarkStart w:id="30" w:name="_Toc449686557"/>
      <w:bookmarkStart w:id="31" w:name="_Toc449689410"/>
      <w:bookmarkStart w:id="32" w:name="_Toc449689411"/>
      <w:bookmarkStart w:id="33" w:name="_Toc477351966"/>
      <w:bookmarkStart w:id="34" w:name="_Toc477528173"/>
      <w:bookmarkStart w:id="35" w:name="_Toc477855450"/>
      <w:bookmarkStart w:id="36" w:name="_Toc3825652"/>
      <w:bookmarkStart w:id="37" w:name="_Toc7794402"/>
      <w:bookmarkStart w:id="38" w:name="_Toc9412962"/>
      <w:bookmarkEnd w:id="26"/>
      <w:bookmarkEnd w:id="27"/>
      <w:bookmarkEnd w:id="28"/>
      <w:bookmarkEnd w:id="29"/>
      <w:bookmarkEnd w:id="30"/>
      <w:bookmarkEnd w:id="31"/>
      <w:r>
        <w:rPr>
          <w:rFonts w:ascii="Times New Roman" w:hAnsi="Times New Roman"/>
          <w:noProof/>
        </w:rPr>
        <w:t>Pénzügyi elszámolások</w:t>
      </w:r>
      <w:bookmarkEnd w:id="32"/>
      <w:bookmarkEnd w:id="33"/>
      <w:bookmarkEnd w:id="34"/>
      <w:bookmarkEnd w:id="35"/>
      <w:r>
        <w:rPr>
          <w:rFonts w:ascii="Times New Roman" w:hAnsi="Times New Roman"/>
          <w:noProof/>
        </w:rPr>
        <w:t xml:space="preserve"> és jelentős költségvetési ügyletek 2018-ban</w:t>
      </w:r>
      <w:bookmarkEnd w:id="36"/>
      <w:bookmarkEnd w:id="37"/>
      <w:bookmarkEnd w:id="38"/>
    </w:p>
    <w:p>
      <w:pPr>
        <w:spacing w:before="240" w:after="240"/>
        <w:jc w:val="both"/>
        <w:rPr>
          <w:noProof/>
          <w:sz w:val="24"/>
          <w:szCs w:val="24"/>
        </w:rPr>
      </w:pPr>
      <w:bookmarkStart w:id="39" w:name="_Toc449689413"/>
      <w:bookmarkStart w:id="40" w:name="_Toc449689414"/>
      <w:bookmarkEnd w:id="39"/>
      <w:r>
        <w:rPr>
          <w:noProof/>
          <w:sz w:val="24"/>
        </w:rPr>
        <w:t>Az ESBA-ra vonatkozó pénzügyi információkat az alábbiakban négy szakaszban mutatjuk be: 1. az ESBA-garanciaalap pénzügyi helyzete 2018. december 31-én, 2. az EBB csoport által 2018. december 31-ig végrehajtott, uniós garanciával fedezett ESBA-műveletek, 3. az ESBA-garanciaalap feltöltése és 4. az uniós garancia lehívása és felhasználása.</w:t>
      </w:r>
    </w:p>
    <w:p>
      <w:pPr>
        <w:pStyle w:val="Heading2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 </w:t>
      </w:r>
      <w:bookmarkStart w:id="41" w:name="_Toc477528174"/>
      <w:bookmarkStart w:id="42" w:name="_Toc477855451"/>
      <w:bookmarkStart w:id="43" w:name="_Toc3825653"/>
      <w:bookmarkStart w:id="44" w:name="_Toc7794403"/>
      <w:bookmarkStart w:id="45" w:name="_Toc9412963"/>
      <w:r>
        <w:rPr>
          <w:rFonts w:ascii="Times New Roman" w:hAnsi="Times New Roman"/>
          <w:noProof/>
        </w:rPr>
        <w:t>Az ESBA-garanciaalap 2018. december 31-i</w:t>
      </w:r>
      <w:bookmarkEnd w:id="41"/>
      <w:bookmarkEnd w:id="42"/>
      <w:r>
        <w:rPr>
          <w:rFonts w:ascii="Times New Roman" w:hAnsi="Times New Roman"/>
          <w:noProof/>
        </w:rPr>
        <w:t xml:space="preserve"> pénzügyi kimutatása</w:t>
      </w:r>
      <w:bookmarkEnd w:id="43"/>
      <w:bookmarkEnd w:id="44"/>
      <w:bookmarkEnd w:id="45"/>
    </w:p>
    <w:p>
      <w:pPr>
        <w:spacing w:before="240" w:after="240"/>
        <w:jc w:val="both"/>
        <w:rPr>
          <w:noProof/>
          <w:sz w:val="24"/>
          <w:szCs w:val="24"/>
        </w:rPr>
      </w:pPr>
      <w:r>
        <w:rPr>
          <w:noProof/>
          <w:sz w:val="24"/>
        </w:rPr>
        <w:t>A garanciaalap teljes eszközállománya 2018. december 31-én 5 452 millió EUR-t tett ki</w:t>
      </w:r>
      <w:r>
        <w:rPr>
          <w:rStyle w:val="FootnoteReference"/>
          <w:noProof/>
        </w:rPr>
        <w:footnoteReference w:id="6"/>
      </w:r>
      <w:r>
        <w:rPr>
          <w:noProof/>
          <w:sz w:val="24"/>
        </w:rPr>
        <w:t>. Az eszközök a következőket foglalták magukban: az értékesíthetőként besorolt befektetési célú értékpapír-portfólió (5 000 millió EUR), az eredménnyel szemben valós értéken értékelt pénzügyi eszközként besorolt, pozitív nettó jelenértékű határidős USD-eladási ügylet (2 millió EUR), valamint pénzeszközök és pénzeszköz-egyenértékesek (450 millió EUR).</w:t>
      </w:r>
    </w:p>
    <w:p>
      <w:pPr>
        <w:spacing w:before="240" w:after="240"/>
        <w:jc w:val="both"/>
        <w:rPr>
          <w:noProof/>
          <w:sz w:val="24"/>
          <w:szCs w:val="24"/>
        </w:rPr>
      </w:pPr>
      <w:r>
        <w:rPr>
          <w:noProof/>
          <w:sz w:val="24"/>
        </w:rPr>
        <w:t>A 2018. évi eredménykimutatás szerint az ESBA-garanciaalap az évet –13,9 millió EUR összegű gazdasági eredménnyel zárta.</w:t>
      </w:r>
      <w:r>
        <w:rPr>
          <w:rStyle w:val="FootnoteReference"/>
          <w:noProof/>
          <w:sz w:val="24"/>
        </w:rPr>
        <w:footnoteReference w:id="7"/>
      </w:r>
      <w:r>
        <w:rPr>
          <w:noProof/>
          <w:sz w:val="24"/>
        </w:rPr>
        <w:t xml:space="preserve"> A portfólió USA-dollárban denominált részéből eredő devizakockázat fedezéséhez használt származtatott termékek valós értékének pozitív (28,4 millió EUR) és negatív (–62,9 millió EUR) változásaiból eredő –34,5 millió EUR összegű nettó veszteséget ellensúlyozta a pénzügyi eszközöknek és a kamatbevételeknek  (17,5 millió EUR) az árfolyamváltozás miatti pozitív (103,7 millió EUR) és negatív (–86,7 millió EUR) átértékeléséből eredő nettó nyereség (17,0 millió EUR). A fennmaradó veszteség</w:t>
      </w:r>
      <w:r>
        <w:rPr>
          <w:rStyle w:val="FootnoteReference"/>
          <w:noProof/>
          <w:sz w:val="24"/>
        </w:rPr>
        <w:footnoteReference w:id="8"/>
      </w:r>
      <w:r>
        <w:rPr>
          <w:noProof/>
          <w:sz w:val="24"/>
        </w:rPr>
        <w:t xml:space="preserve"> főként az értékesíthető értékpapírok értékesítéséből származó nettó veszteségből (–13,3 millió EUR) és a letétkezelési díjakból eredt (–0,6 millió EUR).</w:t>
      </w:r>
      <w:r>
        <w:rPr>
          <w:noProof/>
        </w:rPr>
        <w:br w:type="page"/>
      </w:r>
    </w:p>
    <w:p>
      <w:pPr>
        <w:pStyle w:val="Heading2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 </w:t>
      </w:r>
      <w:bookmarkStart w:id="46" w:name="_Toc477528175"/>
      <w:bookmarkStart w:id="47" w:name="_Toc477855452"/>
      <w:bookmarkStart w:id="48" w:name="_Toc3825654"/>
      <w:bookmarkStart w:id="49" w:name="_Toc7794404"/>
      <w:bookmarkStart w:id="50" w:name="_Toc9412964"/>
      <w:r>
        <w:rPr>
          <w:rFonts w:ascii="Times New Roman" w:hAnsi="Times New Roman"/>
          <w:noProof/>
        </w:rPr>
        <w:t>Uniós garanciával fedezett ESBA-műveletek</w:t>
      </w:r>
      <w:bookmarkEnd w:id="46"/>
      <w:bookmarkEnd w:id="47"/>
      <w:bookmarkEnd w:id="48"/>
      <w:bookmarkEnd w:id="49"/>
      <w:bookmarkEnd w:id="50"/>
    </w:p>
    <w:p>
      <w:pPr>
        <w:spacing w:before="240" w:after="200"/>
        <w:jc w:val="both"/>
        <w:rPr>
          <w:noProof/>
          <w:sz w:val="24"/>
          <w:szCs w:val="24"/>
        </w:rPr>
      </w:pPr>
      <w:r>
        <w:rPr>
          <w:noProof/>
          <w:sz w:val="24"/>
        </w:rPr>
        <w:t>2018. december 31-én az Uniónak az EBB csoport ESBA-műveletei keretében folyósított kintlévő összegekhez kapcsolódó garanciából eredő kitettsége 15,8 milliárd EUR-t tett ki az uniós garancianyújtásra jogi kötelezettségvállalás alapján rendelkezésre álló nettó 25,9 milliárd EUR-hoz</w:t>
      </w:r>
      <w:r>
        <w:rPr>
          <w:rStyle w:val="FootnoteReference"/>
          <w:noProof/>
          <w:sz w:val="24"/>
        </w:rPr>
        <w:footnoteReference w:id="9"/>
      </w:r>
      <w:r>
        <w:rPr>
          <w:noProof/>
          <w:sz w:val="24"/>
        </w:rPr>
        <w:t xml:space="preserve"> viszonyítva. Az Európai Unió 2018. évi pénzügyi kimutatásához kapcsolódó megjegyzésekben a 15,8 milliárd EUR függő kötelezettségként jelenik meg.</w:t>
      </w:r>
    </w:p>
    <w:p>
      <w:pPr>
        <w:spacing w:before="240" w:after="200"/>
        <w:jc w:val="both"/>
        <w:rPr>
          <w:noProof/>
          <w:sz w:val="24"/>
          <w:szCs w:val="24"/>
        </w:rPr>
      </w:pPr>
      <w:r>
        <w:rPr>
          <w:noProof/>
          <w:sz w:val="24"/>
        </w:rPr>
        <w:t>2018-ban az EBB által az infrastruktúra és innováció keretből kezelt ESBA-műveletek az EU számára 112,7 millió EUR összegű nettó bevételt eredményeztek. Ebből az összegből a 2018. december 31-i állapot szerint a Bizottság EBB-vel szembeni nettó követelése az Európai Unió 2018. évi pénzügyi kimutatásában 38,9 millió EUR</w:t>
      </w:r>
      <w:r>
        <w:rPr>
          <w:rStyle w:val="FootnoteReference"/>
          <w:noProof/>
          <w:sz w:val="24"/>
        </w:rPr>
        <w:footnoteReference w:id="10"/>
      </w:r>
      <w:r>
        <w:rPr>
          <w:noProof/>
          <w:sz w:val="24"/>
        </w:rPr>
        <w:t xml:space="preserve"> volt. Az infrastruktúra és innováció keretből történő lehívással kapcsolatos ESBA-műveleteket a 3.4. szakasz ismerteti.</w:t>
      </w:r>
    </w:p>
    <w:p>
      <w:pPr>
        <w:spacing w:before="240" w:after="200"/>
        <w:jc w:val="both"/>
        <w:rPr>
          <w:rFonts w:eastAsiaTheme="minorHAnsi"/>
          <w:noProof/>
          <w:sz w:val="24"/>
          <w:szCs w:val="24"/>
        </w:rPr>
      </w:pPr>
      <w:r>
        <w:rPr>
          <w:rFonts w:eastAsiaTheme="minorHAnsi"/>
          <w:noProof/>
          <w:sz w:val="24"/>
        </w:rPr>
        <w:t>A kkv-keretből kezelt ESBA-műveletekkel összefüggésben az EU-t 2018-ban 30,3 millió EUR összegű költség terhelte. Ebből az EU 2018. évi pénzügyi kimutatásában szereplő 21,9 millió EUR összegű igazgatási díj 2019. június 30-án vagy azt követően fizetendő az EBA számára.</w:t>
      </w:r>
    </w:p>
    <w:p>
      <w:pPr>
        <w:pStyle w:val="Heading2"/>
        <w:rPr>
          <w:rFonts w:ascii="Times New Roman" w:hAnsi="Times New Roman" w:cs="Times New Roman"/>
          <w:noProof/>
        </w:rPr>
      </w:pPr>
      <w:bookmarkStart w:id="51" w:name="_Toc3825655"/>
      <w:bookmarkStart w:id="52" w:name="_Toc449689412"/>
      <w:bookmarkStart w:id="53" w:name="_Toc477528176"/>
      <w:bookmarkStart w:id="54" w:name="_Toc477855453"/>
      <w:bookmarkStart w:id="55" w:name="_Toc7794405"/>
      <w:bookmarkStart w:id="56" w:name="_Toc9412965"/>
      <w:r>
        <w:rPr>
          <w:rFonts w:ascii="Times New Roman" w:hAnsi="Times New Roman"/>
          <w:noProof/>
        </w:rPr>
        <w:t>Az ESBA-garanciaalap</w:t>
      </w:r>
      <w:bookmarkEnd w:id="51"/>
      <w:r>
        <w:rPr>
          <w:rFonts w:ascii="Times New Roman" w:hAnsi="Times New Roman"/>
          <w:noProof/>
        </w:rPr>
        <w:t xml:space="preserve"> feltöltése</w:t>
      </w:r>
      <w:bookmarkEnd w:id="52"/>
      <w:bookmarkEnd w:id="53"/>
      <w:bookmarkEnd w:id="54"/>
      <w:bookmarkEnd w:id="55"/>
      <w:bookmarkEnd w:id="56"/>
    </w:p>
    <w:p>
      <w:pPr>
        <w:spacing w:before="120" w:after="100"/>
        <w:jc w:val="both"/>
        <w:rPr>
          <w:noProof/>
          <w:sz w:val="24"/>
          <w:szCs w:val="24"/>
        </w:rPr>
      </w:pPr>
      <w:r>
        <w:rPr>
          <w:noProof/>
          <w:sz w:val="24"/>
        </w:rPr>
        <w:t>Az ESBA-garanciaalap feltöltésére 2018-ban összesen 2 069 millió EUR költségvetési előirányzat került lekötésre. Ebből az összegből a C(2018)307 bizottsági határozatnak megfelelően 1 905 millió EUR összegű költségvetési előirányzatot kötöttek le. A „Pénzügyi intervenciókra képzett tartalékok” költségvetési sorból további 105 millió EUR összegű kötelezettségvállalási előirányzatot bocsátottak rendelkezésre. Végül 59 millió EUR címzett bevételként került lekötésre.</w:t>
      </w:r>
    </w:p>
    <w:p>
      <w:pPr>
        <w:spacing w:before="100" w:after="200"/>
        <w:jc w:val="both"/>
        <w:rPr>
          <w:noProof/>
          <w:sz w:val="24"/>
        </w:rPr>
      </w:pPr>
      <w:r>
        <w:rPr>
          <w:noProof/>
          <w:sz w:val="24"/>
        </w:rPr>
        <w:t>Az év során összesen 2 014 millió EUR tényleges kifizetésére került sor az ESBA-garanciaalap részére. Ez nagyrészt az EU általános költségvetésének kifizetési előirányzataiból származott, míg 59 millió EUR címzett bevételként behajtásra került (53,4 millió EUR-t az ESBA-bevételekből, 5,6 millió EUR-t pedig a Marguerite Alap bevételeiből), 154,9 millió EUR-t pedig kiegészítő kifizetési előirányzatként a költségvetési év végén csoportosítottak át.</w:t>
      </w:r>
    </w:p>
    <w:p>
      <w:pPr>
        <w:pStyle w:val="Heading2"/>
        <w:rPr>
          <w:rFonts w:ascii="Times New Roman" w:hAnsi="Times New Roman" w:cs="Times New Roman"/>
          <w:noProof/>
        </w:rPr>
      </w:pPr>
      <w:bookmarkStart w:id="57" w:name="_Toc3825656"/>
      <w:bookmarkStart w:id="58" w:name="_Toc7794406"/>
      <w:bookmarkStart w:id="59" w:name="_Toc9412966"/>
      <w:r>
        <w:rPr>
          <w:rFonts w:ascii="Times New Roman" w:hAnsi="Times New Roman"/>
          <w:noProof/>
        </w:rPr>
        <w:t>Az uniós garancia lehívása és felhasználása</w:t>
      </w:r>
      <w:bookmarkEnd w:id="57"/>
      <w:bookmarkEnd w:id="58"/>
      <w:bookmarkEnd w:id="59"/>
    </w:p>
    <w:p>
      <w:pPr>
        <w:spacing w:before="240" w:after="120"/>
        <w:jc w:val="both"/>
        <w:rPr>
          <w:noProof/>
          <w:sz w:val="24"/>
        </w:rPr>
      </w:pPr>
      <w:r>
        <w:rPr>
          <w:noProof/>
          <w:sz w:val="24"/>
        </w:rPr>
        <w:t>Az ESBA-megállapodás 8. cikke (1) bekezdésének a) pontjával összhangban az uniós garanciából 97,1 millió EUR került lehívásra az infrastruktúra és innováció keretből végrehajtott, nemteljesítő művelethez kapcsolódóan. Az ESBA-megállapodás 11. cikkének megfelelően az EBB először 18,6 millió EUR-t hajtott be, ezzel a fizetendő összeg 78,5 millió EUR-ra csökkent. A lehívott összeget az ESBA-számláról (17,7 millió EUR), és az ESBA-garanciaalapból (60,8 millió EUR) fedezték. Ezt követően 1,6 millió EUR behajtására került sor. Az említett nemteljesítő művelettel kapcsolatban az EBB 1,0 millió EUR-t hívott le a behajtási költségekre és 0,6 millió EUR-t a visszatéríthető igazgatási díjakra.</w:t>
      </w:r>
    </w:p>
    <w:p>
      <w:pPr>
        <w:spacing w:before="240"/>
        <w:jc w:val="both"/>
        <w:rPr>
          <w:noProof/>
          <w:sz w:val="24"/>
        </w:rPr>
      </w:pPr>
      <w:r>
        <w:rPr>
          <w:noProof/>
          <w:sz w:val="24"/>
        </w:rPr>
        <w:t>2018-ban 0,6 millió EUR került kifizetésre az EBB-nek finanszírozási költségekre</w:t>
      </w:r>
      <w:r>
        <w:rPr>
          <w:rStyle w:val="FootnoteReference"/>
          <w:noProof/>
          <w:sz w:val="24"/>
        </w:rPr>
        <w:footnoteReference w:id="11"/>
      </w:r>
      <w:r>
        <w:rPr>
          <w:noProof/>
          <w:sz w:val="24"/>
        </w:rPr>
        <w:t xml:space="preserve"> és 10,7 millió EUR értékhelyesbítésekre</w:t>
      </w:r>
      <w:r>
        <w:rPr>
          <w:rStyle w:val="FootnoteReference"/>
          <w:noProof/>
          <w:sz w:val="24"/>
        </w:rPr>
        <w:footnoteReference w:id="12"/>
      </w:r>
      <w:r>
        <w:rPr>
          <w:noProof/>
          <w:sz w:val="24"/>
        </w:rPr>
        <w:t>.</w:t>
      </w:r>
    </w:p>
    <w:p>
      <w:pPr>
        <w:pStyle w:val="Heading1"/>
        <w:rPr>
          <w:rFonts w:ascii="Times New Roman" w:hAnsi="Times New Roman" w:cs="Times New Roman"/>
          <w:noProof/>
        </w:rPr>
      </w:pPr>
      <w:bookmarkStart w:id="60" w:name="_Toc477351967"/>
      <w:bookmarkStart w:id="61" w:name="_Toc477528177"/>
      <w:bookmarkStart w:id="62" w:name="_Toc477855454"/>
      <w:bookmarkStart w:id="63" w:name="_Toc3825657"/>
      <w:bookmarkStart w:id="64" w:name="_Toc7794407"/>
      <w:bookmarkStart w:id="65" w:name="_Toc9412967"/>
      <w:r>
        <w:rPr>
          <w:rFonts w:ascii="Times New Roman" w:hAnsi="Times New Roman"/>
          <w:noProof/>
        </w:rPr>
        <w:t>Az ESBA-garanciaalap</w:t>
      </w:r>
      <w:bookmarkEnd w:id="40"/>
      <w:bookmarkEnd w:id="60"/>
      <w:bookmarkEnd w:id="61"/>
      <w:bookmarkEnd w:id="62"/>
      <w:r>
        <w:rPr>
          <w:rFonts w:ascii="Times New Roman" w:hAnsi="Times New Roman"/>
          <w:noProof/>
        </w:rPr>
        <w:t xml:space="preserve"> 2018. évi kezelése</w:t>
      </w:r>
      <w:bookmarkEnd w:id="63"/>
      <w:bookmarkEnd w:id="64"/>
      <w:bookmarkEnd w:id="65"/>
    </w:p>
    <w:p>
      <w:pPr>
        <w:pStyle w:val="Heading2"/>
        <w:rPr>
          <w:rFonts w:ascii="Times New Roman" w:hAnsi="Times New Roman" w:cs="Times New Roman"/>
          <w:noProof/>
        </w:rPr>
      </w:pPr>
      <w:bookmarkStart w:id="66" w:name="_Toc477528178"/>
      <w:bookmarkStart w:id="67" w:name="_Toc477855455"/>
      <w:bookmarkStart w:id="68" w:name="_Toc3825658"/>
      <w:bookmarkStart w:id="69" w:name="_Toc7794408"/>
      <w:bookmarkStart w:id="70" w:name="_Toc9412968"/>
      <w:r>
        <w:rPr>
          <w:rFonts w:ascii="Times New Roman" w:hAnsi="Times New Roman"/>
          <w:noProof/>
        </w:rPr>
        <w:t>Pénzgazdálkodás</w:t>
      </w:r>
      <w:bookmarkEnd w:id="66"/>
      <w:bookmarkEnd w:id="67"/>
      <w:bookmarkEnd w:id="68"/>
      <w:bookmarkEnd w:id="69"/>
      <w:bookmarkEnd w:id="70"/>
    </w:p>
    <w:p>
      <w:pPr>
        <w:spacing w:before="240" w:after="240"/>
        <w:jc w:val="both"/>
        <w:rPr>
          <w:noProof/>
          <w:sz w:val="24"/>
          <w:szCs w:val="24"/>
        </w:rPr>
      </w:pPr>
      <w:r>
        <w:rPr>
          <w:noProof/>
          <w:sz w:val="24"/>
        </w:rPr>
        <w:t>Az ESBA-garanciaalap befektetési portfólióját az ESBA-garanciaalap eszközkezelésére vonatkozó iránymutatások jóváhagyásáról szóló, 2016. január 21-i C(2016)165 bizottsági határozatban megállapított gazdálkodási elvekkel összhangban fektetik be.</w:t>
      </w:r>
    </w:p>
    <w:p>
      <w:pPr>
        <w:spacing w:before="240" w:after="240"/>
        <w:jc w:val="both"/>
        <w:rPr>
          <w:noProof/>
          <w:sz w:val="24"/>
          <w:szCs w:val="24"/>
        </w:rPr>
      </w:pPr>
      <w:r>
        <w:rPr>
          <w:noProof/>
          <w:sz w:val="24"/>
        </w:rPr>
        <w:t>Az iránymutatás szerint a befektetési portfólióban található eszközöknek elegendő likviditást kell biztosítaniuk a garancia esetleges lehívása esetére, ugyanakkor nagy fokú biztonság és stabilitás fenntartása mellett optimális hozam- és kockázati szint kialakítását célozzák.</w:t>
      </w:r>
    </w:p>
    <w:p>
      <w:pPr>
        <w:spacing w:before="240" w:after="240"/>
        <w:jc w:val="both"/>
        <w:rPr>
          <w:noProof/>
          <w:sz w:val="24"/>
          <w:szCs w:val="24"/>
        </w:rPr>
      </w:pPr>
      <w:r>
        <w:rPr>
          <w:noProof/>
          <w:sz w:val="24"/>
        </w:rPr>
        <w:t xml:space="preserve">A befektetési célkitűzések és a piaci feltételekre vonatkozó kilátások figyelembevételével befektetési és kockázatkezelési stratégiákat fogadtak el. A befektetések során a cél a különböző rögzített hozamú eszközosztályok közötti fokozottabb diverzifikáció volt. </w:t>
      </w:r>
    </w:p>
    <w:p>
      <w:pPr>
        <w:pStyle w:val="Heading2"/>
        <w:rPr>
          <w:rFonts w:ascii="Times New Roman" w:hAnsi="Times New Roman" w:cs="Times New Roman"/>
          <w:noProof/>
        </w:rPr>
      </w:pPr>
      <w:bookmarkStart w:id="71" w:name="_Toc477528179"/>
      <w:bookmarkStart w:id="72" w:name="_Toc477855456"/>
      <w:bookmarkStart w:id="73" w:name="_Toc3825659"/>
      <w:bookmarkStart w:id="74" w:name="_Toc7794409"/>
      <w:bookmarkStart w:id="75" w:name="_Toc9412969"/>
      <w:r>
        <w:rPr>
          <w:rFonts w:ascii="Times New Roman" w:hAnsi="Times New Roman"/>
          <w:noProof/>
        </w:rPr>
        <w:t>Piaci fejlemények</w:t>
      </w:r>
      <w:bookmarkEnd w:id="71"/>
      <w:bookmarkEnd w:id="72"/>
      <w:r>
        <w:rPr>
          <w:rFonts w:ascii="Times New Roman" w:hAnsi="Times New Roman"/>
          <w:noProof/>
        </w:rPr>
        <w:t xml:space="preserve"> 2018-ban</w:t>
      </w:r>
      <w:bookmarkEnd w:id="73"/>
      <w:bookmarkEnd w:id="74"/>
      <w:bookmarkEnd w:id="75"/>
    </w:p>
    <w:p>
      <w:pPr>
        <w:spacing w:before="240" w:after="240"/>
        <w:jc w:val="both"/>
        <w:rPr>
          <w:noProof/>
          <w:sz w:val="24"/>
          <w:szCs w:val="24"/>
        </w:rPr>
      </w:pPr>
      <w:r>
        <w:rPr>
          <w:noProof/>
          <w:sz w:val="24"/>
        </w:rPr>
        <w:t>A 2018. év az összességében negatív vagy példátlanul alacsony hozamok és az ehhez társuló jelentős piaci volatilitás és bizonytalanság miatt kihívást jelentett a befektetők számára. A kedvezőtlen környezet kialakulásához számottevő mértékben hozzájárultak a következő tényezők: a növekedés folytatódásával és az infláció emelkedésével kapcsolatos várakozások nyomán fokozatosan szigorúbbá váló monetáris politika az euróövezetben és az USA-ban, a kereskedelmi háború, az olaszországi fejlemények, továbbá az, hogy az év vége felé romlani kezdtek a gazdasági kilátások. Ami a monetáris politikát illeti, az EKB az úgynevezett mennyiségi lazítási politika keretében szeptemberben 30 milliárd EUR-ról 15 milliárd EUR-ra csökkentette a havi nettó eszközvásárlásokat, majd 2018 végén le is állította. Az Egyesült Államokban a Federal Reserve Bank az év során négy alkalommal hajtott végre 25 bázispontos emelést, így az év végére a Fed a jegybanki alapkamat céltartományát 2,25–2,5-re növelte.</w:t>
      </w:r>
    </w:p>
    <w:p>
      <w:pPr>
        <w:spacing w:before="120" w:after="120"/>
        <w:jc w:val="both"/>
        <w:rPr>
          <w:noProof/>
          <w:sz w:val="24"/>
          <w:szCs w:val="24"/>
        </w:rPr>
      </w:pPr>
      <w:r>
        <w:rPr>
          <w:noProof/>
          <w:sz w:val="24"/>
        </w:rPr>
        <w:t>Ezzel összefüggésben a 2018 elején még lényegesen magasabban mozgó európai rögzített hozamok az év végére összességében éves mélypontot értek el a gazdasági növekedés gyengülése és a gazdasági kilátások romlása, az olajárak csökkenése, valamint a jegybanki alapkamatok középtávú alakulásával kapcsolatos várakozások romlása következtében. Az év során a hitelkockázati felárak emelkedni kezdtek, és a részvénypiacok lanyhulása, valamint a nettó eszközvásárlások Európai Központi Bank (EKB) általi leállítása miatt ez a tendencia decemberben felgyorsult. A rövid lejáratú euróövezeti kötvények hozama – bár kisebb mértékben – szintén csökkent, a releváns hozamgörbék általános ellaposodását eredményezve. Az euróövezet gazdasági hangulatindexe, amely a háztartások és a vállalatok várakozásait jelzi, az elemzők által vártnál nagyobb mértékben esett, és az elmúlt csaknem két évre visszatekintve a legalacsonyabb szintre került. A visszaesés számos ágazatot és országot érintett. A peremterületek országainak kockázati felárai a német államkötvényekhez kapcsolódva decemberben általánosságban csökkentek. Olaszország esetében a hozamfelár több mint 30 bázisponttal csökkent, és a hónap végére 250 bázispontot ért el, amihez hozzájárult az olaszországi költségvetésről az Európai Bizottsággal elért megállapodás.</w:t>
      </w:r>
      <w:bookmarkStart w:id="76" w:name="_Toc477528181"/>
      <w:bookmarkStart w:id="77" w:name="_Toc477855458"/>
      <w:bookmarkStart w:id="78" w:name="_Toc3825660"/>
    </w:p>
    <w:p>
      <w:pPr>
        <w:pStyle w:val="Heading2"/>
        <w:rPr>
          <w:rFonts w:ascii="Times New Roman" w:hAnsi="Times New Roman" w:cs="Times New Roman"/>
          <w:noProof/>
        </w:rPr>
      </w:pPr>
      <w:bookmarkStart w:id="79" w:name="_Toc7794410"/>
      <w:bookmarkStart w:id="80" w:name="_Toc9412970"/>
      <w:r>
        <w:rPr>
          <w:rFonts w:ascii="Times New Roman" w:hAnsi="Times New Roman"/>
          <w:noProof/>
        </w:rPr>
        <w:t>A portfólió összetétele és fő kockázati jellemzői</w:t>
      </w:r>
      <w:bookmarkEnd w:id="76"/>
      <w:bookmarkEnd w:id="77"/>
      <w:bookmarkEnd w:id="78"/>
      <w:bookmarkEnd w:id="79"/>
      <w:bookmarkEnd w:id="80"/>
    </w:p>
    <w:p>
      <w:pPr>
        <w:spacing w:before="240" w:after="240"/>
        <w:jc w:val="both"/>
        <w:rPr>
          <w:noProof/>
          <w:sz w:val="24"/>
          <w:szCs w:val="24"/>
        </w:rPr>
      </w:pPr>
      <w:r>
        <w:rPr>
          <w:noProof/>
          <w:sz w:val="24"/>
        </w:rPr>
        <w:t xml:space="preserve">2018. december 31-én a befektetési portfólió elsősorban állami kibocsátású értékpapírokból (a piaci érték 27 %-a a 46 %-os referenciaértékhez képest), valamint alsóbb szintű állami kibocsátók, szupranacionális szervek vagy ügynökségek, valamint külföldi kormányzatok által kibocsátott értékpapírokból (a piaci érték 18 %-a a 12 %-os referenciaértékhez képest) és fedezett kötvényekből (a piaci érték 25 %-a a 20 %-os referenciaértékhez képest) állt. A fennmaradó részt főként vállalatok és pénzügyi intézmények által kibocsátott fedezetlen kötvények alkották. A portfólió mintegy 9 %-át likvid és magas (AA/AAA) minősítésű, USA-dollárban denominált befektetések adták. Az említett befektetések devizakockázati kitettségét fedezték. 2018 végén a portfólió környezeti, társadalmi és kormányzati kritériumokat teljesítő kötvényekkel szembeni kitettsége a megfelelő referenciamutatóhoz képest több mint háromszoros volt. </w:t>
      </w:r>
    </w:p>
    <w:p>
      <w:pPr>
        <w:spacing w:before="240" w:after="240"/>
        <w:jc w:val="both"/>
        <w:rPr>
          <w:noProof/>
          <w:sz w:val="24"/>
          <w:szCs w:val="24"/>
        </w:rPr>
      </w:pPr>
      <w:r>
        <w:rPr>
          <w:noProof/>
          <w:sz w:val="24"/>
        </w:rPr>
        <w:t>A portfólió futamideje</w:t>
      </w:r>
      <w:r>
        <w:rPr>
          <w:rStyle w:val="FootnoteReference"/>
          <w:noProof/>
          <w:sz w:val="24"/>
        </w:rPr>
        <w:footnoteReference w:id="13"/>
      </w:r>
      <w:r>
        <w:rPr>
          <w:noProof/>
          <w:sz w:val="24"/>
        </w:rPr>
        <w:t xml:space="preserve"> 2018 végén 2,41 év volt, átlagos hitelminősítése pedig A–.</w:t>
      </w:r>
    </w:p>
    <w:p>
      <w:pPr>
        <w:spacing w:before="240" w:after="240"/>
        <w:jc w:val="both"/>
        <w:rPr>
          <w:noProof/>
          <w:sz w:val="24"/>
          <w:szCs w:val="24"/>
        </w:rPr>
      </w:pPr>
      <w:r>
        <w:rPr>
          <w:noProof/>
          <w:sz w:val="24"/>
        </w:rPr>
        <w:t>A portfólió nagy részét likvid értékpapírokba fektették be, és a portfólió egy megfelelő nagyságú részének (a portfólió összértékének 21 %-a) futamideje 12 hónapnál rövidebb.</w:t>
      </w:r>
    </w:p>
    <w:p>
      <w:pPr>
        <w:spacing w:before="240" w:after="240"/>
        <w:jc w:val="both"/>
        <w:rPr>
          <w:noProof/>
          <w:sz w:val="24"/>
          <w:szCs w:val="24"/>
        </w:rPr>
      </w:pPr>
      <w:r>
        <w:rPr>
          <w:noProof/>
          <w:sz w:val="24"/>
        </w:rPr>
        <w:t>A portfólió lejárati, hitelkockázati és likviditási profilját úgy kalibrálták, hogy összhangban álljon az uniós garanciával fedezett ESBA-műveletekből eredő előre jelzett cash-flow-kkal (pl. tervezett lehívások, bevételek).</w:t>
      </w:r>
    </w:p>
    <w:p>
      <w:pPr>
        <w:pStyle w:val="Heading2"/>
        <w:rPr>
          <w:rFonts w:ascii="Times New Roman" w:hAnsi="Times New Roman" w:cs="Times New Roman"/>
          <w:noProof/>
        </w:rPr>
      </w:pPr>
      <w:bookmarkStart w:id="81" w:name="_Toc477528182"/>
      <w:bookmarkStart w:id="82" w:name="_Toc477855459"/>
      <w:bookmarkStart w:id="83" w:name="_Toc3825661"/>
      <w:bookmarkStart w:id="84" w:name="_Toc7794411"/>
      <w:bookmarkStart w:id="85" w:name="_Toc9412971"/>
      <w:r>
        <w:rPr>
          <w:rFonts w:ascii="Times New Roman" w:hAnsi="Times New Roman"/>
          <w:noProof/>
        </w:rPr>
        <w:t>Teljesítmény</w:t>
      </w:r>
      <w:bookmarkEnd w:id="81"/>
      <w:bookmarkEnd w:id="82"/>
      <w:bookmarkEnd w:id="83"/>
      <w:bookmarkEnd w:id="84"/>
      <w:bookmarkEnd w:id="85"/>
    </w:p>
    <w:p>
      <w:pPr>
        <w:spacing w:before="240" w:after="240"/>
        <w:jc w:val="both"/>
        <w:rPr>
          <w:noProof/>
          <w:sz w:val="24"/>
          <w:szCs w:val="24"/>
        </w:rPr>
      </w:pPr>
      <w:r>
        <w:rPr>
          <w:noProof/>
          <w:sz w:val="24"/>
        </w:rPr>
        <w:t>Az éves teljesítmény kiszámítása idősúlyozott alapon történik, hogy ne befolyásolja a portfólió év során jelentősen növekvő mérete.</w:t>
      </w:r>
    </w:p>
    <w:p>
      <w:pPr>
        <w:spacing w:before="240" w:after="240"/>
        <w:jc w:val="both"/>
        <w:rPr>
          <w:noProof/>
          <w:sz w:val="24"/>
          <w:szCs w:val="24"/>
        </w:rPr>
      </w:pPr>
      <w:r>
        <w:rPr>
          <w:noProof/>
          <w:sz w:val="24"/>
        </w:rPr>
        <w:t>A sok kihívást jelentő, összességében negatív vagy példátlanul alacsony hozamokkal, továbbá a kapcsolódó jelentős piaci volatilitással és bizonytalansággal jellemezhető piaci környezetben az alap éves abszolút teljesítménye 2018-ban –0,312 % volt. Ezt az eredményt, amely összhangban van az ESBA-referenciamutató éves teljesítményével (–0,305 %), úgy sikerült elérni, hogy közben Európában a kamatszint (különösen a piacok által hitelkockázat-mentesnek tartott kitettségeké és a likvid kitettségeké) negatív volt, az Egyesült Államokban pedig több alkalommal emelkedett a kamatszint.</w:t>
      </w:r>
    </w:p>
    <w:p>
      <w:pPr>
        <w:pStyle w:val="Heading1"/>
        <w:rPr>
          <w:rFonts w:ascii="Times New Roman" w:hAnsi="Times New Roman" w:cs="Times New Roman"/>
          <w:noProof/>
        </w:rPr>
      </w:pPr>
      <w:bookmarkStart w:id="86" w:name="_Toc449689415"/>
      <w:bookmarkStart w:id="87" w:name="_Toc477351968"/>
      <w:bookmarkStart w:id="88" w:name="_Toc477528183"/>
      <w:bookmarkStart w:id="89" w:name="_Toc477855460"/>
      <w:bookmarkStart w:id="90" w:name="_Toc3825662"/>
      <w:bookmarkStart w:id="91" w:name="_Toc7794412"/>
      <w:bookmarkStart w:id="92" w:name="_Toc9412972"/>
      <w:r>
        <w:rPr>
          <w:rFonts w:ascii="Times New Roman" w:hAnsi="Times New Roman"/>
          <w:noProof/>
        </w:rPr>
        <w:t>Az ESBA-garanciaalap célösszege és szintje megfelelőségének értékelése</w:t>
      </w:r>
      <w:bookmarkEnd w:id="86"/>
      <w:bookmarkEnd w:id="87"/>
      <w:bookmarkEnd w:id="88"/>
      <w:bookmarkEnd w:id="89"/>
      <w:bookmarkEnd w:id="90"/>
      <w:bookmarkEnd w:id="91"/>
      <w:bookmarkEnd w:id="92"/>
    </w:p>
    <w:p>
      <w:pPr>
        <w:spacing w:before="200" w:after="180"/>
        <w:jc w:val="both"/>
        <w:rPr>
          <w:noProof/>
          <w:sz w:val="24"/>
          <w:szCs w:val="24"/>
        </w:rPr>
      </w:pPr>
      <w:r>
        <w:rPr>
          <w:noProof/>
          <w:sz w:val="24"/>
        </w:rPr>
        <w:t xml:space="preserve">2018. december 31-én az Európai Stratégiai Beruházási Alap keretében aláírt – 28 tagállamra kiterjedő – műveletek összességében 53,6 milliárd EUR-t tettek ki, ebből az összegből 39,1 milliárd EUR-t az IIW (407 művelet), 14,5 milliárd EUR-t pedig az SMEW (470 művelet) keretében írtak alá. Összességében ez jelentős növekedést mutat 2017-hez képest, amikor az év végén az aláírások összesen 37,4 milliárd EUR-t tettek ki. </w:t>
      </w:r>
    </w:p>
    <w:p>
      <w:pPr>
        <w:spacing w:before="200" w:after="180"/>
        <w:jc w:val="both"/>
        <w:rPr>
          <w:noProof/>
          <w:sz w:val="24"/>
          <w:szCs w:val="24"/>
        </w:rPr>
      </w:pPr>
      <w:r>
        <w:rPr>
          <w:noProof/>
          <w:sz w:val="24"/>
        </w:rPr>
        <w:t xml:space="preserve">2018. december 31-én az uniós garanciával fedezett, kintlévő folyósított kitettségek összege közel 15,8 milliárd EUR volt, ami emelkedést jelent a 2017. évi 10,1 milliárd EUR-hoz képest. </w:t>
      </w:r>
    </w:p>
    <w:p>
      <w:pPr>
        <w:spacing w:before="200" w:after="180"/>
        <w:jc w:val="both"/>
        <w:rPr>
          <w:noProof/>
          <w:sz w:val="24"/>
          <w:szCs w:val="24"/>
        </w:rPr>
      </w:pPr>
      <w:r>
        <w:rPr>
          <w:noProof/>
          <w:sz w:val="24"/>
        </w:rPr>
        <w:t>Az uniós költségvetés uniós garanciával fedezett lehetséges jövőbeli kifizetésekből származó kitettsége az aláírt (folyósított és nem folyósított) műveletek tekintetében 19,8 milliárd EUR-t tett ki.</w:t>
      </w:r>
    </w:p>
    <w:p>
      <w:pPr>
        <w:spacing w:before="200" w:after="180"/>
        <w:jc w:val="both"/>
        <w:rPr>
          <w:noProof/>
          <w:sz w:val="24"/>
          <w:szCs w:val="24"/>
        </w:rPr>
      </w:pPr>
      <w:r>
        <w:rPr>
          <w:noProof/>
          <w:sz w:val="24"/>
        </w:rPr>
        <w:t>Az infrastruktúra és innováció keretből az uniós garanciával fedezett kintlévő folyósított kitettségek összege 14,8 milliárd EUR volt, ebből a hitelműveletek 14,2 milliárd EUR-t, a sajáttőke-típusú műveletek pedig 0,6 milliárd EUR-t jelentettek.</w:t>
      </w:r>
    </w:p>
    <w:p>
      <w:pPr>
        <w:spacing w:before="200" w:after="180"/>
        <w:jc w:val="both"/>
        <w:rPr>
          <w:noProof/>
          <w:sz w:val="24"/>
          <w:szCs w:val="24"/>
        </w:rPr>
      </w:pPr>
      <w:r>
        <w:rPr>
          <w:noProof/>
          <w:sz w:val="24"/>
        </w:rPr>
        <w:t>Amennyiben az infrastruktúra és innováció kerethez kapcsolódó műveletekkel összefüggésben veszteség merülne fel, azt az uniós garancia fedezi az ESBA-megállapodásban meghatározott feltételeknek megfelelően. Konkrétan, az infrastruktúra és innováció keret esetében az uniós garancia biztosítására az IIW hitelportfóliók és az IIW nemzeti fejlesztési banki sajáttőke-portfóliók (IIW Equity Portfolio–NPB) keretében portfólióalapú első veszteségviselő rész formájában kerül sor. Az IIW standard sajáttőke-portfóliójához kapcsolódóan az uniós garancia teljes garanciát jelent, feltéve, hogy az EBB ugyanolyan összegű eszközt azonos feltételek mellett saját kockázatára fektet be.</w:t>
      </w:r>
    </w:p>
    <w:p>
      <w:pPr>
        <w:spacing w:before="200" w:after="180"/>
        <w:jc w:val="both"/>
        <w:rPr>
          <w:noProof/>
          <w:sz w:val="24"/>
          <w:szCs w:val="24"/>
        </w:rPr>
      </w:pPr>
      <w:r>
        <w:rPr>
          <w:noProof/>
          <w:sz w:val="24"/>
        </w:rPr>
        <w:t>2018. december 31-én a kkv-kerethez kapcsolódó, uniós garanciával fedezett kintlévő kitettség összesen 0,995 milliárd EUR volt, ebből 0,880 milliárd EUR garanciaműveletet, 0,115 milliárd EUR pedig sajáttőke-műveletet jelentett</w:t>
      </w:r>
      <w:r>
        <w:rPr>
          <w:rStyle w:val="FootnoteReference"/>
          <w:noProof/>
          <w:sz w:val="24"/>
        </w:rPr>
        <w:footnoteReference w:id="14"/>
      </w:r>
      <w:r>
        <w:rPr>
          <w:noProof/>
          <w:sz w:val="24"/>
        </w:rPr>
        <w:t>.</w:t>
      </w:r>
    </w:p>
    <w:p>
      <w:pPr>
        <w:spacing w:before="200" w:after="180"/>
        <w:jc w:val="both"/>
        <w:rPr>
          <w:noProof/>
          <w:sz w:val="24"/>
          <w:szCs w:val="24"/>
        </w:rPr>
      </w:pPr>
      <w:r>
        <w:rPr>
          <w:noProof/>
          <w:sz w:val="24"/>
        </w:rPr>
        <w:t>Amennyiben a kkv-kerethez kapcsolódó műveletekkel összefüggésben veszteség merül fel, azt elsősorban az InnovFin kkv-garanciaeszközből és a COSME hitelgarancia-eszközéből, a kulturális és kreatív ágazatok garanciaeszközéből, valamint az EaSI (a foglalkoztatás és a szociális innováció európai uniós programja) garanciafinanszírozási eszközéből származó hozzájárulások fedeznék. A kkv-kerethez tartozó sajáttőke-finanszírozási termék esetében a veszteségek fedezése az uniós garanciából történne az ESBA és (a 2. részkeret esetében) az InnovFin tőkefinanszírozási eszköz első veszteségviselő része keretében.</w:t>
      </w:r>
    </w:p>
    <w:p>
      <w:pPr>
        <w:spacing w:before="200" w:after="180"/>
        <w:jc w:val="both"/>
        <w:rPr>
          <w:noProof/>
          <w:sz w:val="24"/>
          <w:szCs w:val="24"/>
        </w:rPr>
      </w:pPr>
      <w:r>
        <w:rPr>
          <w:noProof/>
          <w:sz w:val="24"/>
        </w:rPr>
        <w:t>Az ESBA-garanciaalap célösszegét az ESBA-rendelet eredetileg az uniós garanciával fedezett teljes kötelezettségállomány 35 %-ában állapította meg</w:t>
      </w:r>
      <w:r>
        <w:rPr>
          <w:rStyle w:val="FootnoteReference"/>
          <w:noProof/>
          <w:sz w:val="24"/>
        </w:rPr>
        <w:footnoteReference w:id="15"/>
      </w:r>
      <w:r>
        <w:rPr>
          <w:noProof/>
          <w:sz w:val="24"/>
        </w:rPr>
        <w:t>. Az uniós garancia alá tartozó különböző termékek kockázatértékelése azt mutatja, hogy az ESBA-garanciaalap említett feltöltési célértéke esetén az uniós költségvetés összességében megfelelően védett az uniós garancia terhére történő potenciális lehívásokkal szemben, figyelembe véve a követelések behajtását, a bevételeket és az EBB korábbi műveleteiből befolyt bevételeket. Ezért a 35 %-os célráta megfelelőnek tekinthető.</w:t>
      </w:r>
    </w:p>
    <w:p>
      <w:pPr>
        <w:spacing w:before="200" w:after="180"/>
        <w:jc w:val="both"/>
        <w:rPr>
          <w:noProof/>
          <w:sz w:val="24"/>
          <w:szCs w:val="24"/>
        </w:rPr>
      </w:pPr>
      <w:r>
        <w:rPr>
          <w:noProof/>
          <w:sz w:val="24"/>
        </w:rPr>
        <w:t>Az ESBA-garanciaalap kialakítási szakasza 2022-ig tart, így a feltöltés szükségességét egy későbbi szakaszban fogják értékelni.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  <w:rPr>
        <w:caps/>
      </w:rPr>
    </w:pPr>
  </w:p>
  <w:p>
    <w:pPr>
      <w:pStyle w:val="Footer"/>
      <w:jc w:val="center"/>
      <w:rPr>
        <w:caps/>
        <w:noProof/>
      </w:rPr>
    </w:pPr>
    <w:r>
      <w:rPr>
        <w:caps/>
      </w:rPr>
      <w:fldChar w:fldCharType="begin"/>
    </w:r>
    <w:r>
      <w:rPr>
        <w:caps/>
      </w:rPr>
      <w:instrText xml:space="preserve"> PAGE   \* MERGEFORMAT </w:instrText>
    </w:r>
    <w:r>
      <w:rPr>
        <w:caps/>
      </w:rPr>
      <w:fldChar w:fldCharType="separate"/>
    </w:r>
    <w:r>
      <w:rPr>
        <w:caps/>
        <w:noProof/>
      </w:rPr>
      <w:t>1</w:t>
    </w:r>
    <w:r>
      <w:rPr>
        <w:caps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HL L 169., 2015.7.1., 1. o.</w:t>
      </w:r>
    </w:p>
  </w:footnote>
  <w:footnote w:id="2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HL L 345., 2017.12.27., 34. o.</w:t>
      </w:r>
    </w:p>
  </w:footnote>
  <w:footnote w:id="3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Ez a jelentés az ESBA-garanciaalapra vonatkozó negyedik jelentés. Az előző jelentéseket a COM(2016) 353 final, a COM(2017) 326 final és a COM(2018) 345 final dokumentum tartalmazza.</w:t>
      </w:r>
    </w:p>
  </w:footnote>
  <w:footnote w:id="4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Az uniós garancia mértékét az ESBA 2.0 módosítás 16 milliárd EUR-ról 26 milliárd EUR-ra növelte.</w:t>
      </w:r>
    </w:p>
  </w:footnote>
  <w:footnote w:id="5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Az EBB csoport által nyújtott garancia mértékét az ESBA 2.0 módosítás 5 milliárd EUR-ról 7,5 milliárd EUR-ra növelte.</w:t>
      </w:r>
    </w:p>
  </w:footnote>
  <w:footnote w:id="6">
    <w:p>
      <w:pPr>
        <w:pStyle w:val="FootnoteText"/>
        <w:ind w:left="426" w:hanging="426"/>
        <w:jc w:val="both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  <w:t>Az ESBA-garanciaalap auditált pénzügyi kimutatása az ESBA-garanciaalapról szóló jelentéshez mellékelt bizottsági szolgálati munkadokumentumban került közzétételre.</w:t>
      </w:r>
    </w:p>
  </w:footnote>
  <w:footnote w:id="7">
    <w:p>
      <w:pPr>
        <w:pStyle w:val="FootnoteText"/>
        <w:ind w:left="426" w:hanging="426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Lásd az ESBA-garanciaalapról szóló jelentést kísérő bizottsági szolgálati munkadokumentum 6. oldalát.</w:t>
      </w:r>
    </w:p>
  </w:footnote>
  <w:footnote w:id="8">
    <w:p>
      <w:pPr>
        <w:pStyle w:val="FootnoteText"/>
        <w:ind w:left="426" w:hanging="426"/>
        <w:jc w:val="both"/>
      </w:pPr>
      <w:r>
        <w:rPr>
          <w:rStyle w:val="FootnoteReference"/>
        </w:rPr>
        <w:footnoteRef/>
      </w:r>
      <w:r>
        <w:tab/>
        <w:t>A nettó összeg 4,3 millió EUR nyereséget és 17,6 millió EUR veszteséget tartalmaz.</w:t>
      </w:r>
    </w:p>
  </w:footnote>
  <w:footnote w:id="9">
    <w:p>
      <w:pPr>
        <w:pStyle w:val="FootnoteText"/>
        <w:ind w:left="426" w:hanging="426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Az ESBA 2.0 módosítás 11. cikke szerint az uniós garancia összege semmilyen esetben nem haladhatja meg a 26 milliárd EUR-t, 2018. július 6. előtt pedig nem haladhatja meg a 16 milliárd EUR-t. A lehívott és felhasznált uniós garancia összege, valamint a kkv-keretben a portfóliógaranciát képező termékekre vonatkozó céltartalékok levonásra kerülnek az uniós garancia maximális összegéből. </w:t>
      </w:r>
    </w:p>
  </w:footnote>
  <w:footnote w:id="10">
    <w:p>
      <w:pPr>
        <w:pStyle w:val="FootnoteText"/>
        <w:ind w:left="426" w:hanging="426"/>
        <w:jc w:val="both"/>
        <w:rPr>
          <w:rStyle w:val="FootnoteReference"/>
        </w:rPr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  <w:t>Az EBB-nek 2019-ben, egy nemteljesítő művelet kapcsán fizetendő 0,5 millió EUR összegű kintlévő behajtási költségek levonása után.</w:t>
      </w:r>
    </w:p>
  </w:footnote>
  <w:footnote w:id="11">
    <w:p>
      <w:pPr>
        <w:pStyle w:val="FootnoteText"/>
        <w:ind w:left="426" w:hanging="426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Lásd az ESBA-megállapodás 8. cikke (1) bekezdésének d) pontját. Ez az összeg nem tartalmazza a fent említett lehívással kapcsolatos 1,6 millió EUR összegű költséget.</w:t>
      </w:r>
    </w:p>
  </w:footnote>
  <w:footnote w:id="12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 xml:space="preserve"> </w:t>
      </w:r>
      <w:r>
        <w:tab/>
        <w:t>Lásd az ESBA-megállapodás 8. cikke (1) bekezdésének b) pontját.</w:t>
      </w:r>
    </w:p>
  </w:footnote>
  <w:footnote w:id="13">
    <w:p>
      <w:pPr>
        <w:pStyle w:val="FootnoteText"/>
        <w:ind w:left="426" w:hanging="426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A futamidőre vonatkozó adat módosított átlagos hátralévő futamidőre utal, amely figyelembe veszi a kötvény kamatlábmozgásokkal szembeni árérzékenységét. Ez az adat azon az elven alapul, hogy az értékpapír ára és a kamatláb fordítottan arányos.</w:t>
      </w:r>
    </w:p>
  </w:footnote>
  <w:footnote w:id="14">
    <w:p>
      <w:pPr>
        <w:pStyle w:val="FootnoteText"/>
        <w:ind w:left="426" w:hanging="426"/>
        <w:jc w:val="both"/>
        <w:rPr>
          <w:rStyle w:val="FootnoteReference"/>
        </w:rPr>
      </w:pPr>
      <w:r>
        <w:rPr>
          <w:rStyle w:val="FootnoteReference"/>
        </w:rPr>
        <w:footnoteRef/>
      </w:r>
      <w:r>
        <w:tab/>
        <w:t>Az Európai Unió 2018. december 31-i pénzügyi kimutatásában foglaltak szerint; az összeg nem tartalmazza azokat a garanciaszerződéseket, amelyek rendelkezésreállási időszaka 2019-ben kezdődik, a COSME keretében végrehajtott garanciaműveletekre lekötött és nem folyósított összegeket, továbbá a sajáttőke-műveletekre lekötött és nem folyósított összegeket. Az utóbbi kategóriák bevonásával az uniós garancia által potenciálisan fedezett kintlévő (folyósított és nem folyósított) kitettség teljes összege 2,3 milliárd EUR lenne.</w:t>
      </w:r>
    </w:p>
  </w:footnote>
  <w:footnote w:id="15">
    <w:p>
      <w:pPr>
        <w:pStyle w:val="FootnoteText"/>
        <w:ind w:left="426" w:hanging="426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Lásd az </w:t>
      </w:r>
      <w:hyperlink r:id="rId1">
        <w:r>
          <w:rPr>
            <w:rStyle w:val="Hyperlink"/>
            <w:color w:val="auto"/>
            <w:u w:val="none"/>
          </w:rPr>
          <w:t>ESBA-rendelet</w:t>
        </w:r>
      </w:hyperlink>
      <w:r>
        <w:t xml:space="preserve"> 12. cikkének (5) bekezdését.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7ED"/>
    <w:multiLevelType w:val="multilevel"/>
    <w:tmpl w:val="4AD42D2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165549D1-9388-47D1-A13A-8029084C9852"/>
    <w:docVar w:name="LW_COVERPAGE_TYPE" w:val="1"/>
    <w:docVar w:name="LW_CROSSREFERENCE" w:val="{SWD(2019) 188 final}"/>
    <w:docVar w:name="LW_DocType" w:val="NORMAL"/>
    <w:docVar w:name="LW_EMISSION" w:val="2019.5.28."/>
    <w:docVar w:name="LW_EMISSION_ISODATE" w:val="2019-05-28"/>
    <w:docVar w:name="LW_EMISSION_LOCATION" w:val="BRX"/>
    <w:docVar w:name="LW_EMISSION_PREFIX" w:val="Brüsszel, "/>
    <w:docVar w:name="LW_EMISSION_SUFFIX" w:val=" "/>
    <w:docVar w:name="LW_ID_DOCTYPE_NONLW" w:val="CP-035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24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AZ EURÓPAI PARLAMENTNEK, A TANÁCSNAK ÉS A SZÁMVEV\u336?SZÉKNEK_x000b_AZ EURÓPAI STRATÉGIAI BERUHÁZÁSI ALAP GARANCIAALAPJÁNAK 2018. ÉVI KEZELÉSÉR\u336?L_x000d__x000b__x000d_"/>
    <w:docVar w:name="LW_TYPE.DOC.CP" w:val="A BIZOTTSÁG JELENTÉS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keepNext/>
      <w:keepLines/>
      <w:numPr>
        <w:ilvl w:val="1"/>
        <w:numId w:val="1"/>
      </w:numPr>
      <w:spacing w:before="200"/>
      <w:jc w:val="both"/>
      <w:outlineLvl w:val="1"/>
    </w:pPr>
    <w:rPr>
      <w:rFonts w:asciiTheme="majorHAnsi" w:eastAsiaTheme="majorEastAsia" w:hAnsiTheme="majorHAnsi" w:cstheme="majorBidi"/>
      <w:bCs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smallCaps/>
      <w:color w:val="000000" w:themeColor="text1"/>
      <w:sz w:val="26"/>
      <w:szCs w:val="26"/>
      <w:lang w:eastAsia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pPr>
      <w:widowControl/>
      <w:numPr>
        <w:numId w:val="0"/>
      </w:numPr>
      <w:autoSpaceDE/>
      <w:autoSpaceDN/>
      <w:adjustRightInd/>
      <w:spacing w:before="240" w:line="259" w:lineRule="auto"/>
      <w:outlineLvl w:val="9"/>
    </w:pPr>
    <w:rPr>
      <w:b w:val="0"/>
      <w:bCs w:val="0"/>
      <w:smallCap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widowControl/>
      <w:autoSpaceDE/>
      <w:autoSpaceDN/>
      <w:adjustRightInd/>
      <w:jc w:val="both"/>
    </w:pPr>
    <w:rPr>
      <w:rFonts w:eastAsiaTheme="minorHAnsi"/>
      <w:sz w:val="24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sz w:val="24"/>
    </w:rPr>
  </w:style>
  <w:style w:type="character" w:customStyle="1" w:styleId="TOCHeadingChar">
    <w:name w:val="TOC Heading Char"/>
    <w:basedOn w:val="Heading1Char"/>
    <w:link w:val="TOCHeading"/>
    <w:uiPriority w:val="39"/>
    <w:rPr>
      <w:rFonts w:asciiTheme="majorHAnsi" w:eastAsiaTheme="majorEastAsia" w:hAnsiTheme="majorHAnsi" w:cstheme="majorBidi"/>
      <w:b w:val="0"/>
      <w:bCs w:val="0"/>
      <w:smallCaps w:val="0"/>
      <w:color w:val="2E74B5" w:themeColor="accent1" w:themeShade="BF"/>
      <w:sz w:val="32"/>
      <w:szCs w:val="32"/>
      <w:lang w:val="hu-HU" w:eastAsia="hu-HU"/>
    </w:rPr>
  </w:style>
  <w:style w:type="character" w:customStyle="1" w:styleId="FooterCoverPageChar">
    <w:name w:val="Footer Cover Page Char"/>
    <w:basedOn w:val="TOCHeadingChar"/>
    <w:link w:val="FooterCoverPage"/>
    <w:rPr>
      <w:rFonts w:ascii="Times New Roman" w:eastAsia="Times New Roman" w:hAnsi="Times New Roman" w:cs="Times New Roman"/>
      <w:b w:val="0"/>
      <w:bCs w:val="0"/>
      <w:smallCaps w:val="0"/>
      <w:color w:val="2E74B5" w:themeColor="accent1" w:themeShade="BF"/>
      <w:sz w:val="24"/>
      <w:szCs w:val="20"/>
      <w:lang w:val="hu-HU" w:eastAsia="hu-HU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TOCHeadingChar"/>
    <w:link w:val="FooterSensitivity"/>
    <w:rPr>
      <w:rFonts w:ascii="Times New Roman" w:eastAsia="Times New Roman" w:hAnsi="Times New Roman" w:cs="Times New Roman"/>
      <w:b/>
      <w:bCs w:val="0"/>
      <w:smallCaps w:val="0"/>
      <w:color w:val="2E74B5" w:themeColor="accent1" w:themeShade="BF"/>
      <w:sz w:val="32"/>
      <w:szCs w:val="20"/>
      <w:lang w:val="hu-HU" w:eastAsia="hu-HU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  <w:rPr>
      <w:sz w:val="24"/>
    </w:rPr>
  </w:style>
  <w:style w:type="character" w:customStyle="1" w:styleId="HeaderCoverPageChar">
    <w:name w:val="Header Cover Page Char"/>
    <w:basedOn w:val="TOCHeadingChar"/>
    <w:link w:val="HeaderCoverPage"/>
    <w:rPr>
      <w:rFonts w:ascii="Times New Roman" w:eastAsia="Times New Roman" w:hAnsi="Times New Roman" w:cs="Times New Roman"/>
      <w:b w:val="0"/>
      <w:bCs w:val="0"/>
      <w:smallCaps w:val="0"/>
      <w:color w:val="2E74B5" w:themeColor="accent1" w:themeShade="BF"/>
      <w:sz w:val="24"/>
      <w:szCs w:val="20"/>
      <w:lang w:val="hu-HU" w:eastAsia="hu-HU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TOCHeadingChar"/>
    <w:link w:val="HeaderSensitivity"/>
    <w:rPr>
      <w:rFonts w:ascii="Times New Roman" w:eastAsia="Times New Roman" w:hAnsi="Times New Roman" w:cs="Times New Roman"/>
      <w:b/>
      <w:bCs w:val="0"/>
      <w:smallCaps w:val="0"/>
      <w:color w:val="2E74B5" w:themeColor="accent1" w:themeShade="BF"/>
      <w:sz w:val="32"/>
      <w:szCs w:val="20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hu-HU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keepNext/>
      <w:keepLines/>
      <w:numPr>
        <w:ilvl w:val="1"/>
        <w:numId w:val="1"/>
      </w:numPr>
      <w:spacing w:before="200"/>
      <w:jc w:val="both"/>
      <w:outlineLvl w:val="1"/>
    </w:pPr>
    <w:rPr>
      <w:rFonts w:asciiTheme="majorHAnsi" w:eastAsiaTheme="majorEastAsia" w:hAnsiTheme="majorHAnsi" w:cstheme="majorBidi"/>
      <w:bCs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smallCaps/>
      <w:color w:val="000000" w:themeColor="text1"/>
      <w:sz w:val="26"/>
      <w:szCs w:val="26"/>
      <w:lang w:eastAsia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pPr>
      <w:widowControl/>
      <w:numPr>
        <w:numId w:val="0"/>
      </w:numPr>
      <w:autoSpaceDE/>
      <w:autoSpaceDN/>
      <w:adjustRightInd/>
      <w:spacing w:before="240" w:line="259" w:lineRule="auto"/>
      <w:outlineLvl w:val="9"/>
    </w:pPr>
    <w:rPr>
      <w:b w:val="0"/>
      <w:bCs w:val="0"/>
      <w:smallCap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widowControl/>
      <w:autoSpaceDE/>
      <w:autoSpaceDN/>
      <w:adjustRightInd/>
      <w:jc w:val="both"/>
    </w:pPr>
    <w:rPr>
      <w:rFonts w:eastAsiaTheme="minorHAnsi"/>
      <w:sz w:val="24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sz w:val="24"/>
    </w:rPr>
  </w:style>
  <w:style w:type="character" w:customStyle="1" w:styleId="TOCHeadingChar">
    <w:name w:val="TOC Heading Char"/>
    <w:basedOn w:val="Heading1Char"/>
    <w:link w:val="TOCHeading"/>
    <w:uiPriority w:val="39"/>
    <w:rPr>
      <w:rFonts w:asciiTheme="majorHAnsi" w:eastAsiaTheme="majorEastAsia" w:hAnsiTheme="majorHAnsi" w:cstheme="majorBidi"/>
      <w:b w:val="0"/>
      <w:bCs w:val="0"/>
      <w:smallCaps w:val="0"/>
      <w:color w:val="2E74B5" w:themeColor="accent1" w:themeShade="BF"/>
      <w:sz w:val="32"/>
      <w:szCs w:val="32"/>
      <w:lang w:val="hu-HU" w:eastAsia="hu-HU"/>
    </w:rPr>
  </w:style>
  <w:style w:type="character" w:customStyle="1" w:styleId="FooterCoverPageChar">
    <w:name w:val="Footer Cover Page Char"/>
    <w:basedOn w:val="TOCHeadingChar"/>
    <w:link w:val="FooterCoverPage"/>
    <w:rPr>
      <w:rFonts w:ascii="Times New Roman" w:eastAsia="Times New Roman" w:hAnsi="Times New Roman" w:cs="Times New Roman"/>
      <w:b w:val="0"/>
      <w:bCs w:val="0"/>
      <w:smallCaps w:val="0"/>
      <w:color w:val="2E74B5" w:themeColor="accent1" w:themeShade="BF"/>
      <w:sz w:val="24"/>
      <w:szCs w:val="20"/>
      <w:lang w:val="hu-HU" w:eastAsia="hu-HU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TOCHeadingChar"/>
    <w:link w:val="FooterSensitivity"/>
    <w:rPr>
      <w:rFonts w:ascii="Times New Roman" w:eastAsia="Times New Roman" w:hAnsi="Times New Roman" w:cs="Times New Roman"/>
      <w:b/>
      <w:bCs w:val="0"/>
      <w:smallCaps w:val="0"/>
      <w:color w:val="2E74B5" w:themeColor="accent1" w:themeShade="BF"/>
      <w:sz w:val="32"/>
      <w:szCs w:val="20"/>
      <w:lang w:val="hu-HU" w:eastAsia="hu-HU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  <w:rPr>
      <w:sz w:val="24"/>
    </w:rPr>
  </w:style>
  <w:style w:type="character" w:customStyle="1" w:styleId="HeaderCoverPageChar">
    <w:name w:val="Header Cover Page Char"/>
    <w:basedOn w:val="TOCHeadingChar"/>
    <w:link w:val="HeaderCoverPage"/>
    <w:rPr>
      <w:rFonts w:ascii="Times New Roman" w:eastAsia="Times New Roman" w:hAnsi="Times New Roman" w:cs="Times New Roman"/>
      <w:b w:val="0"/>
      <w:bCs w:val="0"/>
      <w:smallCaps w:val="0"/>
      <w:color w:val="2E74B5" w:themeColor="accent1" w:themeShade="BF"/>
      <w:sz w:val="24"/>
      <w:szCs w:val="20"/>
      <w:lang w:val="hu-HU" w:eastAsia="hu-HU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TOCHeadingChar"/>
    <w:link w:val="HeaderSensitivity"/>
    <w:rPr>
      <w:rFonts w:ascii="Times New Roman" w:eastAsia="Times New Roman" w:hAnsi="Times New Roman" w:cs="Times New Roman"/>
      <w:b/>
      <w:bCs w:val="0"/>
      <w:smallCaps w:val="0"/>
      <w:color w:val="2E74B5" w:themeColor="accent1" w:themeShade="BF"/>
      <w:sz w:val="32"/>
      <w:szCs w:val="20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hu-HU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ata.europa.eu/eli/reg/2015/1017/2017-12-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D433FED-BBD2-485D-BAFE-ECDDDA50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2417</Words>
  <Characters>16751</Characters>
  <Application>Microsoft Office Word</Application>
  <DocSecurity>0</DocSecurity>
  <Lines>257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25</cp:revision>
  <cp:lastPrinted>2019-05-03T14:46:00Z</cp:lastPrinted>
  <dcterms:created xsi:type="dcterms:W3CDTF">2019-05-13T11:41:00Z</dcterms:created>
  <dcterms:modified xsi:type="dcterms:W3CDTF">2019-05-22T15:46:00Z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</Properties>
</file>