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58640308"/>
      <w:bookmarkStart w:id="1" w:name="_Toc358640576"/>
      <w:bookmarkStart w:id="2" w:name="_Toc358640627"/>
      <w:bookmarkStart w:id="3" w:name="_Toc358640725"/>
      <w:bookmarkStart w:id="4" w:name="_Toc385254771"/>
      <w:bookmarkStart w:id="5" w:name="_Toc415736037"/>
      <w:bookmarkStart w:id="6" w:name="_Toc415748654"/>
      <w:bookmarkStart w:id="7" w:name="_Toc417031771"/>
      <w:bookmarkStart w:id="8" w:name="_Toc449626267"/>
      <w:bookmarkStart w:id="9" w:name="_Toc449626494"/>
      <w:bookmarkStart w:id="10" w:name="_Toc477351964"/>
      <w:bookmarkStart w:id="11" w:name="_Toc477528171"/>
      <w:bookmarkStart w:id="12" w:name="_Toc477855448"/>
      <w:bookmarkStart w:id="13" w:name="_Toc3825650"/>
      <w:bookmarkStart w:id="14" w:name="_Toc449689407"/>
      <w:bookmarkStart w:id="1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CDF5F666-5749-4C7E-9D3A-5E1173AD95D3" style="width:450.75pt;height:333.75pt">
            <v:imagedata r:id="rId9" o:title=""/>
          </v:shape>
        </w:pict>
      </w:r>
    </w:p>
    <w:bookmarkEnd w:id="15"/>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rPr>
          <w:noProof/>
        </w:rPr>
      </w:pPr>
      <w:bookmarkStart w:id="16" w:name="_GoBack"/>
      <w:bookmarkEnd w:id="16"/>
    </w:p>
    <w:sdt>
      <w:sdtPr>
        <w:rPr>
          <w:rFonts w:ascii="Times New Roman" w:eastAsia="Times New Roman" w:hAnsi="Times New Roman" w:cs="Times New Roman"/>
          <w:noProof/>
          <w:color w:val="auto"/>
          <w:sz w:val="20"/>
          <w:szCs w:val="20"/>
        </w:rPr>
        <w:id w:val="-735626870"/>
        <w:docPartObj>
          <w:docPartGallery w:val="Table of Contents"/>
          <w:docPartUnique/>
        </w:docPartObj>
      </w:sdtPr>
      <w:sdtEndPr>
        <w:rPr>
          <w:b/>
          <w:bCs/>
        </w:rPr>
      </w:sdtEndPr>
      <w:sdtContent>
        <w:p>
          <w:pPr>
            <w:pStyle w:val="TOCHeading"/>
            <w:jc w:val="center"/>
            <w:rPr>
              <w:rFonts w:ascii="Times New Roman" w:hAnsi="Times New Roman" w:cs="Times New Roman"/>
              <w:smallCaps/>
              <w:noProof/>
              <w:color w:val="auto"/>
            </w:rPr>
          </w:pPr>
          <w:r>
            <w:rPr>
              <w:rFonts w:ascii="Times New Roman" w:hAnsi="Times New Roman"/>
              <w:smallCaps/>
              <w:noProof/>
              <w:color w:val="auto"/>
            </w:rPr>
            <w:t>Saturs</w:t>
          </w:r>
        </w:p>
        <w:p>
          <w:pPr>
            <w:rPr>
              <w:noProof/>
            </w:rPr>
          </w:pPr>
        </w:p>
        <w:p>
          <w:pPr>
            <w:pStyle w:val="TOC1"/>
            <w:tabs>
              <w:tab w:val="left" w:pos="440"/>
              <w:tab w:val="right" w:leader="dot" w:pos="9062"/>
            </w:tabs>
            <w:rPr>
              <w:rFonts w:asciiTheme="minorHAnsi" w:eastAsiaTheme="minorEastAsia" w:hAnsiTheme="minorHAnsi" w:cstheme="minorBidi"/>
              <w:noProof/>
              <w:sz w:val="22"/>
              <w:szCs w:val="22"/>
              <w:lang w:eastAsia="en-US" w:bidi="ar-SA"/>
            </w:rPr>
          </w:pPr>
          <w:r>
            <w:rPr>
              <w:b/>
              <w:bCs/>
              <w:smallCaps/>
              <w:noProof/>
            </w:rPr>
            <w:fldChar w:fldCharType="begin"/>
          </w:r>
          <w:r>
            <w:rPr>
              <w:b/>
              <w:bCs/>
              <w:smallCaps/>
              <w:noProof/>
            </w:rPr>
            <w:instrText xml:space="preserve"> TOC \o "1-3" \h \z \u </w:instrText>
          </w:r>
          <w:r>
            <w:rPr>
              <w:b/>
              <w:bCs/>
              <w:smallCaps/>
              <w:noProof/>
            </w:rPr>
            <w:fldChar w:fldCharType="separate"/>
          </w:r>
          <w:hyperlink w:anchor="_Toc8833106" w:history="1">
            <w:r>
              <w:rPr>
                <w:rStyle w:val="Hyperlink"/>
                <w:noProof/>
              </w:rPr>
              <w:t>1.</w:t>
            </w:r>
            <w:r>
              <w:rPr>
                <w:rFonts w:asciiTheme="minorHAnsi" w:eastAsiaTheme="minorEastAsia" w:hAnsiTheme="minorHAnsi" w:cstheme="minorBidi"/>
                <w:noProof/>
                <w:sz w:val="22"/>
                <w:szCs w:val="22"/>
                <w:lang w:eastAsia="en-US" w:bidi="ar-SA"/>
              </w:rPr>
              <w:tab/>
            </w:r>
            <w:r>
              <w:rPr>
                <w:rStyle w:val="Hyperlink"/>
                <w:noProof/>
              </w:rPr>
              <w:t>Ievads</w:t>
            </w:r>
            <w:r>
              <w:rPr>
                <w:noProof/>
                <w:webHidden/>
              </w:rPr>
              <w:tab/>
            </w:r>
            <w:r>
              <w:rPr>
                <w:noProof/>
                <w:webHidden/>
              </w:rPr>
              <w:fldChar w:fldCharType="begin"/>
            </w:r>
            <w:r>
              <w:rPr>
                <w:noProof/>
                <w:webHidden/>
              </w:rPr>
              <w:instrText xml:space="preserve"> PAGEREF _Toc8833106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US" w:bidi="ar-SA"/>
            </w:rPr>
          </w:pPr>
          <w:hyperlink w:anchor="_Toc8833107" w:history="1">
            <w:r>
              <w:rPr>
                <w:rStyle w:val="Hyperlink"/>
                <w:noProof/>
              </w:rPr>
              <w:t>2.</w:t>
            </w:r>
            <w:r>
              <w:rPr>
                <w:rFonts w:asciiTheme="minorHAnsi" w:eastAsiaTheme="minorEastAsia" w:hAnsiTheme="minorHAnsi" w:cstheme="minorBidi"/>
                <w:noProof/>
                <w:sz w:val="22"/>
                <w:szCs w:val="22"/>
                <w:lang w:eastAsia="en-US" w:bidi="ar-SA"/>
              </w:rPr>
              <w:tab/>
            </w:r>
            <w:r>
              <w:rPr>
                <w:rStyle w:val="Hyperlink"/>
                <w:noProof/>
              </w:rPr>
              <w:t>Darbības konteksts</w:t>
            </w:r>
            <w:r>
              <w:rPr>
                <w:noProof/>
                <w:webHidden/>
              </w:rPr>
              <w:tab/>
            </w:r>
            <w:r>
              <w:rPr>
                <w:noProof/>
                <w:webHidden/>
              </w:rPr>
              <w:fldChar w:fldCharType="begin"/>
            </w:r>
            <w:r>
              <w:rPr>
                <w:noProof/>
                <w:webHidden/>
              </w:rPr>
              <w:instrText xml:space="preserve"> PAGEREF _Toc8833107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US" w:bidi="ar-SA"/>
            </w:rPr>
          </w:pPr>
          <w:hyperlink w:anchor="_Toc8833108" w:history="1">
            <w:r>
              <w:rPr>
                <w:rStyle w:val="Hyperlink"/>
                <w:noProof/>
              </w:rPr>
              <w:t>3.</w:t>
            </w:r>
            <w:r>
              <w:rPr>
                <w:rFonts w:asciiTheme="minorHAnsi" w:eastAsiaTheme="minorEastAsia" w:hAnsiTheme="minorHAnsi" w:cstheme="minorBidi"/>
                <w:noProof/>
                <w:sz w:val="22"/>
                <w:szCs w:val="22"/>
                <w:lang w:eastAsia="en-US" w:bidi="ar-SA"/>
              </w:rPr>
              <w:tab/>
            </w:r>
            <w:r>
              <w:rPr>
                <w:rStyle w:val="Hyperlink"/>
                <w:noProof/>
              </w:rPr>
              <w:t>Finanšu konti un būtiski budžeta darījumi 2018. gadā</w:t>
            </w:r>
            <w:r>
              <w:rPr>
                <w:noProof/>
                <w:webHidden/>
              </w:rPr>
              <w:tab/>
            </w:r>
            <w:r>
              <w:rPr>
                <w:noProof/>
                <w:webHidden/>
              </w:rPr>
              <w:fldChar w:fldCharType="begin"/>
            </w:r>
            <w:r>
              <w:rPr>
                <w:noProof/>
                <w:webHidden/>
              </w:rPr>
              <w:instrText xml:space="preserve"> PAGEREF _Toc8833108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09" w:history="1">
            <w:r>
              <w:rPr>
                <w:rStyle w:val="Hyperlink"/>
                <w:noProof/>
              </w:rPr>
              <w:t>3.1.</w:t>
            </w:r>
            <w:r>
              <w:rPr>
                <w:rFonts w:asciiTheme="minorHAnsi" w:eastAsiaTheme="minorEastAsia" w:hAnsiTheme="minorHAnsi" w:cstheme="minorBidi"/>
                <w:noProof/>
                <w:sz w:val="22"/>
                <w:szCs w:val="22"/>
                <w:lang w:eastAsia="en-US" w:bidi="ar-SA"/>
              </w:rPr>
              <w:tab/>
            </w:r>
            <w:r>
              <w:rPr>
                <w:rStyle w:val="Hyperlink"/>
                <w:noProof/>
              </w:rPr>
              <w:t>ESIF GF finanšu pārskati līdz 2018. gada 31. decembrim</w:t>
            </w:r>
            <w:r>
              <w:rPr>
                <w:noProof/>
                <w:webHidden/>
              </w:rPr>
              <w:tab/>
            </w:r>
            <w:r>
              <w:rPr>
                <w:noProof/>
                <w:webHidden/>
              </w:rPr>
              <w:fldChar w:fldCharType="begin"/>
            </w:r>
            <w:r>
              <w:rPr>
                <w:noProof/>
                <w:webHidden/>
              </w:rPr>
              <w:instrText xml:space="preserve"> PAGEREF _Toc8833109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0" w:history="1">
            <w:r>
              <w:rPr>
                <w:rStyle w:val="Hyperlink"/>
                <w:noProof/>
              </w:rPr>
              <w:t>3.2.</w:t>
            </w:r>
            <w:r>
              <w:rPr>
                <w:rFonts w:asciiTheme="minorHAnsi" w:eastAsiaTheme="minorEastAsia" w:hAnsiTheme="minorHAnsi" w:cstheme="minorBidi"/>
                <w:noProof/>
                <w:sz w:val="22"/>
                <w:szCs w:val="22"/>
                <w:lang w:eastAsia="en-US" w:bidi="ar-SA"/>
              </w:rPr>
              <w:tab/>
            </w:r>
            <w:r>
              <w:rPr>
                <w:rStyle w:val="Hyperlink"/>
                <w:noProof/>
              </w:rPr>
              <w:t>ESIF operācijas, kam piešķirts ES galvojums</w:t>
            </w:r>
            <w:r>
              <w:rPr>
                <w:noProof/>
                <w:webHidden/>
              </w:rPr>
              <w:tab/>
            </w:r>
            <w:r>
              <w:rPr>
                <w:noProof/>
                <w:webHidden/>
              </w:rPr>
              <w:fldChar w:fldCharType="begin"/>
            </w:r>
            <w:r>
              <w:rPr>
                <w:noProof/>
                <w:webHidden/>
              </w:rPr>
              <w:instrText xml:space="preserve"> PAGEREF _Toc8833110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1" w:history="1">
            <w:r>
              <w:rPr>
                <w:rStyle w:val="Hyperlink"/>
                <w:noProof/>
              </w:rPr>
              <w:t>3.3.</w:t>
            </w:r>
            <w:r>
              <w:rPr>
                <w:rFonts w:asciiTheme="minorHAnsi" w:eastAsiaTheme="minorEastAsia" w:hAnsiTheme="minorHAnsi" w:cstheme="minorBidi"/>
                <w:noProof/>
                <w:sz w:val="22"/>
                <w:szCs w:val="22"/>
                <w:lang w:eastAsia="en-US" w:bidi="ar-SA"/>
              </w:rPr>
              <w:tab/>
            </w:r>
            <w:r>
              <w:rPr>
                <w:rStyle w:val="Hyperlink"/>
                <w:noProof/>
              </w:rPr>
              <w:t>ESIF GF finansēšana</w:t>
            </w:r>
            <w:r>
              <w:rPr>
                <w:noProof/>
                <w:webHidden/>
              </w:rPr>
              <w:tab/>
            </w:r>
            <w:r>
              <w:rPr>
                <w:noProof/>
                <w:webHidden/>
              </w:rPr>
              <w:fldChar w:fldCharType="begin"/>
            </w:r>
            <w:r>
              <w:rPr>
                <w:noProof/>
                <w:webHidden/>
              </w:rPr>
              <w:instrText xml:space="preserve"> PAGEREF _Toc8833111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2" w:history="1">
            <w:r>
              <w:rPr>
                <w:rStyle w:val="Hyperlink"/>
                <w:noProof/>
              </w:rPr>
              <w:t>3.4.</w:t>
            </w:r>
            <w:r>
              <w:rPr>
                <w:rFonts w:asciiTheme="minorHAnsi" w:eastAsiaTheme="minorEastAsia" w:hAnsiTheme="minorHAnsi" w:cstheme="minorBidi"/>
                <w:noProof/>
                <w:sz w:val="22"/>
                <w:szCs w:val="22"/>
                <w:lang w:eastAsia="en-US" w:bidi="ar-SA"/>
              </w:rPr>
              <w:tab/>
            </w:r>
            <w:r>
              <w:rPr>
                <w:rStyle w:val="Hyperlink"/>
                <w:noProof/>
              </w:rPr>
              <w:t>ES galvojuma pieprasījumi un izmantojums</w:t>
            </w:r>
            <w:r>
              <w:rPr>
                <w:noProof/>
                <w:webHidden/>
              </w:rPr>
              <w:tab/>
            </w:r>
            <w:r>
              <w:rPr>
                <w:noProof/>
                <w:webHidden/>
              </w:rPr>
              <w:fldChar w:fldCharType="begin"/>
            </w:r>
            <w:r>
              <w:rPr>
                <w:noProof/>
                <w:webHidden/>
              </w:rPr>
              <w:instrText xml:space="preserve"> PAGEREF _Toc8833112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US" w:bidi="ar-SA"/>
            </w:rPr>
          </w:pPr>
          <w:hyperlink w:anchor="_Toc8833113" w:history="1">
            <w:r>
              <w:rPr>
                <w:rStyle w:val="Hyperlink"/>
                <w:noProof/>
              </w:rPr>
              <w:t>4.</w:t>
            </w:r>
            <w:r>
              <w:rPr>
                <w:rFonts w:asciiTheme="minorHAnsi" w:eastAsiaTheme="minorEastAsia" w:hAnsiTheme="minorHAnsi" w:cstheme="minorBidi"/>
                <w:noProof/>
                <w:sz w:val="22"/>
                <w:szCs w:val="22"/>
                <w:lang w:eastAsia="en-US" w:bidi="ar-SA"/>
              </w:rPr>
              <w:tab/>
            </w:r>
            <w:r>
              <w:rPr>
                <w:rStyle w:val="Hyperlink"/>
                <w:noProof/>
              </w:rPr>
              <w:t>ESIF GF pārvaldība 2018. gadā</w:t>
            </w:r>
            <w:r>
              <w:rPr>
                <w:noProof/>
                <w:webHidden/>
              </w:rPr>
              <w:tab/>
            </w:r>
            <w:r>
              <w:rPr>
                <w:noProof/>
                <w:webHidden/>
              </w:rPr>
              <w:fldChar w:fldCharType="begin"/>
            </w:r>
            <w:r>
              <w:rPr>
                <w:noProof/>
                <w:webHidden/>
              </w:rPr>
              <w:instrText xml:space="preserve"> PAGEREF _Toc8833113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4" w:history="1">
            <w:r>
              <w:rPr>
                <w:rStyle w:val="Hyperlink"/>
                <w:noProof/>
              </w:rPr>
              <w:t>4.1.</w:t>
            </w:r>
            <w:r>
              <w:rPr>
                <w:rFonts w:asciiTheme="minorHAnsi" w:eastAsiaTheme="minorEastAsia" w:hAnsiTheme="minorHAnsi" w:cstheme="minorBidi"/>
                <w:noProof/>
                <w:sz w:val="22"/>
                <w:szCs w:val="22"/>
                <w:lang w:eastAsia="en-US" w:bidi="ar-SA"/>
              </w:rPr>
              <w:tab/>
            </w:r>
            <w:r>
              <w:rPr>
                <w:rStyle w:val="Hyperlink"/>
                <w:noProof/>
              </w:rPr>
              <w:t>Finanšu pārvaldība</w:t>
            </w:r>
            <w:r>
              <w:rPr>
                <w:noProof/>
                <w:webHidden/>
              </w:rPr>
              <w:tab/>
            </w:r>
            <w:r>
              <w:rPr>
                <w:noProof/>
                <w:webHidden/>
              </w:rPr>
              <w:fldChar w:fldCharType="begin"/>
            </w:r>
            <w:r>
              <w:rPr>
                <w:noProof/>
                <w:webHidden/>
              </w:rPr>
              <w:instrText xml:space="preserve"> PAGEREF _Toc8833114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5" w:history="1">
            <w:r>
              <w:rPr>
                <w:rStyle w:val="Hyperlink"/>
                <w:noProof/>
              </w:rPr>
              <w:t>4.2.</w:t>
            </w:r>
            <w:r>
              <w:rPr>
                <w:rFonts w:asciiTheme="minorHAnsi" w:eastAsiaTheme="minorEastAsia" w:hAnsiTheme="minorHAnsi" w:cstheme="minorBidi"/>
                <w:noProof/>
                <w:sz w:val="22"/>
                <w:szCs w:val="22"/>
                <w:lang w:eastAsia="en-US" w:bidi="ar-SA"/>
              </w:rPr>
              <w:tab/>
            </w:r>
            <w:r>
              <w:rPr>
                <w:rStyle w:val="Hyperlink"/>
                <w:noProof/>
              </w:rPr>
              <w:t>Tirgus attīstība 2018. gadā</w:t>
            </w:r>
            <w:r>
              <w:rPr>
                <w:noProof/>
                <w:webHidden/>
              </w:rPr>
              <w:tab/>
            </w:r>
            <w:r>
              <w:rPr>
                <w:noProof/>
                <w:webHidden/>
              </w:rPr>
              <w:fldChar w:fldCharType="begin"/>
            </w:r>
            <w:r>
              <w:rPr>
                <w:noProof/>
                <w:webHidden/>
              </w:rPr>
              <w:instrText xml:space="preserve"> PAGEREF _Toc8833115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6" w:history="1">
            <w:r>
              <w:rPr>
                <w:rStyle w:val="Hyperlink"/>
                <w:noProof/>
              </w:rPr>
              <w:t>4.3.</w:t>
            </w:r>
            <w:r>
              <w:rPr>
                <w:rFonts w:asciiTheme="minorHAnsi" w:eastAsiaTheme="minorEastAsia" w:hAnsiTheme="minorHAnsi" w:cstheme="minorBidi"/>
                <w:noProof/>
                <w:sz w:val="22"/>
                <w:szCs w:val="22"/>
                <w:lang w:eastAsia="en-US" w:bidi="ar-SA"/>
              </w:rPr>
              <w:tab/>
            </w:r>
            <w:r>
              <w:rPr>
                <w:rStyle w:val="Hyperlink"/>
                <w:noProof/>
              </w:rPr>
              <w:t>Portfeļa sastāvs un galvenās riska iezīmes</w:t>
            </w:r>
            <w:r>
              <w:rPr>
                <w:noProof/>
                <w:webHidden/>
              </w:rPr>
              <w:tab/>
            </w:r>
            <w:r>
              <w:rPr>
                <w:noProof/>
                <w:webHidden/>
              </w:rPr>
              <w:fldChar w:fldCharType="begin"/>
            </w:r>
            <w:r>
              <w:rPr>
                <w:noProof/>
                <w:webHidden/>
              </w:rPr>
              <w:instrText xml:space="preserve"> PAGEREF _Toc8833116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en-US" w:bidi="ar-SA"/>
            </w:rPr>
          </w:pPr>
          <w:hyperlink w:anchor="_Toc8833117" w:history="1">
            <w:r>
              <w:rPr>
                <w:rStyle w:val="Hyperlink"/>
                <w:noProof/>
              </w:rPr>
              <w:t>4.4.</w:t>
            </w:r>
            <w:r>
              <w:rPr>
                <w:rFonts w:asciiTheme="minorHAnsi" w:eastAsiaTheme="minorEastAsia" w:hAnsiTheme="minorHAnsi" w:cstheme="minorBidi"/>
                <w:noProof/>
                <w:sz w:val="22"/>
                <w:szCs w:val="22"/>
                <w:lang w:eastAsia="en-US" w:bidi="ar-SA"/>
              </w:rPr>
              <w:tab/>
            </w:r>
            <w:r>
              <w:rPr>
                <w:rStyle w:val="Hyperlink"/>
                <w:noProof/>
              </w:rPr>
              <w:t>Darbības rezultāti</w:t>
            </w:r>
            <w:r>
              <w:rPr>
                <w:noProof/>
                <w:webHidden/>
              </w:rPr>
              <w:tab/>
            </w:r>
            <w:r>
              <w:rPr>
                <w:noProof/>
                <w:webHidden/>
              </w:rPr>
              <w:fldChar w:fldCharType="begin"/>
            </w:r>
            <w:r>
              <w:rPr>
                <w:noProof/>
                <w:webHidden/>
              </w:rPr>
              <w:instrText xml:space="preserve"> PAGEREF _Toc8833117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en-US" w:bidi="ar-SA"/>
            </w:rPr>
          </w:pPr>
          <w:hyperlink w:anchor="_Toc8833118" w:history="1">
            <w:r>
              <w:rPr>
                <w:rStyle w:val="Hyperlink"/>
                <w:noProof/>
              </w:rPr>
              <w:t>5.</w:t>
            </w:r>
            <w:r>
              <w:rPr>
                <w:rFonts w:asciiTheme="minorHAnsi" w:eastAsiaTheme="minorEastAsia" w:hAnsiTheme="minorHAnsi" w:cstheme="minorBidi"/>
                <w:noProof/>
                <w:sz w:val="22"/>
                <w:szCs w:val="22"/>
                <w:lang w:eastAsia="en-US" w:bidi="ar-SA"/>
              </w:rPr>
              <w:tab/>
            </w:r>
            <w:r>
              <w:rPr>
                <w:rStyle w:val="Hyperlink"/>
                <w:noProof/>
              </w:rPr>
              <w:t>Mērķapjoma pietiekamības un ESIF GF līmeņa novērtējums</w:t>
            </w:r>
            <w:r>
              <w:rPr>
                <w:noProof/>
                <w:webHidden/>
              </w:rPr>
              <w:tab/>
            </w:r>
            <w:r>
              <w:rPr>
                <w:noProof/>
                <w:webHidden/>
              </w:rPr>
              <w:fldChar w:fldCharType="begin"/>
            </w:r>
            <w:r>
              <w:rPr>
                <w:noProof/>
                <w:webHidden/>
              </w:rPr>
              <w:instrText xml:space="preserve"> PAGEREF _Toc8833118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rPr>
          </w:pPr>
          <w:r>
            <w:rPr>
              <w:b/>
              <w:bCs/>
              <w:smallCaps/>
              <w:noProof/>
            </w:rPr>
            <w:fldChar w:fldCharType="end"/>
          </w:r>
        </w:p>
      </w:sdtContent>
    </w:sdt>
    <w:p>
      <w:pPr>
        <w:rPr>
          <w:noProof/>
        </w:rPr>
      </w:pPr>
      <w:r>
        <w:rPr>
          <w:noProof/>
        </w:rPr>
        <w:br w:type="page"/>
      </w:r>
    </w:p>
    <w:p>
      <w:pPr>
        <w:pStyle w:val="Heading1"/>
        <w:rPr>
          <w:rFonts w:ascii="Times New Roman" w:hAnsi="Times New Roman" w:cs="Times New Roman"/>
          <w:noProof/>
        </w:rPr>
      </w:pPr>
      <w:bookmarkStart w:id="17" w:name="_Toc7794400"/>
      <w:bookmarkStart w:id="18" w:name="_Toc8833106"/>
      <w:r>
        <w:rPr>
          <w:rFonts w:ascii="Times New Roman" w:hAnsi="Times New Roman"/>
          <w:noProof/>
        </w:rPr>
        <w:t>Ievads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bookmarkEnd w:id="18"/>
    </w:p>
    <w:bookmarkEnd w:id="14"/>
    <w:p>
      <w:pPr>
        <w:spacing w:before="240" w:after="240"/>
        <w:jc w:val="both"/>
        <w:rPr>
          <w:noProof/>
          <w:sz w:val="24"/>
          <w:szCs w:val="24"/>
        </w:rPr>
      </w:pPr>
      <w:r>
        <w:rPr>
          <w:noProof/>
          <w:sz w:val="24"/>
        </w:rPr>
        <w:t>Šā ziņojuma juridiskais pamats ir Eiropas Parlamenta un Padomes 2015. gada 25. jūnija Regula (ES) 2015/1017 par Eiropas Stratēģisko investīciju fondu, Eiropas Investīciju konsultāciju centru un Eiropas Investīciju projektu portālu, ar ko groza Regulas (ES) Nr. 1291/2013 un (ES) Nr. 1316/2013 — Eiropas Stratēģisko investīciju fonds</w:t>
      </w:r>
      <w:r>
        <w:rPr>
          <w:noProof/>
          <w:sz w:val="24"/>
          <w:vertAlign w:val="superscript"/>
        </w:rPr>
        <w:footnoteReference w:id="1"/>
      </w:r>
      <w:r>
        <w:rPr>
          <w:noProof/>
          <w:sz w:val="24"/>
        </w:rPr>
        <w:t xml:space="preserve"> (“ESIF regula”). ESIF regulā tika izdarīti grozījumi ar Eiropas Parlamenta un Padomes 2017. gada 13. decembra Regulu (ES) 2017/2396 attiecībā uz Eiropas Stratēģisko investīciju fonda termiņa pagarināšanu, kā arī minētā fonda un Eiropas Investīciju konsultāciju centra tehnisku uzlabojumu ieviešanu</w:t>
      </w:r>
      <w:r>
        <w:rPr>
          <w:rStyle w:val="FootnoteReference"/>
          <w:noProof/>
          <w:sz w:val="24"/>
        </w:rPr>
        <w:footnoteReference w:id="2"/>
      </w:r>
      <w:r>
        <w:rPr>
          <w:noProof/>
          <w:sz w:val="24"/>
        </w:rPr>
        <w:t xml:space="preserve"> (“ESIF 2.0 grozījums”). Ar ESIF 2.0 grozījumu cita starpā tika palielināts Eiropas Savienības (“ES”) galvojuma apjoms un pielāgots mērķapjoms. Eiropas Komisija un Eiropas Investīciju banka (“EIB”) Nolīgumu par ESIF pārvaldību un par ES galvojuma piešķiršanu (“ESIF nolīgums”) parakstīja 2015. gada 22. jūlijā, bet grozīja un pārstrādāja 2016. gada 21. jūlijā, 2017. gada 21. novembrī, 2018. gada 9. martā un 2018. gada 20. decembrī.</w:t>
      </w:r>
    </w:p>
    <w:p>
      <w:pPr>
        <w:spacing w:before="240" w:after="240"/>
        <w:jc w:val="both"/>
        <w:rPr>
          <w:noProof/>
          <w:sz w:val="24"/>
          <w:szCs w:val="24"/>
        </w:rPr>
      </w:pPr>
      <w:r>
        <w:rPr>
          <w:noProof/>
          <w:sz w:val="24"/>
        </w:rPr>
        <w:t>ESIF regulas 16. panta 6. punktā noteikts, ka Komisija katru gadu līdz 31. maijam iesniedz Eiropas Parlamentam, Padomei un Revīzijas palātai gada ziņojumu</w:t>
      </w:r>
      <w:r>
        <w:rPr>
          <w:rStyle w:val="FootnoteReference"/>
          <w:noProof/>
          <w:sz w:val="24"/>
        </w:rPr>
        <w:footnoteReference w:id="3"/>
      </w:r>
      <w:r>
        <w:rPr>
          <w:noProof/>
          <w:sz w:val="24"/>
        </w:rPr>
        <w:t xml:space="preserve"> par ESIF galvojuma fonda (“ESIF GF”) pārvaldību iepriekšējā kalendārajā gadā, ietverot novērtējumu par mērķapjoma pietiekamību un ESIF GF līmeni, kā arī nepieciešamību to papildināt. Šajā gada ziņojumā ietver informāciju par ESIF GF finanšu stāvokli iepriekšējā kalendārā gada beigās, finanšu plūsmām iepriekšējā kalendārajā gadā, kā arī būtiskiem darījumiem un jebkādu būtisku informāciju par finanšu kontiem. Ziņojumā ietver arī informāciju par finanšu pārvaldību, darbības rezultātiem un ESIF GF risku iepriekšējā kalendārā gada beigās.</w:t>
      </w:r>
    </w:p>
    <w:p>
      <w:pPr>
        <w:pStyle w:val="Heading1"/>
        <w:rPr>
          <w:rFonts w:ascii="Times New Roman" w:hAnsi="Times New Roman" w:cs="Times New Roman"/>
          <w:noProof/>
        </w:rPr>
      </w:pPr>
      <w:bookmarkStart w:id="19" w:name="_Toc449689408"/>
      <w:bookmarkStart w:id="20" w:name="_Toc477351965"/>
      <w:bookmarkStart w:id="21" w:name="_Toc477528172"/>
      <w:bookmarkStart w:id="22" w:name="_Toc477855449"/>
      <w:bookmarkStart w:id="23" w:name="_Toc3825651"/>
      <w:bookmarkStart w:id="24" w:name="_Toc7794401"/>
      <w:bookmarkStart w:id="25" w:name="_Toc8833107"/>
      <w:r>
        <w:rPr>
          <w:rFonts w:ascii="Times New Roman" w:hAnsi="Times New Roman"/>
          <w:noProof/>
        </w:rPr>
        <w:t>Darbības konteksts</w:t>
      </w:r>
      <w:bookmarkEnd w:id="19"/>
      <w:bookmarkEnd w:id="20"/>
      <w:bookmarkEnd w:id="21"/>
      <w:bookmarkEnd w:id="22"/>
      <w:bookmarkEnd w:id="23"/>
      <w:bookmarkEnd w:id="24"/>
      <w:bookmarkEnd w:id="25"/>
    </w:p>
    <w:p>
      <w:pPr>
        <w:spacing w:before="240" w:after="240"/>
        <w:jc w:val="both"/>
        <w:rPr>
          <w:noProof/>
          <w:sz w:val="24"/>
          <w:szCs w:val="24"/>
        </w:rPr>
      </w:pPr>
      <w:r>
        <w:rPr>
          <w:noProof/>
          <w:sz w:val="24"/>
        </w:rPr>
        <w:t>ES galvojums</w:t>
      </w:r>
      <w:r>
        <w:rPr>
          <w:rStyle w:val="FootnoteReference"/>
          <w:noProof/>
          <w:sz w:val="24"/>
        </w:rPr>
        <w:footnoteReference w:id="4"/>
      </w:r>
      <w:r>
        <w:rPr>
          <w:noProof/>
          <w:sz w:val="24"/>
        </w:rPr>
        <w:t xml:space="preserve"> sedz finansēšanas un investīciju operācijas, kuras EIB parakstījusi infrastruktūras un inovācijas klases (“IIK”) galvenās daļas ietvaros un kuras Eiropas Investīciju fonds (“EIF”) parakstījis mazo un vidējo uzņēmumu (“MVU”) klases (“MVUK”) un MVU / vidēji liela kapitāla uzņēmumu fonda investīciju IIK apakšklases ietvaros. Daļu no visām ESIF operācijām sedz ES galvojums, bet daļa tiek veikta, EIB grupai pašai uzņemoties risku</w:t>
      </w:r>
      <w:r>
        <w:rPr>
          <w:rStyle w:val="FootnoteReference"/>
          <w:noProof/>
          <w:sz w:val="24"/>
        </w:rPr>
        <w:footnoteReference w:id="5"/>
      </w:r>
      <w:r>
        <w:rPr>
          <w:noProof/>
          <w:sz w:val="24"/>
        </w:rPr>
        <w:t>.</w:t>
      </w:r>
    </w:p>
    <w:p>
      <w:pPr>
        <w:spacing w:before="240" w:after="240"/>
        <w:jc w:val="both"/>
        <w:rPr>
          <w:noProof/>
          <w:sz w:val="24"/>
          <w:szCs w:val="24"/>
        </w:rPr>
      </w:pPr>
      <w:r>
        <w:rPr>
          <w:noProof/>
          <w:sz w:val="24"/>
        </w:rPr>
        <w:t xml:space="preserve">Saskaņā ar ESIF regulas 12. pantu ESIF GF ir likviditātes rezerve, no kuras EIB saņem maksājumu gadījumā, ja tiek pieprasīts izmantot ES galvojumu. Saskaņā ar ESIF nolīgumu starp ES un EIB pieprasījumus maksā no ESIF GF, ja to summa pārsniedz līdzekļus, kuri ir EIB rīcībā ESIF kontā. ESIF konts, ko pārvalda EIB, ir izveidots, lai iekasētu ES ieņēmumus un atgūtās summas, kuras izriet no ESIF operācijām, kam piešķirts ES galvojums, un — ciktāl to pieļauj pieejamais atlikums — veiktu pieprasījumu maksājumus saskaņā ar ES galvojumu. </w:t>
      </w:r>
    </w:p>
    <w:p>
      <w:pPr>
        <w:spacing w:before="240" w:after="240"/>
        <w:jc w:val="both"/>
        <w:rPr>
          <w:noProof/>
          <w:sz w:val="24"/>
          <w:szCs w:val="24"/>
        </w:rPr>
      </w:pPr>
      <w:r>
        <w:rPr>
          <w:noProof/>
          <w:sz w:val="24"/>
        </w:rPr>
        <w:t>ESIF GF finansē pakāpeniski, ņemot vērā to riska darījumu pieaugumu, ko sedz ES galvojums.</w:t>
      </w:r>
    </w:p>
    <w:p>
      <w:pPr>
        <w:spacing w:before="240" w:after="240"/>
        <w:jc w:val="both"/>
        <w:rPr>
          <w:noProof/>
          <w:sz w:val="24"/>
          <w:szCs w:val="24"/>
        </w:rPr>
      </w:pPr>
      <w:r>
        <w:rPr>
          <w:noProof/>
          <w:sz w:val="24"/>
        </w:rPr>
        <w:t>Saskaņā ar 12. panta 4. punktu ESIF GF līdzekļus tieši pārvalda Komisija, un tos investē saskaņā ar pareizas finanšu pārvaldības principu, ievērojot attiecīgus prudenciālos noteikumos.</w:t>
      </w:r>
    </w:p>
    <w:p>
      <w:pPr>
        <w:spacing w:before="240" w:after="240"/>
        <w:jc w:val="both"/>
        <w:rPr>
          <w:noProof/>
          <w:sz w:val="24"/>
          <w:szCs w:val="24"/>
        </w:rPr>
      </w:pPr>
      <w:r>
        <w:rPr>
          <w:noProof/>
          <w:sz w:val="24"/>
        </w:rPr>
        <w:t>EIB un EIF ir atbildīgi par to individuālo operāciju riska novērtēšanu un uzraudzību, kuras sedz ES galvojums. Pamatojoties uz šo ziņojumu un saskaņotiem un piesardzīgiem pieņēmumiem par turpmākām darbībām, Komisija nodrošina pārskatāmā mērķapjoma pietiekamību un ESIF GF līmeni. Saskaņā ar ESIF regulas 16. panta 3. punktu EIB un EIF 2019. gada martā iesniedza Komisijai un Revīzijas palātai nepieciešamo informāciju.</w:t>
      </w:r>
    </w:p>
    <w:p>
      <w:pPr>
        <w:spacing w:before="240" w:after="240"/>
        <w:jc w:val="both"/>
        <w:rPr>
          <w:noProof/>
          <w:sz w:val="24"/>
          <w:szCs w:val="24"/>
        </w:rPr>
      </w:pPr>
      <w:r>
        <w:rPr>
          <w:noProof/>
          <w:sz w:val="24"/>
        </w:rPr>
        <w:t>Saskaņā ar ESIF regulas 16. panta 2. punktu EIB gada ziņojumā Eiropas Parlamentam un Padomei iekļauj konkrētu informāciju par kopējo risku, kas saistīts ar finansēšanas un investīciju operācijām, kuras veiktas saskaņā ar ESIF, kā arī par galvojumu pieprasījumiem.</w:t>
      </w:r>
    </w:p>
    <w:p>
      <w:pPr>
        <w:pStyle w:val="Heading1"/>
        <w:rPr>
          <w:rFonts w:ascii="Times New Roman" w:hAnsi="Times New Roman" w:cs="Times New Roman"/>
          <w:noProof/>
        </w:rPr>
      </w:pPr>
      <w:bookmarkStart w:id="26" w:name="_Toc449686525"/>
      <w:bookmarkStart w:id="27" w:name="_Toc449686556"/>
      <w:bookmarkStart w:id="28" w:name="_Toc449689409"/>
      <w:bookmarkStart w:id="29" w:name="_Toc449686526"/>
      <w:bookmarkStart w:id="30" w:name="_Toc449686557"/>
      <w:bookmarkStart w:id="31" w:name="_Toc449689410"/>
      <w:bookmarkStart w:id="32" w:name="_Toc449689411"/>
      <w:bookmarkStart w:id="33" w:name="_Toc477351966"/>
      <w:bookmarkStart w:id="34" w:name="_Toc477528173"/>
      <w:bookmarkStart w:id="35" w:name="_Toc477855450"/>
      <w:bookmarkStart w:id="36" w:name="_Toc3825652"/>
      <w:bookmarkStart w:id="37" w:name="_Toc7794402"/>
      <w:bookmarkStart w:id="38" w:name="_Toc8833108"/>
      <w:bookmarkEnd w:id="26"/>
      <w:bookmarkEnd w:id="27"/>
      <w:bookmarkEnd w:id="28"/>
      <w:bookmarkEnd w:id="29"/>
      <w:bookmarkEnd w:id="30"/>
      <w:bookmarkEnd w:id="31"/>
      <w:r>
        <w:rPr>
          <w:rFonts w:ascii="Times New Roman" w:hAnsi="Times New Roman"/>
          <w:noProof/>
        </w:rPr>
        <w:t>Finanšu konti</w:t>
      </w:r>
      <w:bookmarkEnd w:id="32"/>
      <w:bookmarkEnd w:id="33"/>
      <w:bookmarkEnd w:id="34"/>
      <w:bookmarkEnd w:id="35"/>
      <w:r>
        <w:rPr>
          <w:rFonts w:ascii="Times New Roman" w:hAnsi="Times New Roman"/>
          <w:noProof/>
        </w:rPr>
        <w:t xml:space="preserve"> un būtiski budžeta darījumi 2018. gadā</w:t>
      </w:r>
      <w:bookmarkEnd w:id="36"/>
      <w:bookmarkEnd w:id="37"/>
      <w:bookmarkEnd w:id="38"/>
    </w:p>
    <w:p>
      <w:pPr>
        <w:spacing w:before="240" w:after="240"/>
        <w:jc w:val="both"/>
        <w:rPr>
          <w:noProof/>
          <w:sz w:val="24"/>
          <w:szCs w:val="24"/>
        </w:rPr>
      </w:pPr>
      <w:bookmarkStart w:id="39" w:name="_Toc449689413"/>
      <w:bookmarkStart w:id="40" w:name="_Toc449689414"/>
      <w:bookmarkEnd w:id="39"/>
      <w:r>
        <w:rPr>
          <w:noProof/>
          <w:sz w:val="24"/>
        </w:rPr>
        <w:t>Turpmāk sniegtā finanšu informācija par ESIF ir sadalīta četrās daļās: 1) ESIF GF finanšu stāvoklis 2018. gada 31. decembrī, 2) ESIF operācijas, kam piešķirts ES galvojums un ko EIB grupa veikusi līdz 2018. gada 31. decembrim, 3) ESIF GF finansēšana un 4) ES galvojuma pieprasījumi un izmantojums.</w:t>
      </w:r>
    </w:p>
    <w:p>
      <w:pPr>
        <w:pStyle w:val="Heading2"/>
        <w:rPr>
          <w:rFonts w:ascii="Times New Roman" w:hAnsi="Times New Roman" w:cs="Times New Roman"/>
          <w:noProof/>
        </w:rPr>
      </w:pPr>
      <w:r>
        <w:rPr>
          <w:rFonts w:ascii="Times New Roman" w:hAnsi="Times New Roman"/>
          <w:noProof/>
        </w:rPr>
        <w:t xml:space="preserve"> </w:t>
      </w:r>
      <w:bookmarkStart w:id="41" w:name="_Toc477528174"/>
      <w:bookmarkStart w:id="42" w:name="_Toc477855451"/>
      <w:bookmarkStart w:id="43" w:name="_Toc3825653"/>
      <w:bookmarkStart w:id="44" w:name="_Toc7794403"/>
      <w:bookmarkStart w:id="45" w:name="_Toc8833109"/>
      <w:r>
        <w:rPr>
          <w:rFonts w:ascii="Times New Roman" w:hAnsi="Times New Roman"/>
          <w:noProof/>
        </w:rPr>
        <w:t xml:space="preserve">ESIF GF finanšu pārskati līdz 2018. gada </w:t>
      </w:r>
      <w:bookmarkEnd w:id="41"/>
      <w:bookmarkEnd w:id="42"/>
      <w:r>
        <w:rPr>
          <w:rFonts w:ascii="Times New Roman" w:hAnsi="Times New Roman"/>
          <w:noProof/>
        </w:rPr>
        <w:t>31. decembrim</w:t>
      </w:r>
      <w:bookmarkEnd w:id="43"/>
      <w:bookmarkEnd w:id="44"/>
      <w:bookmarkEnd w:id="45"/>
    </w:p>
    <w:p>
      <w:pPr>
        <w:spacing w:before="240" w:after="240"/>
        <w:jc w:val="both"/>
        <w:rPr>
          <w:noProof/>
          <w:sz w:val="24"/>
          <w:szCs w:val="24"/>
        </w:rPr>
      </w:pPr>
      <w:r>
        <w:rPr>
          <w:noProof/>
          <w:sz w:val="24"/>
        </w:rPr>
        <w:t>ESIF GF kopējie aktīvi</w:t>
      </w:r>
      <w:r>
        <w:rPr>
          <w:rStyle w:val="FootnoteReference"/>
          <w:noProof/>
        </w:rPr>
        <w:footnoteReference w:id="6"/>
      </w:r>
      <w:r>
        <w:rPr>
          <w:noProof/>
          <w:sz w:val="24"/>
        </w:rPr>
        <w:t xml:space="preserve"> 2018. gada 31. decembrī sasniedza 5452 miljonus EUR. Minētos aktīvus veidoja investīciju vērtspapīru portfelis, kas klasificēts kā pieejams pārdošanai (5000 miljoni EUR), tādi ārvalstu valūtas (USD) nākotnes darījumi ar pozitīvu neto pašreizējo vērtību, kas klasificēti kā finanšu aktīvi patiesajā vērtībā, izmantojot peļņu un zaudējumus (2 miljoni EUR), kā arī skaidra nauda un tās ekvivalenti (450 miljoni EUR).</w:t>
      </w:r>
    </w:p>
    <w:p>
      <w:pPr>
        <w:spacing w:before="240" w:after="240"/>
        <w:jc w:val="both"/>
        <w:rPr>
          <w:noProof/>
          <w:sz w:val="24"/>
          <w:szCs w:val="24"/>
        </w:rPr>
      </w:pPr>
      <w:r>
        <w:rPr>
          <w:noProof/>
          <w:sz w:val="24"/>
        </w:rPr>
        <w:t>Saskaņā ar 2018. gada pārskatu par finanšu rezultātiem</w:t>
      </w:r>
      <w:r>
        <w:rPr>
          <w:rStyle w:val="FootnoteReference"/>
          <w:noProof/>
          <w:sz w:val="24"/>
        </w:rPr>
        <w:footnoteReference w:id="7"/>
      </w:r>
      <w:r>
        <w:rPr>
          <w:noProof/>
          <w:sz w:val="24"/>
        </w:rPr>
        <w:t xml:space="preserve"> gada beigās ESIF GF saimnieciskās darbības rezultāti bija –13,9 miljoni EUR. Neto zaudējumus </w:t>
      </w:r>
      <w:r>
        <w:rPr>
          <w:noProof/>
        </w:rPr>
        <w:noBreakHyphen/>
      </w:r>
      <w:r>
        <w:rPr>
          <w:noProof/>
          <w:sz w:val="24"/>
        </w:rPr>
        <w:t>34,5 miljonu EUR apmērā no pozitīvām (28,4 miljoni EUR) un negatīvām (–62,9 miljoni EUR) atvasināto instrumentu patiesās vērtības izmaiņām, ko izmanto USD izteiktās portfeļa daļas valūtas riska ierobežošanai, kompensēja neto peļņa (17,0 miljoni EUR) no pozitīvas (103,7 miljoni EUR) un negatīvas (–86,7 miljoni EUR) finanšu aktīvu un procentu ieņēmumu ārvalstu valūtas pārvērtēšanas (17,5 miljoni EUR). Atlikušos zaudējumus pārsvarā veidoja neto zaudējumi no pārdošanai pieejamo vērtspapīru pārdošanas</w:t>
      </w:r>
      <w:r>
        <w:rPr>
          <w:rStyle w:val="FootnoteReference"/>
          <w:noProof/>
          <w:sz w:val="24"/>
        </w:rPr>
        <w:footnoteReference w:id="8"/>
      </w:r>
      <w:r>
        <w:rPr>
          <w:noProof/>
          <w:sz w:val="24"/>
        </w:rPr>
        <w:t xml:space="preserve"> (</w:t>
      </w:r>
      <w:r>
        <w:rPr>
          <w:noProof/>
        </w:rPr>
        <w:noBreakHyphen/>
      </w:r>
      <w:r>
        <w:rPr>
          <w:noProof/>
          <w:sz w:val="24"/>
        </w:rPr>
        <w:t>13,3 miljoni EUR) un turētājbankas maksas (–0,6 miljoni EUR).</w:t>
      </w:r>
      <w:r>
        <w:rPr>
          <w:noProof/>
        </w:rPr>
        <w:br w:type="page"/>
      </w:r>
    </w:p>
    <w:p>
      <w:pPr>
        <w:pStyle w:val="Heading2"/>
        <w:rPr>
          <w:rFonts w:ascii="Times New Roman" w:hAnsi="Times New Roman" w:cs="Times New Roman"/>
          <w:noProof/>
        </w:rPr>
      </w:pPr>
      <w:r>
        <w:rPr>
          <w:rFonts w:ascii="Times New Roman" w:hAnsi="Times New Roman"/>
          <w:noProof/>
        </w:rPr>
        <w:t xml:space="preserve"> </w:t>
      </w:r>
      <w:bookmarkStart w:id="46" w:name="_Toc477528175"/>
      <w:bookmarkStart w:id="47" w:name="_Toc477855452"/>
      <w:bookmarkStart w:id="48" w:name="_Toc3825654"/>
      <w:bookmarkStart w:id="49" w:name="_Toc7794404"/>
      <w:bookmarkStart w:id="50" w:name="_Toc8833110"/>
      <w:r>
        <w:rPr>
          <w:rFonts w:ascii="Times New Roman" w:hAnsi="Times New Roman"/>
          <w:noProof/>
        </w:rPr>
        <w:t>ESIF operācijas, kam piešķirts ES galvojums</w:t>
      </w:r>
      <w:bookmarkEnd w:id="46"/>
      <w:bookmarkEnd w:id="47"/>
      <w:bookmarkEnd w:id="48"/>
      <w:bookmarkEnd w:id="49"/>
      <w:bookmarkEnd w:id="50"/>
    </w:p>
    <w:p>
      <w:pPr>
        <w:spacing w:before="240" w:after="200"/>
        <w:jc w:val="both"/>
        <w:rPr>
          <w:noProof/>
          <w:sz w:val="24"/>
          <w:szCs w:val="24"/>
        </w:rPr>
      </w:pPr>
      <w:r>
        <w:rPr>
          <w:noProof/>
          <w:sz w:val="24"/>
        </w:rPr>
        <w:t>ES galvojuma risks saistībā ar izmaksātajām nenokārtotajām EIB grupas ESIF operācijām 2018. gada 31. decembrī sasniedza 15,8 miljardus EUR no pieejamās neto juridisko saistību summas</w:t>
      </w:r>
      <w:r>
        <w:rPr>
          <w:rStyle w:val="FootnoteReference"/>
          <w:noProof/>
          <w:sz w:val="24"/>
        </w:rPr>
        <w:footnoteReference w:id="9"/>
      </w:r>
      <w:r>
        <w:rPr>
          <w:noProof/>
          <w:sz w:val="24"/>
        </w:rPr>
        <w:t xml:space="preserve"> 25,9 miljardu EUR apmērā, ko galvo ES. Summu 15,8 miljardu EUR apmērā iegrāmato kā iespējamās saistības ES 2018. gada finanšu pārskatu piezīmēs.</w:t>
      </w:r>
    </w:p>
    <w:p>
      <w:pPr>
        <w:spacing w:before="240" w:after="200"/>
        <w:jc w:val="both"/>
        <w:rPr>
          <w:noProof/>
          <w:sz w:val="24"/>
          <w:szCs w:val="24"/>
        </w:rPr>
      </w:pPr>
      <w:r>
        <w:rPr>
          <w:noProof/>
          <w:sz w:val="24"/>
        </w:rPr>
        <w:t>2018. gadā ESIF operācijas, ko pārvalda EIB infrastruktūras un inovācijas klases ietvaros, radīja ES neto ieņēmumus 112,7 miljonu EUR apmērā. No šīs summas — neto summa 38,9 miljonu EUR apmērā</w:t>
      </w:r>
      <w:r>
        <w:rPr>
          <w:rStyle w:val="FootnoteReference"/>
          <w:noProof/>
          <w:sz w:val="24"/>
        </w:rPr>
        <w:footnoteReference w:id="10"/>
      </w:r>
      <w:r>
        <w:rPr>
          <w:noProof/>
          <w:sz w:val="24"/>
        </w:rPr>
        <w:t>, ko Komisija saņēma no EIB līdz 2018. gada 31. decembrim, tika iegrāmatota ES 2018. gada finanšu pārskatos. ESIF operācijas, kas attiecās uz pieprasījumu infrastruktūras un inovācijas klases ietvaros, ir aprakstītas 3.4. iedaļā.</w:t>
      </w:r>
    </w:p>
    <w:p>
      <w:pPr>
        <w:spacing w:before="240" w:after="200"/>
        <w:jc w:val="both"/>
        <w:rPr>
          <w:rFonts w:eastAsiaTheme="minorHAnsi"/>
          <w:noProof/>
          <w:sz w:val="24"/>
          <w:szCs w:val="24"/>
        </w:rPr>
      </w:pPr>
      <w:r>
        <w:rPr>
          <w:rFonts w:eastAsiaTheme="minorHAnsi"/>
          <w:noProof/>
          <w:sz w:val="24"/>
        </w:rPr>
        <w:t>Attiecībā uz ESIF operācijām MVU klases ietvaros 2018. gadā ES radās izmaksas 30,3 miljonu EUR apmērā. No šīs summas — EIF administratīvās izmaksas 21,9 miljonu EUR apmērā, kas iegrāmatotas 2018. gada ES finanšu pārskatos, ir jāiemaksā EIF 2019. gada 30. jūnijā vai pēc šīs dienas.</w:t>
      </w:r>
    </w:p>
    <w:p>
      <w:pPr>
        <w:pStyle w:val="Heading2"/>
        <w:rPr>
          <w:rFonts w:ascii="Times New Roman" w:hAnsi="Times New Roman" w:cs="Times New Roman"/>
          <w:noProof/>
        </w:rPr>
      </w:pPr>
      <w:bookmarkStart w:id="51" w:name="_Toc3825655"/>
      <w:bookmarkStart w:id="52" w:name="_Toc449689412"/>
      <w:bookmarkStart w:id="53" w:name="_Toc477528176"/>
      <w:bookmarkStart w:id="54" w:name="_Toc477855453"/>
      <w:bookmarkStart w:id="55" w:name="_Toc7794405"/>
      <w:bookmarkStart w:id="56" w:name="_Toc8833111"/>
      <w:r>
        <w:rPr>
          <w:rFonts w:ascii="Times New Roman" w:hAnsi="Times New Roman"/>
          <w:noProof/>
        </w:rPr>
        <w:t xml:space="preserve">ESIF GF </w:t>
      </w:r>
      <w:bookmarkEnd w:id="51"/>
      <w:r>
        <w:rPr>
          <w:rFonts w:ascii="Times New Roman" w:hAnsi="Times New Roman"/>
          <w:noProof/>
        </w:rPr>
        <w:t>finansēšana</w:t>
      </w:r>
      <w:bookmarkEnd w:id="52"/>
      <w:bookmarkEnd w:id="53"/>
      <w:bookmarkEnd w:id="54"/>
      <w:bookmarkEnd w:id="55"/>
      <w:bookmarkEnd w:id="56"/>
    </w:p>
    <w:p>
      <w:pPr>
        <w:spacing w:before="120" w:after="100"/>
        <w:jc w:val="both"/>
        <w:rPr>
          <w:noProof/>
          <w:sz w:val="24"/>
          <w:szCs w:val="24"/>
        </w:rPr>
      </w:pPr>
      <w:r>
        <w:rPr>
          <w:noProof/>
          <w:sz w:val="24"/>
        </w:rPr>
        <w:t>Saistībā ar ESIF GF finansēšanu 2018. gadā tika piešķirta kopējā budžeta apropriācija 2069 miljonu EUR apmērā. No šīs summas — budžeta apropriācija 1905 miljonu EUR apmērā tika piešķirta saskaņā ar Komisijas Lēmumu C(2018)307. Papildu saistību apropriācijas 105 miljonu EUR apmērā tika darītas pieejamas no budžeta pozīcijas “Rezerves finansiālai palīdzībai”. Visbeidzot, summa 59 miljonu EUR apmērā tika atvēlēta kā piešķirtie ieņēmumi.</w:t>
      </w:r>
    </w:p>
    <w:p>
      <w:pPr>
        <w:spacing w:before="100" w:after="200"/>
        <w:jc w:val="both"/>
        <w:rPr>
          <w:noProof/>
          <w:sz w:val="24"/>
        </w:rPr>
      </w:pPr>
      <w:r>
        <w:rPr>
          <w:noProof/>
          <w:sz w:val="24"/>
        </w:rPr>
        <w:t>Kopējā summa 2014 miljonu EUR apmērā tika faktiski iemaksāta ESIF GF gada laikā. Lielāko minētās summas daļu veidoja maksājumu apropriācijas no ES vispārējā budžeta, savukārt 59 miljoni EUR tika atgūti kā piešķirtie ieņēmumi (53,4 miljoni EUR no ESIF ieņēmumiem un 5,6 miljoni EUR no fonda “</w:t>
      </w:r>
      <w:r>
        <w:rPr>
          <w:i/>
          <w:noProof/>
          <w:sz w:val="24"/>
        </w:rPr>
        <w:t>Marguerite</w:t>
      </w:r>
      <w:r>
        <w:rPr>
          <w:noProof/>
          <w:sz w:val="24"/>
        </w:rPr>
        <w:t>” ieņēmumiem) un 154,9 miljoni EUR tika pārskaitīti kā papildu maksājumu apropriācijas budžeta gada beigās.</w:t>
      </w:r>
    </w:p>
    <w:p>
      <w:pPr>
        <w:pStyle w:val="Heading2"/>
        <w:rPr>
          <w:rFonts w:ascii="Times New Roman" w:hAnsi="Times New Roman" w:cs="Times New Roman"/>
          <w:noProof/>
        </w:rPr>
      </w:pPr>
      <w:bookmarkStart w:id="57" w:name="_Toc3825656"/>
      <w:bookmarkStart w:id="58" w:name="_Toc7794406"/>
      <w:bookmarkStart w:id="59" w:name="_Toc8833112"/>
      <w:r>
        <w:rPr>
          <w:rFonts w:ascii="Times New Roman" w:hAnsi="Times New Roman"/>
          <w:noProof/>
        </w:rPr>
        <w:t>ES galvojuma pieprasījumi un izmantojums</w:t>
      </w:r>
      <w:bookmarkEnd w:id="57"/>
      <w:bookmarkEnd w:id="58"/>
      <w:bookmarkEnd w:id="59"/>
    </w:p>
    <w:p>
      <w:pPr>
        <w:spacing w:before="240" w:after="120"/>
        <w:jc w:val="both"/>
        <w:rPr>
          <w:noProof/>
          <w:sz w:val="24"/>
        </w:rPr>
      </w:pPr>
      <w:r>
        <w:rPr>
          <w:noProof/>
          <w:sz w:val="24"/>
        </w:rPr>
        <w:t>Saskaņā ar ESIF nolīguma 8. panta 1. punkta a) apakšpunktu ES galvojums tika pieprasīts 97,1 miljona EUR apmērā saistībā ar neizpildīto maksājumu saistību operāciju infrastruktūras un inovācijas klases ietvaros. Saskaņā ar ESIF nolīguma 11. pantu EIB sākotnēji atguva summu 18,6 miljonu EUR apmērā, samazinot maksājamo summu līdz 78,5 miljoniem EUR. Pieprasījums tika samaksāts no ESIF konta (17,7 miljoni EUR) un ESIF GF (60,8 miljoni EUR). Pēc tam tika atgūta summa 1,6 miljonu EUR apmērā. Saistībā ar šo neizpildīto maksājumu saistību operāciju EIB pieprasīja atgūšanas izmaksas 1,0 miljona EUR apmērā un atgūstamās administratīvās izmaksas 0,6 miljonu EUR apmērā.</w:t>
      </w:r>
    </w:p>
    <w:p>
      <w:pPr>
        <w:spacing w:before="240"/>
        <w:jc w:val="both"/>
        <w:rPr>
          <w:noProof/>
          <w:sz w:val="24"/>
        </w:rPr>
      </w:pPr>
      <w:r>
        <w:rPr>
          <w:noProof/>
          <w:sz w:val="24"/>
        </w:rPr>
        <w:t>2018. gadā finansējuma izmaksu segšanai EIB tika izmaksāta summa 0,6 miljonu EUR apmērā</w:t>
      </w:r>
      <w:r>
        <w:rPr>
          <w:rStyle w:val="FootnoteReference"/>
          <w:noProof/>
          <w:sz w:val="24"/>
        </w:rPr>
        <w:footnoteReference w:id="11"/>
      </w:r>
      <w:r>
        <w:rPr>
          <w:noProof/>
          <w:sz w:val="24"/>
        </w:rPr>
        <w:t xml:space="preserve"> un vērtības korekciju segšanai — 10,7 miljoni EUR</w:t>
      </w:r>
      <w:r>
        <w:rPr>
          <w:rStyle w:val="FootnoteReference"/>
          <w:noProof/>
          <w:sz w:val="24"/>
        </w:rPr>
        <w:footnoteReference w:id="12"/>
      </w:r>
      <w:r>
        <w:rPr>
          <w:noProof/>
          <w:sz w:val="24"/>
        </w:rPr>
        <w:t>.</w:t>
      </w:r>
    </w:p>
    <w:p>
      <w:pPr>
        <w:pStyle w:val="Heading1"/>
        <w:rPr>
          <w:rFonts w:ascii="Times New Roman" w:hAnsi="Times New Roman" w:cs="Times New Roman"/>
          <w:noProof/>
        </w:rPr>
      </w:pPr>
      <w:bookmarkStart w:id="60" w:name="_Toc477351967"/>
      <w:bookmarkStart w:id="61" w:name="_Toc477528177"/>
      <w:bookmarkStart w:id="62" w:name="_Toc477855454"/>
      <w:bookmarkStart w:id="63" w:name="_Toc3825657"/>
      <w:bookmarkStart w:id="64" w:name="_Toc7794407"/>
      <w:bookmarkStart w:id="65" w:name="_Toc8833113"/>
      <w:r>
        <w:rPr>
          <w:rFonts w:ascii="Times New Roman" w:hAnsi="Times New Roman"/>
          <w:noProof/>
        </w:rPr>
        <w:t xml:space="preserve">ESIF GF pārvaldība </w:t>
      </w:r>
      <w:bookmarkEnd w:id="40"/>
      <w:bookmarkEnd w:id="60"/>
      <w:bookmarkEnd w:id="61"/>
      <w:bookmarkEnd w:id="62"/>
      <w:r>
        <w:rPr>
          <w:rFonts w:ascii="Times New Roman" w:hAnsi="Times New Roman"/>
          <w:noProof/>
        </w:rPr>
        <w:t>2018. gadā</w:t>
      </w:r>
      <w:bookmarkEnd w:id="63"/>
      <w:bookmarkEnd w:id="64"/>
      <w:bookmarkEnd w:id="65"/>
    </w:p>
    <w:p>
      <w:pPr>
        <w:pStyle w:val="Heading2"/>
        <w:rPr>
          <w:rFonts w:ascii="Times New Roman" w:hAnsi="Times New Roman" w:cs="Times New Roman"/>
          <w:noProof/>
        </w:rPr>
      </w:pPr>
      <w:bookmarkStart w:id="66" w:name="_Toc477528178"/>
      <w:bookmarkStart w:id="67" w:name="_Toc477855455"/>
      <w:bookmarkStart w:id="68" w:name="_Toc3825658"/>
      <w:bookmarkStart w:id="69" w:name="_Toc7794408"/>
      <w:bookmarkStart w:id="70" w:name="_Toc8833114"/>
      <w:r>
        <w:rPr>
          <w:rFonts w:ascii="Times New Roman" w:hAnsi="Times New Roman"/>
          <w:noProof/>
        </w:rPr>
        <w:t>Finanšu pārvaldība</w:t>
      </w:r>
      <w:bookmarkEnd w:id="66"/>
      <w:bookmarkEnd w:id="67"/>
      <w:bookmarkEnd w:id="68"/>
      <w:bookmarkEnd w:id="69"/>
      <w:bookmarkEnd w:id="70"/>
    </w:p>
    <w:p>
      <w:pPr>
        <w:spacing w:before="240" w:after="240"/>
        <w:jc w:val="both"/>
        <w:rPr>
          <w:noProof/>
          <w:sz w:val="24"/>
          <w:szCs w:val="24"/>
        </w:rPr>
      </w:pPr>
      <w:r>
        <w:rPr>
          <w:noProof/>
          <w:sz w:val="24"/>
        </w:rPr>
        <w:t>ESIF GF investīciju portfeli investē saskaņā ar pārvaldības principiem, kas noteikti Komisijas 2016. gada 21. janvāra Lēmumā C(2016)165, ar kuru apstiprina ESIF GF aktīvu pārvaldības pamatnostādnes.</w:t>
      </w:r>
    </w:p>
    <w:p>
      <w:pPr>
        <w:spacing w:before="240" w:after="240"/>
        <w:jc w:val="both"/>
        <w:rPr>
          <w:noProof/>
          <w:sz w:val="24"/>
          <w:szCs w:val="24"/>
        </w:rPr>
      </w:pPr>
      <w:r>
        <w:rPr>
          <w:noProof/>
          <w:sz w:val="24"/>
        </w:rPr>
        <w:t>Šajās pamatnostādnēs paredzēts, ka investīciju portfeļa aktīviem jānodrošina pietiekama likviditāte attiecībā uz potenciālajiem galvojuma pieprasījumiem, vienlaikus joprojām cenšoties optimizēt peļņas un riska līmeni, kas ir pieņemams, lai saglabātu augstu drošības un stabilitātes pakāpi.</w:t>
      </w:r>
    </w:p>
    <w:p>
      <w:pPr>
        <w:spacing w:before="240" w:after="240"/>
        <w:jc w:val="both"/>
        <w:rPr>
          <w:noProof/>
          <w:sz w:val="24"/>
          <w:szCs w:val="24"/>
        </w:rPr>
      </w:pPr>
      <w:r>
        <w:rPr>
          <w:noProof/>
          <w:sz w:val="24"/>
        </w:rPr>
        <w:t xml:space="preserve">Tika pieņemtas investīciju un riska pārvaldības stratēģijas, kas atspoguļo investīciju mērķus un tirgus nosacījumu prognozes. Investīciju pieejas mērķis ir dažādot investīcijas starp dažādām fiksēta ienākuma aktīvu klasēm. </w:t>
      </w:r>
    </w:p>
    <w:p>
      <w:pPr>
        <w:pStyle w:val="Heading2"/>
        <w:rPr>
          <w:rFonts w:ascii="Times New Roman" w:hAnsi="Times New Roman" w:cs="Times New Roman"/>
          <w:noProof/>
        </w:rPr>
      </w:pPr>
      <w:bookmarkStart w:id="71" w:name="_Toc477528179"/>
      <w:bookmarkStart w:id="72" w:name="_Toc477855456"/>
      <w:bookmarkStart w:id="73" w:name="_Toc3825659"/>
      <w:bookmarkStart w:id="74" w:name="_Toc7794409"/>
      <w:bookmarkStart w:id="75" w:name="_Toc8833115"/>
      <w:r>
        <w:rPr>
          <w:rFonts w:ascii="Times New Roman" w:hAnsi="Times New Roman"/>
          <w:noProof/>
        </w:rPr>
        <w:t xml:space="preserve">Tirgus attīstība </w:t>
      </w:r>
      <w:bookmarkEnd w:id="71"/>
      <w:bookmarkEnd w:id="72"/>
      <w:r>
        <w:rPr>
          <w:rFonts w:ascii="Times New Roman" w:hAnsi="Times New Roman"/>
          <w:noProof/>
        </w:rPr>
        <w:t>2018. gadā</w:t>
      </w:r>
      <w:bookmarkEnd w:id="73"/>
      <w:bookmarkEnd w:id="74"/>
      <w:bookmarkEnd w:id="75"/>
    </w:p>
    <w:p>
      <w:pPr>
        <w:spacing w:before="240" w:after="240"/>
        <w:jc w:val="both"/>
        <w:rPr>
          <w:noProof/>
          <w:sz w:val="24"/>
          <w:szCs w:val="24"/>
        </w:rPr>
      </w:pPr>
      <w:r>
        <w:rPr>
          <w:noProof/>
          <w:sz w:val="24"/>
        </w:rPr>
        <w:t xml:space="preserve">Investoriem bija grūts 2018. gads, kuru raksturoja kopumā negatīvs vai vēsturiski zems ienesīgums apvienojumā ar būtisku tirgus nestabilitāti un neskaidrībām. Atsevišķi pamatfaktori, kas veicināja šo nestabilo vidi, bija pakāpeniskā stingrākas monetārās politikas ieviešana eurozonā un ASV, pamatojoties uz pastāvīgas izaugsmes un pieaugošas inflācijas prognozēm, tirdzniecības karš, norises Itālijā un aizvien negatīvākās ekonomikas perspektīvas, kas novērotas gada beigās. Jo īpaši saistībā ar monetāro politiku Eiropas Centrālā banka (“ECB”) saskaņā ar tā dēvēto kvantitatīvās mīkstināšanas politiku septembrī samazināja ikmēneša neto aktīvu iegādi no 30 miljardiem EUR līdz 15 miljardiem EUR un pēc tam, 2018. gada beigās, izbeidza neto iegādes. ASV Federālo rezervju banka gada laikā veica četrus paaugstinājumus par 25 bāzes punktiem, līdz gada beigām paaugstinot </w:t>
      </w:r>
      <w:r>
        <w:rPr>
          <w:i/>
          <w:noProof/>
          <w:sz w:val="24"/>
        </w:rPr>
        <w:t>Fed</w:t>
      </w:r>
      <w:r>
        <w:rPr>
          <w:noProof/>
          <w:sz w:val="24"/>
        </w:rPr>
        <w:t xml:space="preserve"> fondu mērķa likmes robežas līdz 2,25–2,5.</w:t>
      </w:r>
    </w:p>
    <w:p>
      <w:pPr>
        <w:spacing w:before="120" w:after="120"/>
        <w:jc w:val="both"/>
        <w:rPr>
          <w:noProof/>
          <w:sz w:val="24"/>
          <w:szCs w:val="24"/>
        </w:rPr>
      </w:pPr>
      <w:r>
        <w:rPr>
          <w:noProof/>
          <w:sz w:val="24"/>
        </w:rPr>
        <w:t>Šajā kontekstā pēc būtiska pieauguma 2018. gada sākumā Eiropas fiksētā ienākuma ienesīgums gada beigās kopumā uzrādīja gada zemākos līmeņus sakarā ar ekonomiskās izaugsmes un perspektīvu samazināšanos, naftas cenu lejupslīdi un sliktākām prognozēm attiecībā uz monetārās politikas likmju virzību vidējā termiņā. Kredītriska starpības attiecīgajā gadā palielinājās, un šī tendence paātrinājās decembrī sarūkošajos akciju tirgos un paātrināja ECB veiktās neto aktīvu iegādes izbeigšanu. Eurozonas īstermiņa obligāciju ienesīgums arī samazinājās, taču mazāk izteikti, kopumā izlīdzinot attiecīgās ienesīguma līknes. Eurozonas ekonomikas noskaņojuma indekss — kas aptver gan mājsaimniecību, gan uzņēmumu noskaņojumu — pazeminājās vairāk, nekā to prognozēja analītiķi, sasniedzot zemāko līmeni gandrīz divos gados. Šis kritums plaši skāra nozares grupas un valstis. Perifērās starpības attiecībā uz Vācijas valsts obligācijām decembrī kopumā samazinājās. Starpības attiecībā uz Itāliju saruka par vairāk nekā 30 bāzes punktiem, mēneša beigās sasniedzot 250 bāzes punktus, kas tiek atbalstīti izpratnē, kura panākta ar Eiropas Komisiju par Itālijas budžetu.</w:t>
      </w:r>
      <w:bookmarkStart w:id="76" w:name="_Toc477528181"/>
      <w:bookmarkStart w:id="77" w:name="_Toc477855458"/>
      <w:bookmarkStart w:id="78" w:name="_Toc3825660"/>
    </w:p>
    <w:p>
      <w:pPr>
        <w:pStyle w:val="Heading2"/>
        <w:rPr>
          <w:rFonts w:ascii="Times New Roman" w:hAnsi="Times New Roman" w:cs="Times New Roman"/>
          <w:noProof/>
        </w:rPr>
      </w:pPr>
      <w:bookmarkStart w:id="79" w:name="_Toc7794410"/>
      <w:bookmarkStart w:id="80" w:name="_Toc8833116"/>
      <w:r>
        <w:rPr>
          <w:rFonts w:ascii="Times New Roman" w:hAnsi="Times New Roman"/>
          <w:noProof/>
        </w:rPr>
        <w:t>Portfeļa sastāvs un galvenās riska iezīmes</w:t>
      </w:r>
      <w:bookmarkEnd w:id="76"/>
      <w:bookmarkEnd w:id="77"/>
      <w:bookmarkEnd w:id="78"/>
      <w:bookmarkEnd w:id="79"/>
      <w:bookmarkEnd w:id="80"/>
    </w:p>
    <w:p>
      <w:pPr>
        <w:spacing w:before="240" w:after="240"/>
        <w:jc w:val="both"/>
        <w:rPr>
          <w:noProof/>
          <w:sz w:val="24"/>
          <w:szCs w:val="24"/>
        </w:rPr>
      </w:pPr>
      <w:r>
        <w:rPr>
          <w:noProof/>
          <w:sz w:val="24"/>
        </w:rPr>
        <w:t xml:space="preserve">Investīciju portfelis 2018. gada 31. decembrī sastāvēja galvenokārt no vērtspapīriem, ko emitējušas valstis (27 % no tirgus vērtības salīdzinājumā ar etalonu — 46 %), kā arī valsts varas apakšstruktūras, pārvalstiskās organizācijas, aģentūras un ārvalstu valdības (18 % no tirgus vērtības salīdzinājumā ar etalonu — 12 %), un segtajām obligācijām (25 % no tirgus vērtības salīdzinājumā ar etalonu — 20 %). Atlikusī daļa galvenokārt tika piešķirta nenodrošinātās obligācijās, ko emitējuši uzņēmumi un finanšu iestādes. Aptuveni 9 % no portfeļa tika investēti likvīdos aktīvos un augsti novērtētās (AA/AAA) USD izteiktās investīcijās. Šo investīciju valūtas kursa maiņas risks ir ierobežots. 2018. gada beigās portfeļa riska darījumu summa attiecībā uz obligācijām, kas atbilst vides, sociālajiem un pārvaldības kritērijiem, bija vairāk nekā trīs reizes augstāka salīdzinājumā ar tās etalonu. </w:t>
      </w:r>
    </w:p>
    <w:p>
      <w:pPr>
        <w:spacing w:before="240" w:after="240"/>
        <w:jc w:val="both"/>
        <w:rPr>
          <w:noProof/>
          <w:sz w:val="24"/>
          <w:szCs w:val="24"/>
        </w:rPr>
      </w:pPr>
      <w:r>
        <w:rPr>
          <w:noProof/>
          <w:sz w:val="24"/>
        </w:rPr>
        <w:t>Portfeļa termiņš</w:t>
      </w:r>
      <w:r>
        <w:rPr>
          <w:rStyle w:val="FootnoteReference"/>
          <w:noProof/>
          <w:sz w:val="24"/>
        </w:rPr>
        <w:footnoteReference w:id="13"/>
      </w:r>
      <w:r>
        <w:rPr>
          <w:noProof/>
          <w:sz w:val="24"/>
        </w:rPr>
        <w:t xml:space="preserve"> 2018. gada beigās bija 2,41 gadi. Vidējais kredītreitings ir A-.</w:t>
      </w:r>
    </w:p>
    <w:p>
      <w:pPr>
        <w:spacing w:before="240" w:after="240"/>
        <w:jc w:val="both"/>
        <w:rPr>
          <w:noProof/>
          <w:sz w:val="24"/>
          <w:szCs w:val="24"/>
        </w:rPr>
      </w:pPr>
      <w:r>
        <w:rPr>
          <w:noProof/>
          <w:sz w:val="24"/>
        </w:rPr>
        <w:t>Portfeļa lielākā daļa ir investēta likvīdos vērtspapīros, un atbilstošas tā daļas (21 % no kopējās portfeļa vērtības) termiņš nepārsniedz 12 mēnešus.</w:t>
      </w:r>
    </w:p>
    <w:p>
      <w:pPr>
        <w:spacing w:before="240" w:after="240"/>
        <w:jc w:val="both"/>
        <w:rPr>
          <w:noProof/>
          <w:sz w:val="24"/>
          <w:szCs w:val="24"/>
        </w:rPr>
      </w:pPr>
      <w:r>
        <w:rPr>
          <w:noProof/>
          <w:sz w:val="24"/>
        </w:rPr>
        <w:t>Portfeļa profils attiecībā uz tā termiņu, kredītrisku un likviditāti ir kalibrēts saskaņā ar prognozētajām naudas plūsmām, kuras izriet no ESIF operācijām, kam piešķirts ES galvojums (piemēram, prognozētie pieprasījumi, ieņēmumi).</w:t>
      </w:r>
    </w:p>
    <w:p>
      <w:pPr>
        <w:pStyle w:val="Heading2"/>
        <w:rPr>
          <w:rFonts w:ascii="Times New Roman" w:hAnsi="Times New Roman" w:cs="Times New Roman"/>
          <w:noProof/>
        </w:rPr>
      </w:pPr>
      <w:bookmarkStart w:id="81" w:name="_Toc477528182"/>
      <w:bookmarkStart w:id="82" w:name="_Toc477855459"/>
      <w:bookmarkStart w:id="83" w:name="_Toc3825661"/>
      <w:bookmarkStart w:id="84" w:name="_Toc7794411"/>
      <w:bookmarkStart w:id="85" w:name="_Toc8833117"/>
      <w:r>
        <w:rPr>
          <w:rFonts w:ascii="Times New Roman" w:hAnsi="Times New Roman"/>
          <w:noProof/>
        </w:rPr>
        <w:t>Darbības rezultāti</w:t>
      </w:r>
      <w:bookmarkEnd w:id="81"/>
      <w:bookmarkEnd w:id="82"/>
      <w:bookmarkEnd w:id="83"/>
      <w:bookmarkEnd w:id="84"/>
      <w:bookmarkEnd w:id="85"/>
    </w:p>
    <w:p>
      <w:pPr>
        <w:spacing w:before="240" w:after="240"/>
        <w:jc w:val="both"/>
        <w:rPr>
          <w:noProof/>
          <w:sz w:val="24"/>
          <w:szCs w:val="24"/>
        </w:rPr>
      </w:pPr>
      <w:r>
        <w:rPr>
          <w:noProof/>
          <w:sz w:val="24"/>
        </w:rPr>
        <w:t>Gada darbības rezultātus aprēķina, pamatojoties uz bāzes laiku, lai tos neietekmētu portfeļa lielums, kas gada laikā ievērojami pieauga.</w:t>
      </w:r>
    </w:p>
    <w:p>
      <w:pPr>
        <w:spacing w:before="240" w:after="240"/>
        <w:jc w:val="both"/>
        <w:rPr>
          <w:noProof/>
          <w:sz w:val="24"/>
          <w:szCs w:val="24"/>
        </w:rPr>
      </w:pPr>
      <w:r>
        <w:rPr>
          <w:noProof/>
          <w:sz w:val="24"/>
        </w:rPr>
        <w:t>Ļoti sarežģītajā tirgus vidē, ko raksturo kopumā negatīvs vai vēsturiski zems ienesīgums apvienojumā ar būtisku tirgus nestabilitāti un neskaidrībām, fonda 2018. gada absolūtie darbības rezultāti bija –0,312 %. Šie rezultāti atbilst ESIF etalona gada darbības rezultātiem (–0,305 %) un tika iegūti, ņemot vērā negatīvās procentu likmes eurozonā (jo īpaši attiecībā uz darījumiem, kas tirgū tiek uztverti kā darījumi “bez kredītriska”, un likvīdiem riska darījumiem Eiropā), kā arī vairākus procentu likmju paaugstinājumus Amerikas Savienotajās Valstīs.</w:t>
      </w:r>
    </w:p>
    <w:p>
      <w:pPr>
        <w:pStyle w:val="Heading1"/>
        <w:rPr>
          <w:rFonts w:ascii="Times New Roman" w:hAnsi="Times New Roman" w:cs="Times New Roman"/>
          <w:noProof/>
        </w:rPr>
      </w:pPr>
      <w:bookmarkStart w:id="86" w:name="_Toc449689415"/>
      <w:bookmarkStart w:id="87" w:name="_Toc477351968"/>
      <w:bookmarkStart w:id="88" w:name="_Toc477528183"/>
      <w:bookmarkStart w:id="89" w:name="_Toc477855460"/>
      <w:bookmarkStart w:id="90" w:name="_Toc3825662"/>
      <w:bookmarkStart w:id="91" w:name="_Toc7794412"/>
      <w:bookmarkStart w:id="92" w:name="_Toc8833118"/>
      <w:r>
        <w:rPr>
          <w:rFonts w:ascii="Times New Roman" w:hAnsi="Times New Roman"/>
          <w:noProof/>
        </w:rPr>
        <w:t>Mērķapjoma pietiekamības un ESIF GF līmeņa novērtējums</w:t>
      </w:r>
      <w:bookmarkEnd w:id="86"/>
      <w:bookmarkEnd w:id="87"/>
      <w:bookmarkEnd w:id="88"/>
      <w:bookmarkEnd w:id="89"/>
      <w:bookmarkEnd w:id="90"/>
      <w:bookmarkEnd w:id="91"/>
      <w:bookmarkEnd w:id="92"/>
    </w:p>
    <w:p>
      <w:pPr>
        <w:spacing w:before="200" w:after="180"/>
        <w:jc w:val="both"/>
        <w:rPr>
          <w:noProof/>
          <w:sz w:val="24"/>
          <w:szCs w:val="24"/>
        </w:rPr>
      </w:pPr>
      <w:r>
        <w:rPr>
          <w:noProof/>
          <w:sz w:val="24"/>
        </w:rPr>
        <w:t xml:space="preserve">Saskaņā ar ESIF kopējais parakstīto operāciju apjoms 2018. gada 31. decembrī aptvēra 28 dalībvalstis un sasniedza 53,6 miljardus EUR, no kuriem operācijas 39,1 miljarda EUR apmērā parakstīja IIK ietvaros (407 operācijas), bet operācijas 14,5 miljardu EUR apmērā parakstīja MVUK ietvaros (470 operācijas). Kopumā tas ir ievērojams pieaugums salīdzinājumā ar 2017. gadu, kura beigās kopējais parakstīto operāciju apmērs sasniedza 37,4 miljardus EUR. </w:t>
      </w:r>
    </w:p>
    <w:p>
      <w:pPr>
        <w:spacing w:before="200" w:after="180"/>
        <w:jc w:val="both"/>
        <w:rPr>
          <w:noProof/>
          <w:sz w:val="24"/>
          <w:szCs w:val="24"/>
        </w:rPr>
      </w:pPr>
      <w:r>
        <w:rPr>
          <w:noProof/>
          <w:sz w:val="24"/>
        </w:rPr>
        <w:t xml:space="preserve">Kopējo izmaksāto nenokārtoto riska darījumu apmērs, ko sedz ES galvojums, 2018. gada 31. decembrī bija gandrīz 15,8 miljardi EUR (2017. gadā tas bija 10,1 miljards EUR). </w:t>
      </w:r>
    </w:p>
    <w:p>
      <w:pPr>
        <w:spacing w:before="200" w:after="180"/>
        <w:jc w:val="both"/>
        <w:rPr>
          <w:noProof/>
          <w:sz w:val="24"/>
          <w:szCs w:val="24"/>
        </w:rPr>
      </w:pPr>
      <w:r>
        <w:rPr>
          <w:noProof/>
          <w:sz w:val="24"/>
        </w:rPr>
        <w:t>Riska darījumu summa, kas jāsedz no ES budžeta attiecībā uz iespējamajiem turpmākajiem maksājumiem, uz ko attiecas ES galvojums, saistībā ar parakstītajām operācijām (izmaksātajām un neizmaksātajām) sasniedza 19,8 miljardus EUR.</w:t>
      </w:r>
    </w:p>
    <w:p>
      <w:pPr>
        <w:spacing w:before="200" w:after="180"/>
        <w:jc w:val="both"/>
        <w:rPr>
          <w:noProof/>
          <w:sz w:val="24"/>
          <w:szCs w:val="24"/>
        </w:rPr>
      </w:pPr>
      <w:r>
        <w:rPr>
          <w:noProof/>
          <w:sz w:val="24"/>
        </w:rPr>
        <w:t>Infrastruktūras un inovācijas klasē izmaksāto nenokārtoto riska darījumu summa, ko sedz ES garantija, bija 14,8 miljardi EUR, no kuriem 14,2 miljardus EUR veidoja parāda operācijas un 0,6 miljardus EUR — pašu kapitāla tipa operācijas.</w:t>
      </w:r>
    </w:p>
    <w:p>
      <w:pPr>
        <w:spacing w:before="200" w:after="180"/>
        <w:jc w:val="both"/>
        <w:rPr>
          <w:noProof/>
          <w:sz w:val="24"/>
          <w:szCs w:val="24"/>
        </w:rPr>
      </w:pPr>
      <w:r>
        <w:rPr>
          <w:noProof/>
          <w:sz w:val="24"/>
        </w:rPr>
        <w:t xml:space="preserve">Ja šo IIK operāciju dēļ radīsies zaudējumi, tos segs ES galvojums saskaņā ar noteikumiem, kas izklāstīti ESIF nolīgumā. Proti, ES galvojums IIK tiek piešķirts portfeļa pirmās kārtas zaudējumu laidiena seguma veidā IIK parāda portfeļu un VAVB IIK kapitāla portfeļa operācijām. Standarta IIK kapitāla portfelī ES galvojums ir pilna galvojuma veidā, ja EIB, uzņemoties risku un atbilstīgi </w:t>
      </w:r>
      <w:r>
        <w:rPr>
          <w:i/>
          <w:noProof/>
          <w:sz w:val="24"/>
        </w:rPr>
        <w:t>pari passu</w:t>
      </w:r>
      <w:r>
        <w:rPr>
          <w:noProof/>
          <w:sz w:val="24"/>
        </w:rPr>
        <w:t xml:space="preserve"> principam, investē tādu pašu līdzekļu summu.</w:t>
      </w:r>
    </w:p>
    <w:p>
      <w:pPr>
        <w:spacing w:before="200" w:after="180"/>
        <w:jc w:val="both"/>
        <w:rPr>
          <w:noProof/>
          <w:sz w:val="24"/>
          <w:szCs w:val="24"/>
        </w:rPr>
      </w:pPr>
      <w:r>
        <w:rPr>
          <w:noProof/>
          <w:sz w:val="24"/>
        </w:rPr>
        <w:t>MVU klasē nenokārtoto riska darījumu kopsumma, ko sedz ES galvojums, 2018. gada 31. decembrī bija 0,995 miljardi EUR, no kuriem 0,880 miljardus EUR veidoja galvojuma operācijas un 0,115 miljardus EUR — pašu kapitāla operācijas</w:t>
      </w:r>
      <w:r>
        <w:rPr>
          <w:rStyle w:val="FootnoteReference"/>
          <w:noProof/>
          <w:sz w:val="24"/>
        </w:rPr>
        <w:footnoteReference w:id="14"/>
      </w:r>
      <w:r>
        <w:rPr>
          <w:noProof/>
          <w:sz w:val="24"/>
        </w:rPr>
        <w:t>.</w:t>
      </w:r>
    </w:p>
    <w:p>
      <w:pPr>
        <w:spacing w:before="200" w:after="180"/>
        <w:jc w:val="both"/>
        <w:rPr>
          <w:noProof/>
          <w:sz w:val="24"/>
          <w:szCs w:val="24"/>
        </w:rPr>
      </w:pPr>
      <w:r>
        <w:rPr>
          <w:noProof/>
          <w:sz w:val="24"/>
        </w:rPr>
        <w:t xml:space="preserve">Ja šo MVUK operāciju rezultātā rastos jebkādi zaudējumi, tie tiktu segti galvenokārt no </w:t>
      </w:r>
      <w:r>
        <w:rPr>
          <w:i/>
          <w:noProof/>
          <w:sz w:val="24"/>
        </w:rPr>
        <w:t>InnovFin</w:t>
      </w:r>
      <w:r>
        <w:rPr>
          <w:noProof/>
          <w:sz w:val="24"/>
        </w:rPr>
        <w:t xml:space="preserve"> MVU garantiju mehānisma, </w:t>
      </w:r>
      <w:r>
        <w:rPr>
          <w:i/>
          <w:noProof/>
          <w:sz w:val="24"/>
        </w:rPr>
        <w:t>COSME</w:t>
      </w:r>
      <w:r>
        <w:rPr>
          <w:noProof/>
          <w:sz w:val="24"/>
        </w:rPr>
        <w:t xml:space="preserve"> aizdevumu garantiju mehānisma, Kultūras un radošo nozaru garantiju mehānisma un </w:t>
      </w:r>
      <w:r>
        <w:rPr>
          <w:i/>
          <w:noProof/>
          <w:sz w:val="24"/>
        </w:rPr>
        <w:t>EaSI</w:t>
      </w:r>
      <w:r>
        <w:rPr>
          <w:noProof/>
          <w:sz w:val="24"/>
        </w:rPr>
        <w:t xml:space="preserve"> garantiju finanšu instrumenta iemaksām. Attiecībā uz MVUK kapitāla produktu jebkādi zaudējumi tiktu segti ar ES galvojumu ESIF un </w:t>
      </w:r>
      <w:r>
        <w:rPr>
          <w:i/>
          <w:noProof/>
          <w:sz w:val="24"/>
        </w:rPr>
        <w:t>InnovFin</w:t>
      </w:r>
      <w:r>
        <w:rPr>
          <w:noProof/>
          <w:sz w:val="24"/>
        </w:rPr>
        <w:t xml:space="preserve"> kapitāla pirmās kārtas zaudējumu laidiena ietvaros (attiecībā uz 2. apakšklasi).</w:t>
      </w:r>
    </w:p>
    <w:p>
      <w:pPr>
        <w:spacing w:before="200" w:after="180"/>
        <w:jc w:val="both"/>
        <w:rPr>
          <w:noProof/>
          <w:sz w:val="24"/>
          <w:szCs w:val="24"/>
        </w:rPr>
      </w:pPr>
      <w:r>
        <w:rPr>
          <w:noProof/>
          <w:sz w:val="24"/>
        </w:rPr>
        <w:t>ESIF GF mērķapjoms ir noteikts 35 % apmērā no kopējām ES galvojuma saistībām</w:t>
      </w:r>
      <w:r>
        <w:rPr>
          <w:rStyle w:val="FootnoteReference"/>
          <w:noProof/>
          <w:sz w:val="24"/>
        </w:rPr>
        <w:footnoteReference w:id="15"/>
      </w:r>
      <w:r>
        <w:rPr>
          <w:noProof/>
          <w:sz w:val="24"/>
        </w:rPr>
        <w:t>. Riska novērtējums par dažādiem produktiem, ko atbalsta ar ES galvojumu, liecina, ka ar šo mērķa likmi kopumā Savienības budžets tiktu pienācīgi pasargāts no iespējamiem ES galvojuma izmantošanas pieprasījumiem, rēķinoties ar EIB operāciju rezultātā atgūto līdzekļu, ieņēmumu un atmaksājumu summām. Tāpēc mērķa likme 35 % apmērā tiek uzskatīta par pietiekamu.</w:t>
      </w:r>
    </w:p>
    <w:p>
      <w:pPr>
        <w:spacing w:before="200" w:after="180"/>
        <w:jc w:val="both"/>
        <w:rPr>
          <w:noProof/>
          <w:sz w:val="24"/>
          <w:szCs w:val="24"/>
        </w:rPr>
      </w:pPr>
      <w:r>
        <w:rPr>
          <w:noProof/>
          <w:sz w:val="24"/>
        </w:rPr>
        <w:t>ESIF GF līdz 2022. gadam ir izveides posmā, tādējādi tā papildināšanas nepieciešamība tiks izvērtēta vēlāk.</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rPr>
    </w:pPr>
  </w:p>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hanging="426"/>
      </w:pPr>
      <w:r>
        <w:rPr>
          <w:rStyle w:val="FootnoteReference"/>
        </w:rPr>
        <w:footnoteRef/>
      </w:r>
      <w:r>
        <w:tab/>
        <w:t>OV L 169, 1.7.2015., 1. lpp.</w:t>
      </w:r>
    </w:p>
  </w:footnote>
  <w:footnote w:id="2">
    <w:p>
      <w:pPr>
        <w:pStyle w:val="FootnoteText"/>
        <w:ind w:left="426" w:hanging="426"/>
      </w:pPr>
      <w:r>
        <w:rPr>
          <w:rStyle w:val="FootnoteReference"/>
        </w:rPr>
        <w:footnoteRef/>
      </w:r>
      <w:r>
        <w:tab/>
        <w:t>OV L 345, 27.12.2017., 34. lpp.</w:t>
      </w:r>
    </w:p>
  </w:footnote>
  <w:footnote w:id="3">
    <w:p>
      <w:pPr>
        <w:pStyle w:val="FootnoteText"/>
        <w:ind w:left="426" w:hanging="426"/>
      </w:pPr>
      <w:r>
        <w:rPr>
          <w:rStyle w:val="FootnoteReference"/>
        </w:rPr>
        <w:footnoteRef/>
      </w:r>
      <w:r>
        <w:tab/>
        <w:t>Šis ir ceturtais ziņojums par ESIF GF. Lai aplūkotu iepriekšējos ziņojumus, sk. COM(2016)353 final, COM(2017)326 final un COM(2018)345 final.</w:t>
      </w:r>
    </w:p>
  </w:footnote>
  <w:footnote w:id="4">
    <w:p>
      <w:pPr>
        <w:pStyle w:val="FootnoteText"/>
        <w:ind w:left="426" w:hanging="426"/>
      </w:pPr>
      <w:r>
        <w:rPr>
          <w:rStyle w:val="FootnoteReference"/>
        </w:rPr>
        <w:footnoteRef/>
      </w:r>
      <w:r>
        <w:tab/>
        <w:t>Ar ESIF 2.0 grozījumu ES galvojuma apjoms ir palielināts no 16 miljardiem EUR līdz 26 miljardiem EUR.</w:t>
      </w:r>
    </w:p>
  </w:footnote>
  <w:footnote w:id="5">
    <w:p>
      <w:pPr>
        <w:pStyle w:val="FootnoteText"/>
        <w:ind w:left="426" w:hanging="426"/>
      </w:pPr>
      <w:r>
        <w:rPr>
          <w:rStyle w:val="FootnoteReference"/>
        </w:rPr>
        <w:footnoteRef/>
      </w:r>
      <w:r>
        <w:tab/>
        <w:t>Ar ESIF 2.0 grozījumu EIB grupas galvojuma apjoms ir palielināts no 5 miljardiem EUR līdz 7,5 miljardiem EUR.</w:t>
      </w:r>
    </w:p>
  </w:footnote>
  <w:footnote w:id="6">
    <w:p>
      <w:pPr>
        <w:pStyle w:val="FootnoteText"/>
        <w:ind w:left="426" w:hanging="426"/>
        <w:jc w:val="both"/>
      </w:pPr>
      <w:r>
        <w:rPr>
          <w:rStyle w:val="FootnoteReference"/>
        </w:rPr>
        <w:footnoteRef/>
      </w:r>
      <w:r>
        <w:rPr>
          <w:rStyle w:val="FootnoteReference"/>
        </w:rPr>
        <w:t xml:space="preserve"> </w:t>
      </w:r>
      <w:r>
        <w:tab/>
        <w:t>ESIF galvojuma fonda revidētie finanšu pārskati ir publiskoti ESIF GF ziņojumam pievienotajā Komisijas dienestu darba dokumentā.</w:t>
      </w:r>
    </w:p>
  </w:footnote>
  <w:footnote w:id="7">
    <w:p>
      <w:pPr>
        <w:pStyle w:val="FootnoteText"/>
        <w:ind w:left="426" w:hanging="426"/>
        <w:jc w:val="both"/>
      </w:pPr>
      <w:r>
        <w:rPr>
          <w:rStyle w:val="FootnoteReference"/>
        </w:rPr>
        <w:footnoteRef/>
      </w:r>
      <w:r>
        <w:t xml:space="preserve"> </w:t>
      </w:r>
      <w:r>
        <w:tab/>
        <w:t>Sk. ESIF GF ziņojumam pievienotā Komisijas dienestu darba dokumenta 6. lpp.</w:t>
      </w:r>
    </w:p>
  </w:footnote>
  <w:footnote w:id="8">
    <w:p>
      <w:pPr>
        <w:pStyle w:val="FootnoteText"/>
        <w:ind w:left="426" w:hanging="426"/>
        <w:jc w:val="both"/>
      </w:pPr>
      <w:r>
        <w:rPr>
          <w:rStyle w:val="FootnoteReference"/>
        </w:rPr>
        <w:footnoteRef/>
      </w:r>
      <w:r>
        <w:tab/>
        <w:t>Neto rādītāju veido peļņa 4,3 miljonu EUR apmērā un zaudējumi 17,6 miljonu EUR apmērā.</w:t>
      </w:r>
    </w:p>
  </w:footnote>
  <w:footnote w:id="9">
    <w:p>
      <w:pPr>
        <w:pStyle w:val="FootnoteText"/>
        <w:ind w:left="426" w:hanging="426"/>
        <w:jc w:val="both"/>
      </w:pPr>
      <w:r>
        <w:rPr>
          <w:rStyle w:val="FootnoteReference"/>
        </w:rPr>
        <w:footnoteRef/>
      </w:r>
      <w:r>
        <w:t xml:space="preserve"> </w:t>
      </w:r>
      <w:r>
        <w:tab/>
        <w:t xml:space="preserve">Saskaņā ar ESIF 2.0 grozījuma 11. pantu ES galvojums nekad nepārsniedz 26 miljardus EUR un līdz 2018. gada 6. jūlijam — 16 miljardus EUR. ES galvojuma pieprasījumus un izmantojumus, kā arī portfeļa galvojuma produktu uzkrājumus MVU klases ietvaros atskaita no ES galvojuma maksimālās summas. </w:t>
      </w:r>
    </w:p>
  </w:footnote>
  <w:footnote w:id="10">
    <w:p>
      <w:pPr>
        <w:pStyle w:val="FootnoteText"/>
        <w:ind w:left="426" w:hanging="426"/>
        <w:jc w:val="both"/>
        <w:rPr>
          <w:rStyle w:val="FootnoteReference"/>
        </w:rPr>
      </w:pPr>
      <w:r>
        <w:rPr>
          <w:rStyle w:val="FootnoteReference"/>
        </w:rPr>
        <w:footnoteRef/>
      </w:r>
      <w:r>
        <w:rPr>
          <w:rStyle w:val="FootnoteReference"/>
        </w:rPr>
        <w:t xml:space="preserve"> </w:t>
      </w:r>
      <w:r>
        <w:tab/>
        <w:t>Neto</w:t>
      </w:r>
      <w:r>
        <w:rPr>
          <w:rStyle w:val="FootnoteReference"/>
        </w:rPr>
        <w:t xml:space="preserve"> </w:t>
      </w:r>
      <w:r>
        <w:t>nenokārtotās atgūšanas izmaksas</w:t>
      </w:r>
      <w:r>
        <w:rPr>
          <w:rStyle w:val="FootnoteReference"/>
        </w:rPr>
        <w:t xml:space="preserve"> </w:t>
      </w:r>
      <w:r>
        <w:t>0,5 miljonu EUR apmērā, kas jāiemaksā EIB 2019. gadā saistībā ar</w:t>
      </w:r>
      <w:r>
        <w:rPr>
          <w:rStyle w:val="FootnoteReference"/>
        </w:rPr>
        <w:t xml:space="preserve"> </w:t>
      </w:r>
      <w:r>
        <w:t>neizpildīto maksājumu saistību operāciju.</w:t>
      </w:r>
    </w:p>
  </w:footnote>
  <w:footnote w:id="11">
    <w:p>
      <w:pPr>
        <w:pStyle w:val="FootnoteText"/>
        <w:ind w:left="426" w:hanging="426"/>
        <w:jc w:val="both"/>
      </w:pPr>
      <w:r>
        <w:rPr>
          <w:rStyle w:val="FootnoteReference"/>
        </w:rPr>
        <w:footnoteRef/>
      </w:r>
      <w:r>
        <w:t xml:space="preserve"> </w:t>
      </w:r>
      <w:r>
        <w:tab/>
        <w:t>Sk. ESIF nolīguma 8. panta 1. punkta d) apakšpunktu. Šī summa neietver izmaksas 1,6 miljonu EUR apmērā, kuras saistītas ar iepriekš minēto pieprasījumu.</w:t>
      </w:r>
    </w:p>
  </w:footnote>
  <w:footnote w:id="12">
    <w:p>
      <w:pPr>
        <w:pStyle w:val="FootnoteText"/>
        <w:ind w:left="426" w:hanging="426"/>
      </w:pPr>
      <w:r>
        <w:rPr>
          <w:rStyle w:val="FootnoteReference"/>
        </w:rPr>
        <w:footnoteRef/>
      </w:r>
      <w:r>
        <w:t xml:space="preserve"> </w:t>
      </w:r>
      <w:r>
        <w:tab/>
        <w:t>Sk. ESIF nolīguma 8. panta 1. punkta b) apakšpunktu.</w:t>
      </w:r>
    </w:p>
  </w:footnote>
  <w:footnote w:id="13">
    <w:p>
      <w:pPr>
        <w:pStyle w:val="FootnoteText"/>
        <w:ind w:left="426" w:hanging="426"/>
        <w:jc w:val="both"/>
      </w:pPr>
      <w:r>
        <w:rPr>
          <w:rStyle w:val="FootnoteReference"/>
        </w:rPr>
        <w:footnoteRef/>
      </w:r>
      <w:r>
        <w:t xml:space="preserve"> </w:t>
      </w:r>
      <w:r>
        <w:tab/>
        <w:t>Termiņa skaitliski izteiktais ilgums attiecas uz “modificēto ilgumu”, pēc kura novērtē obligācijas cenas reakciju uz procentu likmju izmaiņām. Šis skaitlis ir balstīts uz pieņēmumu, ka vērtspapīru cena un procentu likmes ir apgriezti proporcionāli saistītas.</w:t>
      </w:r>
    </w:p>
  </w:footnote>
  <w:footnote w:id="14">
    <w:p>
      <w:pPr>
        <w:pStyle w:val="FootnoteText"/>
        <w:ind w:left="426" w:hanging="426"/>
        <w:jc w:val="both"/>
        <w:rPr>
          <w:rStyle w:val="FootnoteReference"/>
        </w:rPr>
      </w:pPr>
      <w:r>
        <w:rPr>
          <w:rStyle w:val="FootnoteReference"/>
        </w:rPr>
        <w:footnoteRef/>
      </w:r>
      <w:r>
        <w:tab/>
        <w:t xml:space="preserve">Kā apliecina ES finanšu pārskati par laikposmu līdz 2018. gada 31. decembrim, neietverot galvojumu līgumus, kuru pieejamības periods sākas 2019. gadā, summas, kuras piešķirtas un vēl nav izmaksātas galvojuma operācijām </w:t>
      </w:r>
      <w:r>
        <w:rPr>
          <w:i/>
        </w:rPr>
        <w:t>COSME</w:t>
      </w:r>
      <w:r>
        <w:t xml:space="preserve"> ietvaros, un summas, kuras ir piešķirtas un vēl nav izmaksātās attiecībā uz pašu kapitāla operācijām. Iekļaujot visas minētās kategorijas, nenokārtoto (izmaksāto un neizmaksāto) riska darījumu kopsumma, uz kuru varētu attiekties ES galvojums, būtu 2,3 miljardi EUR.</w:t>
      </w:r>
    </w:p>
  </w:footnote>
  <w:footnote w:id="15">
    <w:p>
      <w:pPr>
        <w:pStyle w:val="FootnoteText"/>
        <w:ind w:left="426" w:hanging="426"/>
        <w:jc w:val="both"/>
      </w:pPr>
      <w:r>
        <w:rPr>
          <w:rStyle w:val="FootnoteReference"/>
        </w:rPr>
        <w:footnoteRef/>
      </w:r>
      <w:r>
        <w:t xml:space="preserve"> </w:t>
      </w:r>
      <w:r>
        <w:tab/>
        <w:t>Sk. </w:t>
      </w:r>
      <w:hyperlink r:id="rId1">
        <w:r>
          <w:rPr>
            <w:rStyle w:val="Hyperlink"/>
            <w:color w:val="auto"/>
            <w:u w:val="none"/>
          </w:rPr>
          <w:t>ESIF regulas</w:t>
        </w:r>
      </w:hyperlink>
      <w:r>
        <w:t xml:space="preserve"> 12. panta 5. 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ED"/>
    <w:multiLevelType w:val="multilevel"/>
    <w:tmpl w:val="4AD42D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DF5F666-5749-4C7E-9D3A-5E1173AD95D3"/>
    <w:docVar w:name="LW_COVERPAGE_TYPE" w:val="1"/>
    <w:docVar w:name="LW_CROSSREFERENCE" w:val="{SWD(2019) 188 final}"/>
    <w:docVar w:name="LW_DocType" w:val="NORMAL"/>
    <w:docVar w:name="LW_EMISSION" w:val="28.5.2019"/>
    <w:docVar w:name="LW_EMISSION_ISODATE" w:val="2019-05-28"/>
    <w:docVar w:name="LW_EMISSION_LOCATION" w:val="BRX"/>
    <w:docVar w:name="LW_EMISSION_PREFIX" w:val="Briselē, "/>
    <w:docVar w:name="LW_EMISSION_SUFFIX" w:val="."/>
    <w:docVar w:name="LW_ID_DOCTYPE_NONLW" w:val="CP-035"/>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IROPAS PARLAMENTAM, PADOMEI UN REV\u298?ZIJAS PAL\u256?TAI_x000d__x000d__x000d__x000d__x000b_PAR EIROPAS STRAT\u274?\u290?ISKO INVEST\u298?CIJU FONDA GALVOJUMA FONDA P\u256?RVALD\u298?BU 2018. GAD\u256?"/>
    <w:docVar w:name="LW_TYPE.DOC.CP" w:val="KOMISIJAS ZI\u325?OJUM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lv-LV"/>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lv-LV"/>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lv-LV" w:eastAsia="lv-LV"/>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lv-LV" w:eastAsia="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lv-LV" w:eastAsia="lv-LV"/>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lv-LV" w:eastAsia="lv-LV"/>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lv-LV" w:eastAsia="lv-LV"/>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lv-LV"/>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lv-LV"/>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lv-LV" w:eastAsia="lv-LV"/>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lv-LV" w:eastAsia="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lv-LV" w:eastAsia="lv-LV"/>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lv-LV" w:eastAsia="lv-LV"/>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lv-LV" w:eastAsia="lv-LV"/>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5/1017/20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879943-4EEB-49DD-8E8F-3C69A5B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2397</Words>
  <Characters>14769</Characters>
  <Application>Microsoft Office Word</Application>
  <DocSecurity>0</DocSecurity>
  <Lines>234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2019-05-03T14:46:00Z</cp:lastPrinted>
  <dcterms:created xsi:type="dcterms:W3CDTF">2019-05-03T14:40:00Z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