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464809FA-FDCB-4738-BB1A-CAFD6F7176A9" style="width:450.75pt;height:379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TAR-RAKKOMANDAZZJONI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spacing w:before="60" w:after="60"/>
        <w:rPr>
          <w:rFonts w:eastAsia="Arial Unicode MS"/>
          <w:noProof/>
        </w:rPr>
      </w:pPr>
      <w:r>
        <w:rPr>
          <w:noProof/>
        </w:rPr>
        <w:t>Il-Kummissjoni qed tipproponi li tinnegozja Ftehim ġdid ta’ Sħubija dwar is-Sajd Sostenibbli u Protokoll ġdid mar-Repubblika Iżlamika tal-Mauritania li t-tnejn li huma jkunu jissodisfaw il-bżonnijiet tal-flotta tal-Unjoni u jkunu konformi mar-Regolament (UE) Nru 1380/2013 dwar il-Politika Komuni tas-Sajd (il-PKS) u mal-Konklużjonijiet tal-Kunsill tad-19 ta’ Marzu 2012 dwar Komunikazzjoni tal-Kummissjoni dwar id-Dimensjoni Esterna tal-Politika Komuni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Il-Ftehim attwali ta’ Sħubija dwar is-Sajd bejn l-Unjoni Ewropea u l-Mauritania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ġie ffirmat fl-4 ta’ Awwissu 2008</w:t>
      </w:r>
      <w:r>
        <w:rPr>
          <w:rStyle w:val="FootnoteReference"/>
          <w:noProof/>
        </w:rPr>
        <w:footnoteReference w:id="2"/>
      </w:r>
      <w:r>
        <w:rPr>
          <w:noProof/>
        </w:rPr>
        <w:t>. Din ir-Rakkomandazzjoni tipproponi li jiġi nnegozjat Ftehim ġdid ta’ Sħubija dwar is-Sajd Sostenibbli sabiex jiddaħħlu fih ċerti dispożizzjonijiet tar-Regolament (UE) Nru 1380/2013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li l-Ftehim attwali ta’ Sħubija dwar is-Sajd ma jkoprihomx. Il-Protokoll attwali ta’ erba’ snin tal-Ftehim ta’ Sħubija dwar is-Sajd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daħal fis-seħħ fis-16 ta’ Novembru 2015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se jiskadi fil-15 ta’ Novembru 2019. Dan il-Protokoll ġie emendat bid-Deċiżjoni tal-Kummissjoni (UE) 2017/451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bid-Deċiżjoni tal-Kummissjoni (UE) 2017/1373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Huwa jistabbilixxi l-opportunitajiet tas-sajd tal-flotta tal-Unjoni u l-kontribuzzjonijiet finanzjarji korrispondenti li l-Unjoni u s-sidien tal-bastimenti jridu jħallsu.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>Il-kontribuzzjoni finanzjarja pubblika annwali li l-UE għandha tagħti lill-Mauritania hija ta’ EUR 61 625 000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— minn dan l-ammont, EUR 4 125 000 huma allokati għall-appoġġ settorjali.</w:t>
      </w:r>
    </w:p>
    <w:p>
      <w:pPr>
        <w:spacing w:before="60" w:after="240"/>
        <w:rPr>
          <w:rFonts w:eastAsia="Arial Unicode MS"/>
          <w:noProof/>
        </w:rPr>
      </w:pPr>
      <w:r>
        <w:rPr>
          <w:noProof/>
        </w:rPr>
        <w:t>Il-Ftehim ta’ Sħubija dwar is-Sajd mal-Mauritania jipprevedi opportunitajiet tas-sajd għas-sajd għall-ispeċijiet tal-ħut tal-qiegħ u tal-ħut pelaġiku, kif ukoll għas-sajd għat-tonn u għall-ispeċijiet tal-ħut li jpassi ħafna għall-bastimenti tal-UE minn għaxar Stati Membri (li huma l-Ġermanja, l-Irlanda, Spanja, Franza, l-Italja, il-Latvja, il-Litwanja, in-Netherlands, il-Polonja u l-Portugall)</w:t>
      </w:r>
      <w:r>
        <w:rPr>
          <w:rStyle w:val="FootnoteReference"/>
          <w:noProof/>
        </w:rPr>
        <w:footnoteReference w:id="9"/>
      </w:r>
      <w:r>
        <w:rPr>
          <w:noProof/>
        </w:rPr>
        <w:t>. L-Unjoni Ewropea diġà għandha netwerk żviluppat ta’ Ftehimiet bilaterali ta’ Sħubija dwar is-Sajd Sostenibbli fl-Oċean Atlantiku, faċċata tal-Afrika tal-Punent, jiġifieri mal-Marokk, mas-Senegal, mal-Gambja, mal-Guinea-Bissau, mal-Liberja u mal-Kosta tal-Avorju.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Il-Ftehimiet ta’ Sħubija dwar is-Sajd Sostenibbli jikkontribwixxu għall-promozzjoni tal-objettivi tal-PKS fil-livell internazzjonali u jiżguraw li l-attivitajiet tas-sajd tal-Unjoni ’l barra mill-ilmijiet tagħha jissejsu fuq l-istess prinċipji u l-istess standards li japplikaw skont il-liġi tal-Unjoni. Barra minn hekk, il-Ftehimiet ta’ Sħubija dwar is-Sajd Sostenibbli jrawmu l-kooperazzjoni xjentifika bejn l-UE u s-sħab tagħha, jippromwovu t-trasparenza u s-sostenibbiltà sabiex ir-riżorsi tas-sajd jiġu ġestiti aħjar u jinkuraġġixxu l-governanza billi jappoġġaw il-monitoraġġ, il-kontroll u s-sorveljanza tal-attivitajiet tal-flotot nazzjonali u barranin u billi jipprovdu l-fondi biex jiġi miġġieled is-sajd illegali, mhux irrappurtat u mhux irregolat (is-sajd IUU). Il-Ftehimiet ta’ Sħubija dwar is-Sajd Sostenibbli jikkontribwixxu għall-iżvilupp sostenibbli tal-industrija lokali tas-sajd u wkoll għall-promozzjoni tat-tkabbir u ta’ xogħol deċenti b’rabta mal-attività marittima. Il-Ftehimiet ta’ Sħubija dwar is-Sajd Sostenibbli jsaħħu l-pożizzjoni tal-Unjoni Ewropea fl-organizzazzjonijiet reġjonali u internazzjonali tas-sajd — fil-każ tal-Mauritania, b’mod partikulari, isaħħu l-pożizzjoni tagħha fil-Kummissjoni Internazzjonali għall-Konservazzjoni tat-Tonn tal-Atlantiku (l-ICCAT)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u fil-Kumitat tas-Sajd għall-Atlantiku Ċentrali tal-Lvant (is-CECAF)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In-negozjar ta’ Ftehim ġdid u ta’ Protokoll mal-Mauritania huwa konformi mal-azzjoni esterna tal-UE b’rabta mal-pajjiżi Afrikani, tal-Karibew u tal-Paċifiku (il-pajjiżi AKP) u, b’mod partikulari, mal-objettivi tal-Unjoni f’dak li għandu x’jaqsam mal-ħarsien tal-prinċipji demokratiċi u tad-drittijiet tal-bniedem.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ELEMENTI ĠURIDIĊI TAR-RAKKOMANDAZZJONI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Il-bażi ġuridika għad-deċiżjoni jipprovdiha l-Artikolu 218 tat-Trattat dwar il-Funzjonament tal-Unjoni Ewropea (it-TFUE), li jistabbilixxi l-proċedura għan-negozjar u għall-konklużjoni ta’ ftehimiet bejn l-UE u pajjiżi terzi u li jinsab fit-Titolu V, li jittratta l-ftehimiet internazzjonali, tal-Ħames Parti ta’ dak it-Trattat, li tittratta l-azzjoni esterna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tapplikax — kompetenza esklużiva.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Id-deċiżjoni hija proporzjonali mal-objettiv.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L-istrument huwa previst fl-Artikolu 218(3) u fl-Artikolu 218(4) tat-TFUE.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Fl-2018 u fl-2019, il-Kummissjoni wettqet evalwazzjoni </w:t>
      </w:r>
      <w:r>
        <w:rPr>
          <w:i/>
          <w:noProof/>
        </w:rPr>
        <w:t>ex post</w:t>
      </w:r>
      <w:r>
        <w:rPr>
          <w:noProof/>
        </w:rPr>
        <w:t xml:space="preserve"> tal-Protokoll attwali tal-Ftehim ta’ Sħubija dwar is-Sajd mal-Mauritania, kif ukoll evalwazzjoni </w:t>
      </w:r>
      <w:r>
        <w:rPr>
          <w:i/>
          <w:noProof/>
        </w:rPr>
        <w:t>ex ante</w:t>
      </w:r>
      <w:r>
        <w:rPr>
          <w:noProof/>
        </w:rPr>
        <w:t xml:space="preserve"> tat-tiġdid potenzjali tal-Protokoll. Il-konklużjonijiet tal-evalwazzjoni huma mogħtija b’mod separat f’Dokument ta’ Ħidma tal-Persunal tal-Kummissjoni.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Mill-evalwazzjoni ħareġ li s-setturi tas-sajd tal-UE huma interessati ferm fis-sajd fil-Mauritania u li t-tiġdid tal-Protokoll se jgħin biex jissaħħu l-monitoraġġ, il-kontroll u s-sorveljanza u biex tittejjeb il-governanza tas-sajd fir-reġjun.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Minħabba li l-Mauritania għandha żona kbira tas-sajd taħt il-ġuriżdizzjoni tagħha, għall-UE huwa importanti li żżomm strument li jippermetti kooperazzjoni settorjali mill-qrib ma’ dan l-attur ewlieni tal-governanza tal-oċeani fil-livell sottoreġjonali. Barra minn hekk, għall-bastimenti tal-UE, l-iktar għal dawk ibbażati fir-reġjuni l-aktar imbiegħda, bħall-Gżejjer Kanarji, li jistadu għall-ispeċijiet tal-ħut tal-qiegħ u tal-ħut pelaġiku, u għall-bastimenti tas-sajd għat-tonn bit-tartaruni u għall-bastimenti tas-sajd bil-konz, dan ifisser li jinżamm l-aċċess għal żona importanti tas-sajd fejn jistgħu jużaw strateġiji ta’ qbid skont qafas legali internazzjonali pluriennali.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Għall-awtoritajiet tal-Mauritania, l-għan hu li jkomplu jżommu relazzjonijiet mal-UE biex tissaħħaħ il-governanza tal-oċeani u biex jibbenefikaw mill-appoġġ settorjali speċifiku li jipprevedi opportunitajiet ta’ finanzjament pluriennali.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Bħala parti mill-evalwazzjoni ġew ikkonsultati l-Istati Membri, ir-rappreżentanti tal-industrija, l-organizzazzjonijiet internazzjonali tas-soċjetà ċivili, kif ukoll l-amministrazzjoni tas-sajd u s-soċjetà ċivili tal-Mauritania. Saru wkoll konsultazzjonijiet fil-qafas tal-Kunsill Konsultattiv għall-Flotta ta’ Distanzi Twal, b’mod partikulari waqt il-laqgħa tiegħu tas-27 ta’ Marzu 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tapplikax.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Id-direttivi tan-negozjar proposti fl-Anness ta’ din id-Deċiżjoni jirrakkomandaw li jiġi awtorizzat il-ftuħ tan-negozjati, inkluża klawżola dwar il-konsegwenzi li jkun hemm f’każ li jinkisru d-drittijiet tal-bniedem u l-prinċipji demokratiċi.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rPr>
          <w:noProof/>
        </w:rPr>
      </w:pPr>
      <w:r>
        <w:rPr>
          <w:noProof/>
        </w:rPr>
        <w:t>L-implikazzjonijiet baġitarji marbutin mal-Protokoll il-ġdid jinkludu l-ħlas ta’ kontribuzzjoni finanzjarja lir-Repubblika Iżlamika tal-Mauritania. Jeħtieġ li l-allokazzjonijiet baġitarji korrispondenti għall-approprjazzjonijiet ta’ impenn u ta’ pagament jiddaħħlu kull sena fil-linja baġitarja għall-Ftehimiet ta’ Sħubija dwar is-Sajd Sostenibbli (11 03 01) u li dawn l-allokazzjonijiet ikunu kompatibbli mal-ipprogrammar finanzjarju tal-Qafas Finanzjarju Pluriennali rilevanti. L-ammonti annwali għall-impenji u għall-pagamenti huma stabbiliti fil-proċedura baġitarja annwali, inkluża l-linja ta’ riżerva għall-protokolli li jkun għadhom ma daħlux fis-seħħ fil-bidu tas-sena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Pjanijiet ta’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In-negozjati mistennija jinbdew fit-tieni kwart tal-2019.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Il-Kummissjoni tirrakkomanda: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li l-Kunsill jawtorizzaha tiftaħ u twettaq negozjati biex jiġu konklużi Ftehim ġdid ta’ Sħubija dwar is-Sajd Sostenibbli u Protokoll mar-Repubblika Iżlamika tal-Mauritania;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li hija tinħatar bħala n-negozjatur tal-UE dwar dan is-suġġett;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— li hija twettaq in-negozjati b’konsultazzjoni mal-kumitat speċjali, kif stabbilit fit-Trattat dwar il-Funzjonament tal-Unjoni Ewropea;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— li l-Kunsill japprova d-direttivi tan-negozjar mehmużin ma’ din ir-Rakkomandazzjoni. 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Rakkomandazzjoni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li tawtorizza lill-Kummissjoni tiftaħ negozjati, f’isem l-Unjoni Ewropea, biex jiġu konklużi Ftehim ta’ Sħubija dwar is-Sajd Sostenibbli u Protokoll mar-Repubblika Iżlamika tal-Mauritania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218(3) u (4) tiegħu,</w:t>
      </w:r>
    </w:p>
    <w:p>
      <w:pPr>
        <w:rPr>
          <w:noProof/>
        </w:rPr>
      </w:pPr>
      <w:r>
        <w:rPr>
          <w:noProof/>
        </w:rPr>
        <w:t>Wara li kkunsidra r-rakkomandazzjoni tal-Kummissjoni Ewropea,</w:t>
      </w:r>
    </w:p>
    <w:p>
      <w:pPr>
        <w:rPr>
          <w:noProof/>
          <w:szCs w:val="24"/>
        </w:rPr>
      </w:pPr>
      <w:r>
        <w:rPr>
          <w:noProof/>
        </w:rPr>
        <w:t>Billi jenħtieġ li jinfetħu n-negozjati bil-ħsieb li jiġu konklużi Ftehim ġdid ta’ Sħubija dwar is-Sajd Sostenibbli u Protokoll mar-Repubblika Iżlamika tal-Mauritania,</w:t>
      </w:r>
    </w:p>
    <w:p>
      <w:pPr>
        <w:pStyle w:val="Formuledadoption"/>
        <w:rPr>
          <w:noProof/>
        </w:rPr>
      </w:pPr>
      <w:r>
        <w:rPr>
          <w:noProof/>
        </w:rPr>
        <w:t xml:space="preserve">ADOTTA DIN ID-DEĊIŻJONI: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bookmarkStart w:id="1" w:name="_CopyToNewDocument_"/>
      <w:bookmarkEnd w:id="1"/>
      <w:r>
        <w:rPr>
          <w:noProof/>
        </w:rPr>
        <w:t>Il-Kummissjoni b’dan hija awtorizzata tiftaħ negozjati mal-Mauritania bil-ħsieb li tikkonkludi Ftehim ġdid ta’ Sħubija dwar is-Sajd Sostenibbli u Protokoll ma’ dan il-pajjiż.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</w:rPr>
      </w:pPr>
      <w:r>
        <w:rPr>
          <w:noProof/>
        </w:rPr>
        <w:t>In-negozjati għandhom jitwettqu b’konsultazzjoni mal-Grupp ta’ Ħidma tal-Kunsill dwar il-Politika Esterna tas-Sajd u abbażi tad-direttivi tan-negozjar stabbiliti fl-Anness ta’ din id-Deċiżjoni.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ab/>
        <w:t>ĠU L 343, 8.12.2006, p. 4.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https://www.consilium.europa.eu/mt/documents-publications/treaties-agreements/agreement/?id=2006111&amp;DocLanguage=en.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Ara t-Titolu II tal-Parti VI tar-Regolament (UE) Nru 1380/2013.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ĠU L 315, 1.12.2015, p. 3.</w:t>
      </w:r>
      <w:r>
        <w:tab/>
      </w:r>
    </w:p>
    <w:p>
      <w:pPr>
        <w:pStyle w:val="FootnoteText"/>
      </w:pP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">
        <w:r>
          <w:rPr>
            <w:rStyle w:val="Hyperlink"/>
          </w:rPr>
          <w:t>https://www.consilium.europa.eu/mt/documents-publications/treaties-agreements/agreement/?id=2015063&amp;DocLanguage=en.</w:t>
        </w:r>
      </w:hyperlink>
      <w: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L 69, 15.3.2017, p. 34.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L 193, 25.7.2017, p. 4.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Għall-aħħar sentejn tal-Protokoll.  Għas-sentejn ta’ qabel din kienet ta’ EUR 59 125 000 (ara l-Artikolu 2(1) u l-Artikolu 3(1) tal-Protokoll, kif emendat bid-Deċiżjoni tal-Kummissjoni (UE) 2017/451 tal-14 ta’ Marzu 2017 (ĠU L 69, 15.3.2017, p. 34)).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Ir-Renju Unit kellu opportunitajiet tas-sajd sal-2019 fil-kuntest tal-Protokoll attwali tal-Ftehim ta’ Sħubija dwar is-Sajd.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3">
        <w:r>
          <w:rPr>
            <w:rStyle w:val="Hyperlink"/>
          </w:rPr>
          <w:t>http://www.fao.org/fishery/rfb/iccat/en</w:t>
        </w:r>
      </w:hyperlink>
      <w:r>
        <w:t xml:space="preserve"> — din hija l-korp stabbilit skont il-liġi internazzjonali għall-konservazzjoni u għall-ġestjoni tal-ispeċijiet tal-ħut li jpassi ħafna f’dan ir-reġjun.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4">
        <w:r>
          <w:rPr>
            <w:rStyle w:val="Hyperlink"/>
          </w:rPr>
          <w:t>http://www.fao.org/fishery/rfb/cecaf/en</w:t>
        </w:r>
      </w:hyperlink>
      <w:r>
        <w:t xml:space="preserve"> — għall-ispeċijiet tal-ħut tal-qiegħ u tal-ħut pelaġiku.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Il-Kapitolu 40 (il-linja ta’ riżerva 40 02 41) skont il-ftehim interistituzzjonali dwar il-QFP (2013/C 373/01).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3A49C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1AE58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9FAF5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A2C7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C3E4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7CB8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6562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4BC2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1"/>
  </w:num>
  <w:num w:numId="28">
    <w:abstractNumId w:val="14"/>
  </w:num>
  <w:num w:numId="29">
    <w:abstractNumId w:val="9"/>
  </w:num>
  <w:num w:numId="30">
    <w:abstractNumId w:val="20"/>
  </w:num>
  <w:num w:numId="31">
    <w:abstractNumId w:val="8"/>
  </w:num>
  <w:num w:numId="32">
    <w:abstractNumId w:val="15"/>
  </w:num>
  <w:num w:numId="33">
    <w:abstractNumId w:val="17"/>
  </w:num>
  <w:num w:numId="34">
    <w:abstractNumId w:val="18"/>
  </w:num>
  <w:num w:numId="35">
    <w:abstractNumId w:val="10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6:0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464809FA-FDCB-4738-BB1A-CAFD6F7176A9"/>
    <w:docVar w:name="LW_COVERPAGE_TYPE" w:val="1"/>
    <w:docVar w:name="LW_CROSSREFERENCE" w:val="{SWD(2019) 195 final} - {SWD(2019) 196 final}"/>
    <w:docVar w:name="LW_DocType" w:val="COM"/>
    <w:docVar w:name="LW_EMISSION" w:val="4.6.2019"/>
    <w:docVar w:name="LW_EMISSION_ISODATE" w:val="2019-06-04"/>
    <w:docVar w:name="LW_EMISSION_LOCATION" w:val="BRX"/>
    <w:docVar w:name="LW_EMISSION_PREFIX" w:val="Brussell, "/>
    <w:docVar w:name="LW_EMISSION_SUFFIX" w:val=" "/>
    <w:docVar w:name="LW_ID_DOCMODEL" w:val="SG-001"/>
    <w:docVar w:name="LW_ID_DOCSIGNATURE" w:val="SG-001"/>
    <w:docVar w:name="LW_ID_DOCSTRUCTURE" w:val="COM/PL/ORG"/>
    <w:docVar w:name="LW_ID_DOCTYPE" w:val="SG-001"/>
    <w:docVar w:name="LW_ID_STATUT" w:val="SG-001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Rakkomandazzjoni g\u295?al"/>
    <w:docVar w:name="LW_SUPERTITRE" w:val="&lt;UNUSED&gt;"/>
    <w:docVar w:name="LW_TITRE.OBJ.CP" w:val="li tawtorizza lill-Kummissjoni tifta\u295? negozjati, f\u8217?isem l-Unjoni Ewropea, biex ji\u289?u konklu\u380?i Ftehim ta\u8217? S\u295?ubija dwar is-Sajd Sostenibbli u Protokoll mar-Repubblika I\u380?lamika tal-Mauritania_x000b_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LegalNumPar">
    <w:name w:val="LegalNumPar"/>
    <w:basedOn w:val="Normal"/>
    <w:pPr>
      <w:numPr>
        <w:numId w:val="9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9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9"/>
      </w:numPr>
      <w:spacing w:line="36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fishery/rfb/iccat/en" TargetMode="External"/><Relationship Id="rId2" Type="http://schemas.openxmlformats.org/officeDocument/2006/relationships/hyperlink" Target="https://www.consilium.europa.eu/mt/documents-publications/treaties-agreements/agreement/?id=2015063&amp;DocLanguage=en" TargetMode="External"/><Relationship Id="rId1" Type="http://schemas.openxmlformats.org/officeDocument/2006/relationships/hyperlink" Target="https://www.consilium.europa.eu/mt/documents-publications/treaties-agreements/agreement/?id=2006111&amp;DocLanguage=en" TargetMode="External"/><Relationship Id="rId4" Type="http://schemas.openxmlformats.org/officeDocument/2006/relationships/hyperlink" Target="http://www.fao.org/fishery/rfb/cecaf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4A2D-4528-4E9B-AFD1-CEB53A7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6</Pages>
  <Words>1111</Words>
  <Characters>8724</Characters>
  <Application>Microsoft Office Word</Application>
  <DocSecurity>0</DocSecurity>
  <Lines>153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2019-05-20T09:36:00Z</cp:lastPrinted>
  <dcterms:created xsi:type="dcterms:W3CDTF">2019-05-24T07:38:00Z</dcterms:created>
  <dcterms:modified xsi:type="dcterms:W3CDTF">2019-05-31T13:36:00Z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SG-001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