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0DB1BC6D-603B-4C37-9069-253F7479011A"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jc w:val="center"/>
        <w:rPr>
          <w:b/>
          <w:noProof/>
          <w:u w:val="single"/>
        </w:rPr>
      </w:pPr>
      <w:bookmarkStart w:id="0" w:name="_GoBack"/>
      <w:bookmarkEnd w:id="0"/>
      <w:r>
        <w:rPr>
          <w:b/>
          <w:noProof/>
          <w:u w:val="single"/>
        </w:rPr>
        <w:t>BEGRÜNDUNG</w:t>
      </w:r>
    </w:p>
    <w:p>
      <w:pPr>
        <w:keepNext/>
        <w:tabs>
          <w:tab w:val="left" w:pos="850"/>
        </w:tabs>
        <w:spacing w:before="360"/>
        <w:ind w:left="850" w:hanging="850"/>
        <w:outlineLvl w:val="0"/>
        <w:rPr>
          <w:b/>
          <w:smallCaps/>
          <w:noProof/>
        </w:rPr>
      </w:pPr>
      <w:r>
        <w:rPr>
          <w:b/>
          <w:smallCaps/>
          <w:noProof/>
        </w:rPr>
        <w:t>1.</w:t>
      </w:r>
      <w:r>
        <w:rPr>
          <w:noProof/>
        </w:rPr>
        <w:tab/>
      </w:r>
      <w:r>
        <w:rPr>
          <w:b/>
          <w:smallCaps/>
          <w:noProof/>
        </w:rPr>
        <w:t>Gegenstand des Vorschlags</w:t>
      </w:r>
    </w:p>
    <w:p>
      <w:pPr>
        <w:rPr>
          <w:rFonts w:eastAsia="Arial Unicode MS"/>
          <w:noProof/>
        </w:rPr>
      </w:pPr>
      <w:r>
        <w:rPr>
          <w:noProof/>
        </w:rPr>
        <w:t>Der vorliegende Vorschlag betrifft den Beschluss zur Festlegung des Standpunkts, der im Namen der Union im Rat der Weltzollorganisation im Zusammenhang mit der geplanten Annahme eines Empfehlungsentwurfs zur Änderung der HS-Nomenklatur zu vertreten ist.</w:t>
      </w:r>
    </w:p>
    <w:p>
      <w:pPr>
        <w:keepNext/>
        <w:tabs>
          <w:tab w:val="left" w:pos="850"/>
        </w:tabs>
        <w:spacing w:before="360"/>
        <w:ind w:left="850" w:hanging="850"/>
        <w:outlineLvl w:val="0"/>
        <w:rPr>
          <w:b/>
          <w:smallCaps/>
          <w:noProof/>
        </w:rPr>
      </w:pPr>
      <w:r>
        <w:rPr>
          <w:b/>
          <w:smallCaps/>
          <w:noProof/>
        </w:rPr>
        <w:t>2.</w:t>
      </w:r>
      <w:r>
        <w:rPr>
          <w:noProof/>
        </w:rPr>
        <w:tab/>
      </w:r>
      <w:r>
        <w:rPr>
          <w:b/>
          <w:smallCaps/>
          <w:noProof/>
        </w:rPr>
        <w:t>Kontext des Vorschlags</w:t>
      </w:r>
    </w:p>
    <w:p>
      <w:pPr>
        <w:keepNext/>
        <w:tabs>
          <w:tab w:val="left" w:pos="850"/>
        </w:tabs>
        <w:ind w:left="850" w:hanging="850"/>
        <w:outlineLvl w:val="1"/>
        <w:rPr>
          <w:b/>
          <w:noProof/>
        </w:rPr>
      </w:pPr>
      <w:r>
        <w:rPr>
          <w:b/>
          <w:noProof/>
        </w:rPr>
        <w:t>2.1.</w:t>
      </w:r>
      <w:r>
        <w:rPr>
          <w:noProof/>
        </w:rPr>
        <w:tab/>
      </w:r>
      <w:r>
        <w:rPr>
          <w:b/>
          <w:noProof/>
        </w:rPr>
        <w:t>Das Internationale Übereinkommen über das Harmonisierte System zur Bezeichnung und Codierung der Waren</w:t>
      </w:r>
    </w:p>
    <w:p>
      <w:pPr>
        <w:rPr>
          <w:rFonts w:eastAsia="Arial Unicode MS"/>
          <w:noProof/>
        </w:rPr>
      </w:pPr>
      <w:r>
        <w:rPr>
          <w:noProof/>
        </w:rPr>
        <w:t>Das Internationale Übereinkommen über das Harmonisierte System zur Bezeichnung und Codierung der Waren (im Folgenden das „Übereinkommen“) soll den internationalen Handel sowie das Erfassen, das Vergleichen und das Auswerten statistischer Daten, insbesondere derjenigen des internationalen Handels, erleichtern. Im Anhang des Übereinkommens ist die HS-Nomenklatur aufgeführt, ein internationales harmonisiertes System, das es den teilnehmenden Ländern ermöglicht, gehandelte Waren für Zollzwecke auf einer gemeinsamen Grundlage zu klassifizieren. Die HS-Nomenklatur besteht aus den Bezeichnungen der Waren in Form von Positionen und Unterpositionen mit den dazugehörigen sechsstelligen Codenummern. Die HS-Nomenklatur wird alle fünf Jahre überarbeitet.</w:t>
      </w:r>
      <w:r>
        <w:rPr>
          <w:rStyle w:val="FootnoteReference"/>
          <w:noProof/>
        </w:rPr>
        <w:footnoteReference w:id="1"/>
      </w:r>
      <w:r>
        <w:rPr>
          <w:noProof/>
        </w:rPr>
        <w:t xml:space="preserve"> Sie wird von mehr als 190 Verwaltungen weltweit verwendet; folglich werden mehr als 98 % aller weltweit gehandelten Waren entsprechend dem Harmonisierten System eingereiht. </w:t>
      </w:r>
    </w:p>
    <w:p>
      <w:pPr>
        <w:rPr>
          <w:rFonts w:eastAsia="Arial Unicode MS"/>
          <w:noProof/>
        </w:rPr>
      </w:pPr>
      <w:r>
        <w:rPr>
          <w:noProof/>
        </w:rPr>
        <w:t>Das Übereinkommen trat am 1. Januar 1988 in Kraft.</w:t>
      </w:r>
    </w:p>
    <w:p>
      <w:pPr>
        <w:rPr>
          <w:rFonts w:eastAsia="Arial Unicode MS"/>
          <w:noProof/>
        </w:rPr>
      </w:pPr>
      <w:r>
        <w:rPr>
          <w:noProof/>
        </w:rPr>
        <w:t>Die Europäische Union und alle Mitgliedstaaten sind Vertragsparteien des Übereinkommens.</w:t>
      </w:r>
      <w:r>
        <w:rPr>
          <w:rStyle w:val="FootnoteReference"/>
          <w:noProof/>
        </w:rPr>
        <w:footnoteReference w:id="2"/>
      </w:r>
    </w:p>
    <w:p>
      <w:pPr>
        <w:keepNext/>
        <w:tabs>
          <w:tab w:val="left" w:pos="850"/>
        </w:tabs>
        <w:ind w:left="850" w:hanging="850"/>
        <w:outlineLvl w:val="1"/>
        <w:rPr>
          <w:b/>
          <w:noProof/>
        </w:rPr>
      </w:pPr>
      <w:r>
        <w:rPr>
          <w:b/>
          <w:noProof/>
        </w:rPr>
        <w:t>2.2.</w:t>
      </w:r>
      <w:r>
        <w:rPr>
          <w:noProof/>
        </w:rPr>
        <w:tab/>
      </w:r>
      <w:r>
        <w:rPr>
          <w:b/>
          <w:noProof/>
        </w:rPr>
        <w:t>Die Weltzollorganisation (WZO)</w:t>
      </w:r>
    </w:p>
    <w:p>
      <w:pPr>
        <w:rPr>
          <w:rFonts w:eastAsia="Arial Unicode MS"/>
          <w:noProof/>
        </w:rPr>
      </w:pPr>
      <w:r>
        <w:rPr>
          <w:noProof/>
        </w:rPr>
        <w:t>Die Weltzollorganisation, die 1952 als Rat für die Zusammenarbeit auf dem Gebiet des Zollwesens gegründet wurde, ist eine unabhängige zwischenstaatliche Einrichtung, deren Aufgabe es ist, die Wirksamkeit und Effizienz der Zollverwaltungen zu steigern. Die WZO bietet ihren Mitgliedern verschiedene Übereinkommen und andere internationale Rechtsinstrumente und stellt technische Unterstützung und Schulungsangebote zur Verfügung. Die WZO repräsentiert heute 182 Zollverwaltungen weltweit.</w:t>
      </w:r>
    </w:p>
    <w:p>
      <w:pPr>
        <w:rPr>
          <w:rFonts w:eastAsia="Arial Unicode MS"/>
          <w:noProof/>
        </w:rPr>
      </w:pPr>
      <w:r>
        <w:rPr>
          <w:noProof/>
        </w:rPr>
        <w:t xml:space="preserve">Das leitende Organ der WZO ist der Rat, der bei der Wahrnehmung seiner Funktionen von einem Sekretariat und einer Reihe von Fach- und Beratungsausschüssen unterstützt wird. </w:t>
      </w:r>
    </w:p>
    <w:p>
      <w:pPr>
        <w:rPr>
          <w:rFonts w:eastAsiaTheme="majorEastAsia"/>
          <w:bCs/>
          <w:noProof/>
          <w:szCs w:val="26"/>
        </w:rPr>
      </w:pPr>
      <w:r>
        <w:rPr>
          <w:noProof/>
        </w:rPr>
        <w:t>Der bei der WZO für die vorbereitenden Arbeiten in Bezug auf das Übereinkommen zuständige Fachausschuss ist der HS-Ausschuss. Er hat im Wesentlichen folgende Aufgaben:</w:t>
      </w:r>
    </w:p>
    <w:p>
      <w:pPr>
        <w:pStyle w:val="Bullet0"/>
        <w:numPr>
          <w:ilvl w:val="0"/>
          <w:numId w:val="10"/>
        </w:numPr>
        <w:rPr>
          <w:noProof/>
        </w:rPr>
      </w:pPr>
      <w:r>
        <w:rPr>
          <w:noProof/>
        </w:rPr>
        <w:t xml:space="preserve">Er stellt die einheitliche Auslegung und Anwendung der Rechtsvorschriften zum Harmonisierten System sicher, unter anderem durch die Schlichtung von Einreihungsstreitigkeiten zwischen Vertragsparteien, wodurch der Handel erleichtert wird; </w:t>
      </w:r>
    </w:p>
    <w:p>
      <w:pPr>
        <w:pStyle w:val="Bullet0"/>
        <w:rPr>
          <w:noProof/>
        </w:rPr>
      </w:pPr>
      <w:r>
        <w:rPr>
          <w:noProof/>
        </w:rPr>
        <w:t xml:space="preserve">er schlägt Änderungen und Aktualisierungen des Harmonisierten Systems vor, die technischen Entwicklungen und Veränderungen im Handelsgefüge sowie anderen Bedürfnissen der Nutzer des Harmonisierten Systems Rechnung tragen; </w:t>
      </w:r>
    </w:p>
    <w:p>
      <w:pPr>
        <w:pStyle w:val="Bullet0"/>
        <w:rPr>
          <w:noProof/>
        </w:rPr>
      </w:pPr>
      <w:r>
        <w:rPr>
          <w:noProof/>
        </w:rPr>
        <w:t>er fördert eine möglichst breite Anwendung des Harmonisierten Systems und prüft allgemeine und politische Fragen im Zusammenhang mit dem System.</w:t>
      </w:r>
    </w:p>
    <w:p>
      <w:pPr>
        <w:ind w:left="720"/>
        <w:contextualSpacing/>
        <w:rPr>
          <w:rFonts w:eastAsiaTheme="majorEastAsia"/>
          <w:bCs/>
          <w:noProof/>
          <w:szCs w:val="26"/>
        </w:rPr>
      </w:pPr>
    </w:p>
    <w:p>
      <w:pPr>
        <w:rPr>
          <w:rFonts w:eastAsiaTheme="majorEastAsia"/>
          <w:bCs/>
          <w:noProof/>
          <w:szCs w:val="26"/>
        </w:rPr>
      </w:pPr>
      <w:r>
        <w:rPr>
          <w:noProof/>
        </w:rPr>
        <w:t>Der WZO-Rat prüft die Vorschläge für Änderungen des Übereinkommens, die vom HS</w:t>
      </w:r>
      <w:r>
        <w:rPr>
          <w:noProof/>
        </w:rPr>
        <w:noBreakHyphen/>
        <w:t>Ausschuss ausgearbeitet werden, und kann sie den Vertragsparteien empfehlen. Vom Rat empfohlene Änderungen gelten als angenommen, wenn binnen sechs Monaten nach der Notifizierung keine Vertragspartei Einwände erhebt.</w:t>
      </w:r>
    </w:p>
    <w:p>
      <w:pPr>
        <w:rPr>
          <w:rFonts w:eastAsiaTheme="majorEastAsia"/>
          <w:bCs/>
          <w:noProof/>
          <w:szCs w:val="26"/>
        </w:rPr>
      </w:pPr>
      <w:r>
        <w:rPr>
          <w:noProof/>
        </w:rPr>
        <w:t>Die Standpunkte, die im Namen der Union in der WZO in Bezug auf das Harmonisierte System zu vertreten sind, werden unter den Mitgliedstaaten abgestimmt. Die Union und ihre Mitgliedstaaten verfügen insgesamt nur über eine Stimme im WZO-Rat.</w:t>
      </w:r>
    </w:p>
    <w:p>
      <w:pPr>
        <w:keepNext/>
        <w:tabs>
          <w:tab w:val="left" w:pos="850"/>
        </w:tabs>
        <w:ind w:left="850" w:hanging="850"/>
        <w:outlineLvl w:val="1"/>
        <w:rPr>
          <w:b/>
          <w:noProof/>
        </w:rPr>
      </w:pPr>
      <w:r>
        <w:rPr>
          <w:b/>
          <w:noProof/>
        </w:rPr>
        <w:t>2.3.</w:t>
      </w:r>
      <w:r>
        <w:rPr>
          <w:noProof/>
        </w:rPr>
        <w:tab/>
      </w:r>
      <w:r>
        <w:rPr>
          <w:b/>
          <w:noProof/>
        </w:rPr>
        <w:t>Der vom WZO-Rat vorgesehene Rechtsakt</w:t>
      </w:r>
    </w:p>
    <w:p>
      <w:pPr>
        <w:rPr>
          <w:rFonts w:eastAsia="Arial Unicode MS"/>
          <w:noProof/>
        </w:rPr>
      </w:pPr>
      <w:r>
        <w:rPr>
          <w:noProof/>
        </w:rPr>
        <w:t>Auf seiner 133. und 134. Tagung (27. bis 29. Juni 2019) soll der WZO-Rat eine Empfehlung gemäß Artikel 16 des HS-Übereinkommens zur Änderung der Nomenklatur des Harmonisierten Systems annehmen (im Folgenden der „vorgesehene Rechtsakt“). Die überarbeitete HS-Nomenklatur soll 2022 in Kraft treten.</w:t>
      </w:r>
    </w:p>
    <w:p>
      <w:pPr>
        <w:rPr>
          <w:rFonts w:eastAsia="Arial Unicode MS"/>
          <w:noProof/>
        </w:rPr>
      </w:pPr>
      <w:r>
        <w:rPr>
          <w:noProof/>
        </w:rPr>
        <w:t xml:space="preserve">Die Empfehlung wurde vom Ausschuss für das Harmonisierte System bei seiner 63. Tagung vom 19. bis 29. März 2019 ausgearbeitet. </w:t>
      </w:r>
    </w:p>
    <w:p>
      <w:pPr>
        <w:rPr>
          <w:rFonts w:eastAsia="Arial Unicode MS"/>
          <w:noProof/>
        </w:rPr>
      </w:pPr>
      <w:r>
        <w:rPr>
          <w:noProof/>
        </w:rPr>
        <w:t>Der Entwurf der Empfehlung enthält 355 Änderungen der HS-Nomenklatur, die geänderten Handelsmustern, neuen technologischen Entwicklungen und der Notwendigkeit, die Nomenklatur zu modernisieren oder an ihr Umfeld anzupassen, Rechnung tragen sollen. Die vorgeschlagenen Änderungen zielen insbesondere auf Folgendes ab:</w:t>
      </w:r>
    </w:p>
    <w:p>
      <w:pPr>
        <w:pStyle w:val="Tiret0"/>
        <w:numPr>
          <w:ilvl w:val="0"/>
          <w:numId w:val="12"/>
        </w:numPr>
        <w:rPr>
          <w:noProof/>
        </w:rPr>
      </w:pPr>
      <w:r>
        <w:rPr>
          <w:noProof/>
        </w:rPr>
        <w:t>Vereinfachung der Nomenklatur durch Streichung von Positionen und Unterpositionen mit geringem Handelsvolumen, um das HS auf den neuesten Stand und mit der Entwicklung der Erzeugnisse in Einklang zu bringen;</w:t>
      </w:r>
    </w:p>
    <w:p>
      <w:pPr>
        <w:pStyle w:val="ListParagraph"/>
        <w:rPr>
          <w:rFonts w:eastAsia="Arial Unicode MS"/>
          <w:noProof/>
        </w:rPr>
      </w:pPr>
    </w:p>
    <w:p>
      <w:pPr>
        <w:pStyle w:val="Tiret0"/>
        <w:rPr>
          <w:noProof/>
        </w:rPr>
      </w:pPr>
      <w:r>
        <w:rPr>
          <w:noProof/>
        </w:rPr>
        <w:t>Erleichterung der Einreihung in Übereinstimmung mit den geltenden internationalen Normen oder unter Berücksichtigung neuer Erzeugnisse oder der Entwicklung der Zusammensetzung von Erzeugnissen (Zelltherapeutika, 3D-Drucker, Flachbildschirme, Joghurts, Insekten enthaltende Lebensmittel, natives Olivenöl, neuartige Tabakerzeugnisse, Drohnen, Halbleiter und Signalwandler usw.);</w:t>
      </w:r>
    </w:p>
    <w:p>
      <w:pPr>
        <w:pStyle w:val="ListParagraph"/>
        <w:rPr>
          <w:rFonts w:eastAsia="Arial Unicode MS"/>
          <w:noProof/>
        </w:rPr>
      </w:pPr>
    </w:p>
    <w:p>
      <w:pPr>
        <w:pStyle w:val="Tiret0"/>
        <w:rPr>
          <w:noProof/>
        </w:rPr>
      </w:pPr>
      <w:r>
        <w:rPr>
          <w:noProof/>
        </w:rPr>
        <w:t>Angleichung der französischen und der englischen Fassung der Nomenklatur, um eine einheitliche Anwendung zu gewährleisten und bestehende oder zukünftige Einreihungsunterschiede zu reduzieren;</w:t>
      </w:r>
    </w:p>
    <w:p>
      <w:pPr>
        <w:pStyle w:val="ListParagraph"/>
        <w:rPr>
          <w:rFonts w:eastAsia="Arial Unicode MS"/>
          <w:noProof/>
        </w:rPr>
      </w:pPr>
    </w:p>
    <w:p>
      <w:pPr>
        <w:pStyle w:val="Tiret0"/>
        <w:rPr>
          <w:noProof/>
        </w:rPr>
      </w:pPr>
      <w:r>
        <w:rPr>
          <w:noProof/>
        </w:rPr>
        <w:t>Erleichterung der Bekämpfung von Betrug und illegalem Handel sowie des Gesundheits- und Umweltschutzes durch die Einführung von Positionen und Unterpositionen in mehreren Bereichen (synthetische Diamanten, chemische Stoffe, Kulturgüter, Fentanyl, Abfall usw.).</w:t>
      </w:r>
    </w:p>
    <w:p>
      <w:pPr>
        <w:rPr>
          <w:rFonts w:eastAsia="Arial Unicode MS"/>
          <w:noProof/>
        </w:rPr>
      </w:pPr>
      <w:r>
        <w:rPr>
          <w:noProof/>
        </w:rPr>
        <w:t>Vorschläge wurden von internationalen Organisationen (Kimberley-Prozess, FAO, Baseler und Rotterdamer Übereinkommen, Internationaler Olivenrat usw.), Vertragsparteien und dem Sekretariat der WZO eingereicht. Auch die EU hat mehrere Vorschläge unterbreitet (z. B. licht- und wärmeempfindliche Platten, Hartgewebe, aufblasbare Boote, elektronische Spinnstoffe, Glasfasern, 3D-Drucker, feuerfeste Keramik, Schmiedemaschinen, Joghurt, Anmerkung 3 zu Kapitel 27, biegsame Bleistifte).</w:t>
      </w:r>
    </w:p>
    <w:p>
      <w:pPr>
        <w:rPr>
          <w:rFonts w:eastAsia="Arial Unicode MS"/>
          <w:noProof/>
        </w:rPr>
      </w:pPr>
      <w:r>
        <w:rPr>
          <w:noProof/>
        </w:rPr>
        <w:t>Der Entwurf der Empfehlung ist dem Bericht über die 63. Tagung des HS-Ausschusses vom März 2019 als Anhang R beigefügt (Dok. NC2626B1b-HSC/63/March 2019).</w:t>
      </w:r>
    </w:p>
    <w:p>
      <w:pPr>
        <w:keepNext/>
        <w:tabs>
          <w:tab w:val="left" w:pos="850"/>
        </w:tabs>
        <w:spacing w:before="360"/>
        <w:ind w:left="850" w:hanging="850"/>
        <w:outlineLvl w:val="0"/>
        <w:rPr>
          <w:b/>
          <w:smallCaps/>
          <w:noProof/>
        </w:rPr>
      </w:pPr>
      <w:r>
        <w:rPr>
          <w:b/>
          <w:smallCaps/>
          <w:noProof/>
        </w:rPr>
        <w:t>3.</w:t>
      </w:r>
      <w:r>
        <w:rPr>
          <w:noProof/>
        </w:rPr>
        <w:tab/>
      </w:r>
      <w:r>
        <w:rPr>
          <w:b/>
          <w:smallCaps/>
          <w:noProof/>
        </w:rPr>
        <w:t>Im Namen der Union zu vertretender Standpunkt</w:t>
      </w:r>
    </w:p>
    <w:p>
      <w:pPr>
        <w:rPr>
          <w:noProof/>
        </w:rPr>
      </w:pPr>
      <w:r>
        <w:rPr>
          <w:noProof/>
        </w:rPr>
        <w:t>Der vorgeschlagene Standpunkt zielt darauf ab, den Entwurf der Empfehlung zur Änderung der HS-Nomenklatur zu unterstützen.</w:t>
      </w:r>
    </w:p>
    <w:p>
      <w:pPr>
        <w:rPr>
          <w:noProof/>
        </w:rPr>
      </w:pPr>
      <w:r>
        <w:rPr>
          <w:noProof/>
        </w:rPr>
        <w:t>Es ist für die EU wichtig, dass diese Empfehlung angenommen wird, da sie der Aktualisierung und Modernisierung der HS-Nomenklatur sowie der Vereinfachung und der Erleichterung der Einreihung von Waren dient. Die EU hat zudem erheblich zu dieser Modernisierung beigetragen, da sie in diesem Überprüfungszyklus einen großen Teil der entsprechenden Vorschläge vorgelegt hat.</w:t>
      </w:r>
    </w:p>
    <w:p>
      <w:pPr>
        <w:rPr>
          <w:noProof/>
        </w:rPr>
      </w:pPr>
      <w:r>
        <w:rPr>
          <w:noProof/>
        </w:rPr>
        <w:t>Es fanden fortlaufend Konsultationen mit den Mitgliedstaaten im Rahmen der Sachverständigengruppe für Zollfragen (HS/WZO-Koordinierung), im Rat und erforderlichenfalls mit den Kommissionsdienststellen statt.</w:t>
      </w:r>
    </w:p>
    <w:p>
      <w:pPr>
        <w:rPr>
          <w:noProof/>
        </w:rPr>
      </w:pPr>
      <w:r>
        <w:rPr>
          <w:noProof/>
        </w:rPr>
        <w:t>Der EU-Standpunkt zur Änderung betreffend neuartige Tabakerzeugnisse wurde vor der oben genannten Tagung des HS-Ausschusses per Ratsbeschluss</w:t>
      </w:r>
      <w:r>
        <w:rPr>
          <w:rStyle w:val="FootnoteReference"/>
          <w:noProof/>
        </w:rPr>
        <w:footnoteReference w:id="3"/>
      </w:r>
      <w:r>
        <w:rPr>
          <w:noProof/>
        </w:rPr>
        <w:t xml:space="preserve"> festgelegt. Da der Beschluss des Rates vom Vorschlag der Kommission abgewichen ist, gab die Kommission eine Erklärung ab</w:t>
      </w:r>
      <w:r>
        <w:rPr>
          <w:rStyle w:val="FootnoteReference"/>
          <w:noProof/>
        </w:rPr>
        <w:footnoteReference w:id="4"/>
      </w:r>
      <w:r>
        <w:rPr>
          <w:noProof/>
        </w:rPr>
        <w:t>, in der sie daran erinnerte, dass derzeit im Zuge des WHO-Rahmenübereinkommens zur Eindämmung des Tabakgebrauchs Arbeiten zur Art der durch neuartige Tabakerzeugnisse verursachten Emissionen durchgeführt werden und dass die Ergebnisse dieser Arbeiten möglicherweise zu einem späteren Zeitpunkt berücksichtigt werden müssen, wenn neue Erkenntnisse vorliegen, die für die Bewertung der objektiven Merkmale und Eigenschaften für Zollzwecke relevant sind.</w:t>
      </w:r>
    </w:p>
    <w:p>
      <w:pPr>
        <w:rPr>
          <w:noProof/>
        </w:rPr>
      </w:pPr>
      <w:r>
        <w:rPr>
          <w:noProof/>
        </w:rPr>
        <w:t>Daher wird folgender Standpunkt vorgeschlagen:</w:t>
      </w:r>
    </w:p>
    <w:p>
      <w:pPr>
        <w:pStyle w:val="Tiret0"/>
        <w:numPr>
          <w:ilvl w:val="0"/>
          <w:numId w:val="9"/>
        </w:numPr>
        <w:ind w:left="851" w:hanging="851"/>
        <w:rPr>
          <w:noProof/>
        </w:rPr>
      </w:pPr>
      <w:r>
        <w:rPr>
          <w:noProof/>
        </w:rPr>
        <w:t>Die Union sollte die Annahme der Empfehlung unterstützen.</w:t>
      </w:r>
    </w:p>
    <w:p>
      <w:pPr>
        <w:pStyle w:val="Tiret0"/>
        <w:rPr>
          <w:noProof/>
        </w:rPr>
      </w:pPr>
      <w:r>
        <w:rPr>
          <w:noProof/>
        </w:rPr>
        <w:t>Die Union sollte gegebenenfalls weitere redaktionelle Änderungen unterstützen, die das Sekretariat der Weltzollorganisation vorschlagen könnte.</w:t>
      </w:r>
    </w:p>
    <w:p>
      <w:pPr>
        <w:rPr>
          <w:noProof/>
        </w:rPr>
      </w:pPr>
      <w:r>
        <w:rPr>
          <w:noProof/>
        </w:rPr>
        <w:t xml:space="preserve">Der vorgeschlagene Standpunkt der EU steht im Einklang mit der geltenden Zollpolitik und der Rechtsprechung des Gerichtshofs der Europäischen Union, denen zufolge die Einreihung von Waren bei der Einfuhr entsprechend ihren objektiven Merkmalen und Eigenschaften erfolgt. </w:t>
      </w:r>
    </w:p>
    <w:p>
      <w:pPr>
        <w:rPr>
          <w:noProof/>
        </w:rPr>
      </w:pPr>
      <w:r>
        <w:rPr>
          <w:noProof/>
        </w:rPr>
        <w:t xml:space="preserve">Der vorgeschlagene Standpunkt ist notwendig, damit die EU in der Lage ist, bei der nächsten Tagung des WZO-Rates Stellung zu beziehen. </w:t>
      </w:r>
    </w:p>
    <w:p>
      <w:pPr>
        <w:keepNext/>
        <w:tabs>
          <w:tab w:val="left" w:pos="850"/>
        </w:tabs>
        <w:spacing w:before="360"/>
        <w:ind w:left="850" w:hanging="850"/>
        <w:outlineLvl w:val="0"/>
        <w:rPr>
          <w:b/>
          <w:smallCaps/>
          <w:noProof/>
        </w:rPr>
      </w:pPr>
      <w:r>
        <w:rPr>
          <w:b/>
          <w:smallCaps/>
          <w:noProof/>
        </w:rPr>
        <w:t>4.</w:t>
      </w:r>
      <w:r>
        <w:rPr>
          <w:noProof/>
        </w:rPr>
        <w:tab/>
      </w:r>
      <w:r>
        <w:rPr>
          <w:b/>
          <w:smallCaps/>
          <w:noProof/>
        </w:rPr>
        <w:t>Rechtsgrundlage</w:t>
      </w:r>
    </w:p>
    <w:p>
      <w:pPr>
        <w:keepNext/>
        <w:tabs>
          <w:tab w:val="left" w:pos="850"/>
        </w:tabs>
        <w:ind w:left="850" w:hanging="850"/>
        <w:outlineLvl w:val="2"/>
        <w:rPr>
          <w:i/>
          <w:noProof/>
        </w:rPr>
      </w:pPr>
      <w:r>
        <w:rPr>
          <w:i/>
          <w:noProof/>
        </w:rPr>
        <w:t>4.1.1.</w:t>
      </w:r>
      <w:r>
        <w:rPr>
          <w:noProof/>
        </w:rPr>
        <w:tab/>
      </w:r>
      <w:r>
        <w:rPr>
          <w:i/>
          <w:noProof/>
        </w:rPr>
        <w:t>Grundsätze</w:t>
      </w:r>
    </w:p>
    <w:p>
      <w:pPr>
        <w:rPr>
          <w:noProof/>
        </w:rPr>
      </w:pPr>
      <w:r>
        <w:rPr>
          <w:noProof/>
        </w:rPr>
        <w:t>Artikel 218 Absatz 9 des Vertrags über die Arbeitsweise der Europäischen Union (AEUV) sieht vor, dass zur Festlegung der „</w:t>
      </w:r>
      <w:r>
        <w:rPr>
          <w:i/>
          <w:noProof/>
        </w:rPr>
        <w:t>Standpunkte, die im Namen der Union in einem durch eine Übereinkunft eingesetzten Gremium zu vertreten sind, sofern dieses Gremium rechtswirksame Akte, mit Ausnahme von Rechtsakten zur Ergänzung oder Änderung des institutionellen Rahmens der betreffenden Übereinkunft, zu erlassen hat</w:t>
      </w:r>
      <w:r>
        <w:rPr>
          <w:noProof/>
        </w:rPr>
        <w:t>“, Beschlüsse erlassen werden.</w:t>
      </w:r>
    </w:p>
    <w:p>
      <w:pPr>
        <w:rPr>
          <w:noProof/>
        </w:rPr>
      </w:pPr>
      <w:r>
        <w:rPr>
          <w:noProof/>
        </w:rPr>
        <w:t>Der Begriff „</w:t>
      </w:r>
      <w:r>
        <w:rPr>
          <w:i/>
          <w:noProof/>
        </w:rPr>
        <w:t>rechtswirksame Akte</w:t>
      </w:r>
      <w:r>
        <w:rPr>
          <w:noProof/>
        </w:rPr>
        <w:t>“ erfasst auch Akte, die kraft völkerrechtlicher Regelungen, denen das jeweilige Gremium unterliegt, Rechtswirkung entfalten. Daneben fallen Instrumente darunter, die völkerrechtlich nicht bindend, aber geeignet sind, „</w:t>
      </w:r>
      <w:r>
        <w:rPr>
          <w:i/>
          <w:noProof/>
        </w:rPr>
        <w:t>den Inhalt der vom Unionsgesetzgeber […] erlassenen Regelung maßgeblich zu beeinflussen</w:t>
      </w:r>
      <w:r>
        <w:rPr>
          <w:noProof/>
        </w:rPr>
        <w:t>“</w:t>
      </w:r>
      <w:r>
        <w:rPr>
          <w:rStyle w:val="FootnoteReference"/>
          <w:noProof/>
        </w:rPr>
        <w:footnoteReference w:id="5"/>
      </w:r>
      <w:r>
        <w:rPr>
          <w:noProof/>
        </w:rPr>
        <w:t>.</w:t>
      </w:r>
    </w:p>
    <w:p>
      <w:pPr>
        <w:rPr>
          <w:noProof/>
        </w:rPr>
      </w:pPr>
      <w:r>
        <w:rPr>
          <w:noProof/>
        </w:rPr>
        <w:t>Daher ist Artikel 218 Absatz 9 AEUV die verfahrensrechtliche Grundlage für den vorgeschlagenen Beschluss zur Festlegung des im Namen der Union in Bezug auf den vorgesehenen Rechtsakt zu vertretenden Standpunkts.</w:t>
      </w:r>
    </w:p>
    <w:p>
      <w:pPr>
        <w:keepNext/>
        <w:tabs>
          <w:tab w:val="left" w:pos="850"/>
        </w:tabs>
        <w:ind w:left="850" w:hanging="850"/>
        <w:outlineLvl w:val="2"/>
        <w:rPr>
          <w:i/>
          <w:noProof/>
        </w:rPr>
      </w:pPr>
      <w:r>
        <w:rPr>
          <w:i/>
          <w:noProof/>
        </w:rPr>
        <w:t>4.1.2.</w:t>
      </w:r>
      <w:r>
        <w:rPr>
          <w:noProof/>
        </w:rPr>
        <w:tab/>
      </w:r>
      <w:r>
        <w:rPr>
          <w:i/>
          <w:noProof/>
        </w:rPr>
        <w:t>Anwendung auf den vorliegenden Fall</w:t>
      </w:r>
    </w:p>
    <w:p>
      <w:pPr>
        <w:rPr>
          <w:noProof/>
        </w:rPr>
      </w:pPr>
      <w:r>
        <w:rPr>
          <w:noProof/>
        </w:rPr>
        <w:t>Der WZO-Rat ist ein durch eine Übereinkunft, nämlich das Abkommen über die Gründung eines Rates für die Zusammenarbeit auf dem Gebiete des Zollwesens vom 15. Dezember 1950, eingesetztes Gremium. Nach dem Internationalen Übereinkommen über das Harmonisierte System zur Bezeichnung und Codierung der Waren ist der Rat dafür zuständig, den Vertragsparteien Änderungen des Übereinkommens zu empfehlen.</w:t>
      </w:r>
    </w:p>
    <w:p>
      <w:pPr>
        <w:rPr>
          <w:noProof/>
        </w:rPr>
      </w:pPr>
      <w:r>
        <w:rPr>
          <w:noProof/>
        </w:rPr>
        <w:t>Der WZO-Rat wird bei seiner Juni-Sitzung voraussichtlich gemäß Artikel 16 des HS-Übereinkommens eine Änderung des Anhangs des Übereinkommens (im Folgenden „HS-Nomenklatur“) empfehlen, die nach sechs Monaten als angenommen gilt, sofern keine Vertragspartei Einwände erhebt. Angenommene Änderungen sind für alle Vertragsparteien völkerrechtlich bindend, sobald sie in Kraft getreten sind, und die zolltarifliche und statistische Nomenklatur jeder Vertragspartei muss mit dem geänderten Harmonisierten System in Einklang gebracht werden. Nach ihrer Annahme wird die Empfehlung daher in das EU-Recht übernommen, d. h. in Anhang I der Verordnung (EWG) Nr. 2658/87 des Rates über die zolltarifliche und statistische Nomenklatur sowie den Gemeinsamen Zolltarif, da gemäß Artikel 1 Absatz 2 Buchstabe a der genannten Verordnung „</w:t>
      </w:r>
      <w:r>
        <w:rPr>
          <w:i/>
          <w:noProof/>
        </w:rPr>
        <w:t>(2) [die] Kombinierte Nomenklatur [...] a) die Nomenklatur des Harmonisierten Systems [umfasst]</w:t>
      </w:r>
      <w:r>
        <w:rPr>
          <w:noProof/>
        </w:rPr>
        <w:t xml:space="preserve">“. </w:t>
      </w:r>
    </w:p>
    <w:p>
      <w:pPr>
        <w:rPr>
          <w:noProof/>
        </w:rPr>
      </w:pPr>
      <w:r>
        <w:rPr>
          <w:noProof/>
        </w:rPr>
        <w:t>Mit dem vorgesehenen Rechtsakt wird der institutionelle Rahmen des Übereinkommens weder ergänzt noch geändert.</w:t>
      </w:r>
    </w:p>
    <w:p>
      <w:pPr>
        <w:rPr>
          <w:noProof/>
        </w:rPr>
      </w:pPr>
      <w:r>
        <w:rPr>
          <w:noProof/>
        </w:rPr>
        <w:t>Somit ist Artikel 218 Absatz 9 AEUV die verfahrensrechtliche Grundlage für den vorgeschlagenen Beschluss.</w:t>
      </w:r>
    </w:p>
    <w:p>
      <w:pPr>
        <w:keepNext/>
        <w:tabs>
          <w:tab w:val="left" w:pos="850"/>
        </w:tabs>
        <w:ind w:left="850" w:hanging="850"/>
        <w:outlineLvl w:val="1"/>
        <w:rPr>
          <w:b/>
          <w:noProof/>
        </w:rPr>
      </w:pPr>
      <w:r>
        <w:rPr>
          <w:b/>
          <w:noProof/>
        </w:rPr>
        <w:t>4.2.</w:t>
      </w:r>
      <w:r>
        <w:rPr>
          <w:noProof/>
        </w:rPr>
        <w:tab/>
      </w:r>
      <w:r>
        <w:rPr>
          <w:b/>
          <w:noProof/>
        </w:rPr>
        <w:t>Materielle Rechtsgrundlage</w:t>
      </w:r>
    </w:p>
    <w:p>
      <w:pPr>
        <w:keepNext/>
        <w:tabs>
          <w:tab w:val="left" w:pos="850"/>
        </w:tabs>
        <w:ind w:left="850" w:hanging="850"/>
        <w:outlineLvl w:val="2"/>
        <w:rPr>
          <w:i/>
          <w:noProof/>
        </w:rPr>
      </w:pPr>
      <w:r>
        <w:rPr>
          <w:i/>
          <w:noProof/>
        </w:rPr>
        <w:t>4.2.1.</w:t>
      </w:r>
      <w:r>
        <w:rPr>
          <w:noProof/>
        </w:rPr>
        <w:tab/>
      </w:r>
      <w:r>
        <w:rPr>
          <w:i/>
          <w:noProof/>
        </w:rPr>
        <w:t>Grundsätze</w:t>
      </w:r>
    </w:p>
    <w:p>
      <w:pPr>
        <w:rPr>
          <w:noProof/>
        </w:rPr>
      </w:pPr>
      <w:r>
        <w:rPr>
          <w:noProof/>
        </w:rPr>
        <w:t>Die materielle Rechtsgrundlage für einen Beschluss nach Artikel 218 Absatz 9 AEUV hängt in erster Linie von Ziel und Inhalt des vorgesehenen Rechtsakts ab, zu dem ein im Namen der Union zu vertretender Standpunkt festgelegt wird. Liegt dem vorgesehenen Rechtsakt ein doppelter Zweck oder Gegenstand zugrunde und ist einer davon der wesentliche, während der andere von untergeordneter Bedeutung ist, so muss der Beschluss nach Artikel 218 Absatz 9 AEUV auf eine einzige materielle Rechtsgrundlage gestützt werden, nämlich auf diejenige, die der wesentliche oder vorrangige Zweck oder Gegenstand verlangt.</w:t>
      </w:r>
    </w:p>
    <w:p>
      <w:pPr>
        <w:keepNext/>
        <w:tabs>
          <w:tab w:val="left" w:pos="850"/>
        </w:tabs>
        <w:ind w:left="850" w:hanging="850"/>
        <w:outlineLvl w:val="2"/>
        <w:rPr>
          <w:i/>
          <w:noProof/>
        </w:rPr>
      </w:pPr>
      <w:r>
        <w:rPr>
          <w:i/>
          <w:noProof/>
        </w:rPr>
        <w:t>4.2.2.</w:t>
      </w:r>
      <w:r>
        <w:rPr>
          <w:noProof/>
        </w:rPr>
        <w:tab/>
      </w:r>
      <w:r>
        <w:rPr>
          <w:i/>
          <w:noProof/>
        </w:rPr>
        <w:t>Anwendung auf den vorliegenden Fall</w:t>
      </w:r>
    </w:p>
    <w:p>
      <w:pPr>
        <w:rPr>
          <w:noProof/>
        </w:rPr>
      </w:pPr>
      <w:r>
        <w:rPr>
          <w:noProof/>
        </w:rPr>
        <w:t>Da Ziel und Inhalt des vorgesehenen Rechtsakts mit der Zollunion zusammenhängen, ist Artikel 28 Absatz 1 AEUV die materielle Rechtsgrundlage für den vorgeschlagenen Beschluss.</w:t>
      </w:r>
    </w:p>
    <w:p>
      <w:pPr>
        <w:rPr>
          <w:noProof/>
        </w:rPr>
      </w:pPr>
      <w:r>
        <w:rPr>
          <w:noProof/>
        </w:rPr>
        <w:t>4.3. Schlussfolgerung</w:t>
      </w:r>
    </w:p>
    <w:p>
      <w:pPr>
        <w:rPr>
          <w:noProof/>
        </w:rPr>
      </w:pPr>
      <w:r>
        <w:rPr>
          <w:noProof/>
        </w:rPr>
        <w:t>Die Rechtsgrundlage für den vorgeschlagenen Beschluss sollte Artikel 28 Absatz 1 AEUV in Verbindung mit Artikel 218 Absatz 9 AEUV sein.</w:t>
      </w:r>
    </w:p>
    <w:p>
      <w:pPr>
        <w:keepNext/>
        <w:tabs>
          <w:tab w:val="left" w:pos="850"/>
        </w:tabs>
        <w:spacing w:before="360"/>
        <w:ind w:left="850" w:hanging="850"/>
        <w:outlineLvl w:val="0"/>
        <w:rPr>
          <w:b/>
          <w:smallCaps/>
          <w:noProof/>
        </w:rPr>
      </w:pPr>
      <w:r>
        <w:rPr>
          <w:b/>
          <w:smallCaps/>
          <w:noProof/>
        </w:rPr>
        <w:t>5.</w:t>
      </w:r>
      <w:r>
        <w:rPr>
          <w:noProof/>
        </w:rPr>
        <w:tab/>
      </w:r>
      <w:r>
        <w:rPr>
          <w:b/>
          <w:smallCaps/>
          <w:noProof/>
        </w:rPr>
        <w:t xml:space="preserve">Auswirkungen auf den Haushalt </w:t>
      </w:r>
    </w:p>
    <w:p>
      <w:pPr>
        <w:rPr>
          <w:noProof/>
        </w:rPr>
      </w:pPr>
      <w:r>
        <w:rPr>
          <w:noProof/>
        </w:rPr>
        <w:t xml:space="preserve">Der Vorschlag hat keine Auswirkungen auf den Haushalt der Europäischen Union. </w:t>
      </w:r>
    </w:p>
    <w:p>
      <w:pPr>
        <w:keepNext/>
        <w:tabs>
          <w:tab w:val="left" w:pos="850"/>
        </w:tabs>
        <w:spacing w:before="360"/>
        <w:ind w:left="850" w:hanging="850"/>
        <w:outlineLvl w:val="0"/>
        <w:rPr>
          <w:b/>
          <w:smallCaps/>
          <w:noProof/>
        </w:rPr>
      </w:pPr>
      <w:r>
        <w:rPr>
          <w:b/>
          <w:smallCaps/>
          <w:noProof/>
        </w:rPr>
        <w:t>6.</w:t>
      </w:r>
      <w:r>
        <w:rPr>
          <w:noProof/>
        </w:rPr>
        <w:tab/>
      </w:r>
      <w:r>
        <w:rPr>
          <w:b/>
          <w:smallCaps/>
          <w:noProof/>
        </w:rPr>
        <w:t>Veröffentlichung des geplanten Rechtsakts</w:t>
      </w:r>
    </w:p>
    <w:p>
      <w:pPr>
        <w:rPr>
          <w:noProof/>
        </w:rPr>
      </w:pPr>
      <w:r>
        <w:rPr>
          <w:noProof/>
        </w:rPr>
        <w:t>Keine</w:t>
      </w:r>
    </w:p>
    <w:p>
      <w:pPr>
        <w:spacing w:before="0" w:after="200" w:line="276" w:lineRule="auto"/>
        <w:jc w:val="left"/>
        <w:rPr>
          <w:noProof/>
        </w:rPr>
      </w:pPr>
      <w:r>
        <w:rPr>
          <w:noProof/>
        </w:rPr>
        <w:br w:type="page"/>
      </w:r>
    </w:p>
    <w:p>
      <w:pPr>
        <w:spacing w:before="0" w:after="0"/>
        <w:ind w:left="5103"/>
        <w:jc w:val="left"/>
        <w:rPr>
          <w:noProof/>
        </w:rPr>
      </w:pPr>
      <w:r>
        <w:rPr>
          <w:noProof/>
        </w:rPr>
        <w:t>2019/</w:t>
      </w:r>
      <w:r>
        <w:rPr>
          <w:noProof/>
          <w:color w:val="FF0000"/>
        </w:rPr>
        <w:t xml:space="preserve">XXX </w:t>
      </w:r>
      <w:r>
        <w:rPr>
          <w:noProof/>
        </w:rPr>
        <w:t>(NLE)</w:t>
      </w:r>
    </w:p>
    <w:p>
      <w:pPr>
        <w:spacing w:before="360" w:after="0"/>
        <w:jc w:val="center"/>
        <w:rPr>
          <w:noProof/>
        </w:rPr>
      </w:pPr>
      <w:r>
        <w:rPr>
          <w:noProof/>
        </w:rPr>
        <w:t>Vorschlag für einen</w:t>
      </w:r>
    </w:p>
    <w:p>
      <w:pPr>
        <w:spacing w:before="360" w:after="0"/>
        <w:jc w:val="center"/>
        <w:rPr>
          <w:b/>
          <w:noProof/>
        </w:rPr>
      </w:pPr>
      <w:r>
        <w:rPr>
          <w:b/>
          <w:noProof/>
        </w:rPr>
        <w:t>BESCHLUSS DES RATES</w:t>
      </w:r>
    </w:p>
    <w:p>
      <w:pPr>
        <w:spacing w:before="360" w:after="360"/>
        <w:jc w:val="center"/>
        <w:rPr>
          <w:b/>
          <w:noProof/>
        </w:rPr>
      </w:pPr>
      <w:r>
        <w:rPr>
          <w:b/>
          <w:noProof/>
        </w:rPr>
        <w:t>über den im Namen der Europäischen Union im Rat der Weltzollorganisation zu vertretenden Standpunkt in Bezug auf eine Empfehlung gemäß Artikel 16 des WZO-Übereinkommens zur Änderung des Harmonisierten Systems</w:t>
      </w:r>
    </w:p>
    <w:p>
      <w:pPr>
        <w:keepNext/>
        <w:spacing w:before="600"/>
        <w:rPr>
          <w:b/>
          <w:noProof/>
        </w:rPr>
      </w:pPr>
      <w:r>
        <w:rPr>
          <w:b/>
          <w:noProof/>
        </w:rPr>
        <w:t>DER RAT DER EUROPÄISCHEN UNION —</w:t>
      </w:r>
    </w:p>
    <w:p>
      <w:pPr>
        <w:rPr>
          <w:noProof/>
        </w:rPr>
      </w:pPr>
      <w:r>
        <w:rPr>
          <w:noProof/>
        </w:rPr>
        <w:t>gestützt auf den Vertrag über die Arbeitsweise der Europäischen Union, insbesondere auf Artikel 28 Absatz 1 in Verbindung mit Artikel 218 Absatz 9,</w:t>
      </w:r>
    </w:p>
    <w:p>
      <w:pPr>
        <w:rPr>
          <w:noProof/>
        </w:rPr>
      </w:pPr>
      <w:r>
        <w:rPr>
          <w:noProof/>
        </w:rPr>
        <w:t>auf Vorschlag der Europäischen Kommission,</w:t>
      </w:r>
    </w:p>
    <w:p>
      <w:pPr>
        <w:rPr>
          <w:noProof/>
        </w:rPr>
      </w:pPr>
      <w:r>
        <w:rPr>
          <w:noProof/>
        </w:rPr>
        <w:t>in Erwägung nachstehender Gründe:</w:t>
      </w:r>
    </w:p>
    <w:p>
      <w:pPr>
        <w:ind w:left="709" w:hanging="709"/>
        <w:rPr>
          <w:noProof/>
        </w:rPr>
      </w:pPr>
      <w:r>
        <w:rPr>
          <w:noProof/>
        </w:rPr>
        <w:t>(1)</w:t>
      </w:r>
      <w:r>
        <w:rPr>
          <w:noProof/>
        </w:rPr>
        <w:tab/>
        <w:t>Das Internationale Übereinkommen über das Harmonisierte System zur Bezeichnung und Codierung der Waren (im Folgenden das „Übereinkommen“) wurde von der Union mit dem Beschluss 87/369/EWG des Rates</w:t>
      </w:r>
      <w:r>
        <w:rPr>
          <w:rStyle w:val="FootnoteReference"/>
          <w:noProof/>
        </w:rPr>
        <w:footnoteReference w:customMarkFollows="1" w:id="6"/>
        <w:t>1</w:t>
      </w:r>
      <w:r>
        <w:rPr>
          <w:noProof/>
        </w:rPr>
        <w:t xml:space="preserve"> geschlossen und trat am 1. Januar 1988 in Kraft. </w:t>
      </w:r>
    </w:p>
    <w:p>
      <w:pPr>
        <w:ind w:left="709" w:hanging="709"/>
        <w:rPr>
          <w:noProof/>
        </w:rPr>
      </w:pPr>
      <w:r>
        <w:rPr>
          <w:noProof/>
        </w:rPr>
        <w:t>(2)</w:t>
      </w:r>
      <w:r>
        <w:rPr>
          <w:noProof/>
        </w:rPr>
        <w:tab/>
        <w:t xml:space="preserve">Gemäß Artikel 7 des Übereinkommens kann der Ausschuss für das Harmonisierte System für den WZO-Rat Vorschläge zur Änderung des Harmonisierten Systems ausarbeiten. Gemäß Artikel 16 des Übereinkommens kann der Rat der Weltzollorganisation den Vertragsparteien diese Änderungen empfehlen.  </w:t>
      </w:r>
    </w:p>
    <w:p>
      <w:pPr>
        <w:ind w:left="709" w:hanging="709"/>
        <w:rPr>
          <w:noProof/>
        </w:rPr>
      </w:pPr>
      <w:r>
        <w:rPr>
          <w:noProof/>
        </w:rPr>
        <w:t>(3)</w:t>
      </w:r>
      <w:r>
        <w:rPr>
          <w:noProof/>
        </w:rPr>
        <w:tab/>
        <w:t>Der Rat der WZO soll bei seinen Juni-Tagungen über eine Empfehlung an die Vertragsparteien zur Änderung des Harmonisierten Systems entscheiden. Diese Empfehlung wird auf der Grundlage eines Vorschlags angenommen, der vom Ausschuss für das Harmonisierte System ausgearbeitet und bei der 63. Sitzung vom 19. bis 29. März 2019 abgeschlossen wurde. Sie tritt am 1. Januar 2022 in Kraft.</w:t>
      </w:r>
    </w:p>
    <w:p>
      <w:pPr>
        <w:ind w:left="709" w:hanging="709"/>
        <w:rPr>
          <w:rFonts w:eastAsia="Arial Unicode MS"/>
          <w:noProof/>
        </w:rPr>
      </w:pPr>
      <w:r>
        <w:rPr>
          <w:noProof/>
        </w:rPr>
        <w:t>(4)</w:t>
      </w:r>
      <w:r>
        <w:rPr>
          <w:noProof/>
        </w:rPr>
        <w:tab/>
        <w:t xml:space="preserve">Es ist von größter Bedeutung, dass die HS-Nomenklatur stets auf dem neuesten Stand gehalten wird, mit geänderten Handelsmustern und neuen technologischen Entwicklungen in Einklang steht und den Bedürfnissen der Nutzer so weit wie möglich gerecht wird. Die vorgeschlagene Empfehlung enthält zahlreiche Änderungen, die der Notwendigkeit Rechnung tragen, die Nomenklatur zu modernisieren oder an ihr Umfeld anzupassen. </w:t>
      </w:r>
    </w:p>
    <w:p>
      <w:pPr>
        <w:ind w:left="709" w:hanging="709"/>
        <w:rPr>
          <w:noProof/>
        </w:rPr>
      </w:pPr>
      <w:r>
        <w:rPr>
          <w:noProof/>
        </w:rPr>
        <w:t>(5)</w:t>
      </w:r>
      <w:r>
        <w:rPr>
          <w:noProof/>
        </w:rPr>
        <w:tab/>
        <w:t>Da die Empfehlung zur Änderung der HS-Nomenklatur vom WZO-Rat angenommen werden soll, ist es angezeigt, den im Namen der Union zu vertretenden Standpunkt festzulegen, da diese Empfehlung nach ihrer Annahme gemäß Artikel 16 des Übereinkommens für die Union bindend und geeignet sein wird, den Inhalt des Unionsrechts, namentlich des Anhangs I der Verordnung (EWG) Nr. 2658/87 des Rates</w:t>
      </w:r>
      <w:r>
        <w:rPr>
          <w:rStyle w:val="FootnoteReference"/>
          <w:noProof/>
        </w:rPr>
        <w:footnoteReference w:customMarkFollows="1" w:id="7"/>
        <w:t>2</w:t>
      </w:r>
      <w:r>
        <w:rPr>
          <w:noProof/>
        </w:rPr>
        <w:t>, maßgeblich zu beeinflussen.</w:t>
      </w:r>
    </w:p>
    <w:p>
      <w:pPr>
        <w:ind w:left="709" w:hanging="709"/>
        <w:rPr>
          <w:noProof/>
        </w:rPr>
      </w:pPr>
      <w:r>
        <w:rPr>
          <w:noProof/>
        </w:rPr>
        <w:t>(6)</w:t>
      </w:r>
      <w:r>
        <w:rPr>
          <w:noProof/>
        </w:rPr>
        <w:tab/>
        <w:t>Im Vorfeld der 63. Sitzung des Ausschusses für das Harmonisierte System wurde bereits ein Teilstandpunkt der EU zur Vertretung in der WZO festgelegt.</w:t>
      </w:r>
      <w:r>
        <w:rPr>
          <w:rStyle w:val="FootnoteReference"/>
          <w:noProof/>
        </w:rPr>
        <w:footnoteReference w:customMarkFollows="1" w:id="8"/>
        <w:t>3</w:t>
      </w:r>
    </w:p>
    <w:p>
      <w:pPr>
        <w:ind w:left="709" w:hanging="709"/>
        <w:rPr>
          <w:noProof/>
        </w:rPr>
      </w:pPr>
      <w:r>
        <w:rPr>
          <w:noProof/>
        </w:rPr>
        <w:t>(7)</w:t>
      </w:r>
      <w:r>
        <w:rPr>
          <w:noProof/>
        </w:rPr>
        <w:tab/>
        <w:t>Es ist angezeigt, den Entwurf der Änderung der HS-Nomenklatur sowie geringfügige redaktionelle Änderungen, die für notwendig erachtet werden, zu unterstützen —</w:t>
      </w:r>
    </w:p>
    <w:p>
      <w:pPr>
        <w:keepNext/>
        <w:rPr>
          <w:noProof/>
        </w:rPr>
      </w:pPr>
      <w:r>
        <w:rPr>
          <w:noProof/>
        </w:rPr>
        <w:t>HAT FOLGENDEN BESCHLUSS ERLASSEN:</w:t>
      </w:r>
    </w:p>
    <w:p>
      <w:pPr>
        <w:keepNext/>
        <w:spacing w:before="360"/>
        <w:jc w:val="center"/>
        <w:rPr>
          <w:i/>
          <w:noProof/>
        </w:rPr>
      </w:pPr>
      <w:r>
        <w:rPr>
          <w:i/>
          <w:noProof/>
        </w:rPr>
        <w:t>Artikel 1</w:t>
      </w:r>
    </w:p>
    <w:p>
      <w:pPr>
        <w:rPr>
          <w:noProof/>
        </w:rPr>
      </w:pPr>
      <w:r>
        <w:rPr>
          <w:noProof/>
        </w:rPr>
        <w:t>Der Standpunkt, der im Namen der Union bei den Tagungen des WZO-Rates im Juni 2019 zu vertreten ist, besteht darin, den Entwurf der Empfehlung gemäß Artikel 16 zur Änderung des Harmonisierten Systems in der Fassung des Anhangs R des Dokuments NC2626B1b (Report HSC/63/March 2019) zu unterstützen.</w:t>
      </w:r>
    </w:p>
    <w:p>
      <w:pPr>
        <w:rPr>
          <w:noProof/>
        </w:rPr>
      </w:pPr>
      <w:r>
        <w:rPr>
          <w:noProof/>
          <w:color w:val="000000"/>
        </w:rPr>
        <w:t>Die Vertreter der Union können geringfügigen redaktionellen Änderungen des Entwurfs der Empfehlung gemäß Artikel 16 unter Berücksichtigung der Entwicklungen bei den anstehenden Tagungen des WZO-Rates in Abstimmung mit den Mitgliedstaaten oder im Rahmen von Koordinierungssitzungen vor Ort ohne weiteren Beschluss des Rates zustimmen.</w:t>
      </w:r>
      <w:r>
        <w:rPr>
          <w:noProof/>
        </w:rPr>
        <w:t xml:space="preserve"> </w:t>
      </w:r>
    </w:p>
    <w:p>
      <w:pPr>
        <w:keepNext/>
        <w:spacing w:before="360"/>
        <w:jc w:val="center"/>
        <w:rPr>
          <w:i/>
          <w:noProof/>
        </w:rPr>
      </w:pPr>
      <w:r>
        <w:rPr>
          <w:i/>
          <w:noProof/>
        </w:rPr>
        <w:t>Artikel 2</w:t>
      </w:r>
    </w:p>
    <w:p>
      <w:pPr>
        <w:rPr>
          <w:noProof/>
        </w:rPr>
      </w:pPr>
      <w:r>
        <w:rPr>
          <w:noProof/>
        </w:rPr>
        <w:t>Dieser Beschluss ist an die Kommission gerichtet.</w:t>
      </w:r>
    </w:p>
    <w:p>
      <w:pPr>
        <w:keepNext/>
        <w:spacing w:after="0"/>
        <w:rPr>
          <w:noProof/>
        </w:rPr>
      </w:pPr>
      <w:r>
        <w:rPr>
          <w:noProof/>
        </w:rPr>
        <w:t>Geschehen zu Brüssel am […]</w:t>
      </w:r>
    </w:p>
    <w:p>
      <w:pPr>
        <w:keepNext/>
        <w:tabs>
          <w:tab w:val="left" w:pos="4252"/>
        </w:tabs>
        <w:spacing w:before="720" w:after="0"/>
        <w:rPr>
          <w:i/>
          <w:noProof/>
        </w:rPr>
      </w:pPr>
      <w:r>
        <w:rPr>
          <w:noProof/>
        </w:rPr>
        <w:tab/>
      </w:r>
      <w:r>
        <w:rPr>
          <w:i/>
          <w:noProof/>
        </w:rPr>
        <w:t>Im Namen des Rates</w:t>
      </w:r>
    </w:p>
    <w:p>
      <w:pPr>
        <w:tabs>
          <w:tab w:val="left" w:pos="4252"/>
        </w:tabs>
        <w:spacing w:before="0" w:after="0"/>
        <w:jc w:val="left"/>
        <w:rPr>
          <w:noProof/>
        </w:rPr>
      </w:pPr>
      <w:r>
        <w:rPr>
          <w:noProof/>
        </w:rPr>
        <w:tab/>
      </w:r>
      <w:r>
        <w:rPr>
          <w:i/>
          <w:noProof/>
        </w:rPr>
        <w:t xml:space="preserve">Der Präsident </w:t>
      </w:r>
    </w:p>
    <w:sectPr>
      <w:footerReference w:type="default" r:id="rId16"/>
      <w:footerReference w:type="first" r:id="rId1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Seit ihrer Einführung im Jahr 1988 wurde die HS-Nomenklatur fünf Mal überarbeitet. Diese Änderungen traten jeweils 1996, 2002, 2007, 2012 in 2017 in Kraft.</w:t>
      </w:r>
    </w:p>
  </w:footnote>
  <w:footnote w:id="2">
    <w:p>
      <w:pPr>
        <w:pStyle w:val="FootnoteText"/>
      </w:pPr>
      <w:r>
        <w:rPr>
          <w:rStyle w:val="FootnoteReference"/>
        </w:rPr>
        <w:footnoteRef/>
      </w:r>
      <w:r>
        <w:tab/>
        <w:t>Beschluss 87/369/EWG des Rates vom 7. April 1987 über den Abschluss des Internationalen Übereinkommens über das Harmonisierte System zur Bezeichnung und Codierung der Waren sowie des dazugehörigen Änderungsprotokolls (ABl. L 198 vom 20.7.1987, S. 1).</w:t>
      </w:r>
    </w:p>
  </w:footnote>
  <w:footnote w:id="3">
    <w:p>
      <w:pPr>
        <w:pStyle w:val="FootnoteText"/>
        <w:ind w:left="142" w:hanging="142"/>
      </w:pPr>
      <w:r>
        <w:rPr>
          <w:rStyle w:val="FootnoteReference"/>
        </w:rPr>
        <w:footnoteRef/>
      </w:r>
      <w:r>
        <w:tab/>
        <w:t>ST 7138 2019 INIT, Beschluss des Rates über den im Namen der Europäischen Union in der Weltzollorganisation zu vertretenden Standpunkt in Bezug auf das Harmonisierte System.</w:t>
      </w:r>
    </w:p>
  </w:footnote>
  <w:footnote w:id="4">
    <w:p>
      <w:pPr>
        <w:pStyle w:val="FootnoteText"/>
        <w:ind w:left="142" w:hanging="153"/>
      </w:pPr>
      <w:r>
        <w:rPr>
          <w:rStyle w:val="FootnoteReference"/>
        </w:rPr>
        <w:footnoteRef/>
      </w:r>
      <w:r>
        <w:tab/>
        <w:t>ST 7208 2019 INIT ADD 1, Beschluss des Rates über den im Namen der Europäischen Union in der Weltzollorganisation zu vertretenden Standpunkt in Bezug auf das Harmonisierte System – Annahme – Erklärung der Kommission.</w:t>
      </w:r>
    </w:p>
  </w:footnote>
  <w:footnote w:id="5">
    <w:p>
      <w:pPr>
        <w:pStyle w:val="FootnoteText"/>
      </w:pPr>
      <w:r>
        <w:rPr>
          <w:rStyle w:val="FootnoteReference"/>
        </w:rPr>
        <w:footnoteRef/>
      </w:r>
      <w:r>
        <w:tab/>
        <w:t xml:space="preserve">Urteil des Gerichtshofs vom 7. Oktober 2014, </w:t>
      </w:r>
      <w:r>
        <w:rPr>
          <w:i/>
        </w:rPr>
        <w:t>Deutschland/Rat</w:t>
      </w:r>
      <w:r>
        <w:t xml:space="preserve">, C-399/12, ECLI:EU:C:2014:2258, Rn. 61-64. </w:t>
      </w:r>
    </w:p>
  </w:footnote>
  <w:footnote w:id="6">
    <w:p>
      <w:pPr>
        <w:pStyle w:val="FootnoteText"/>
      </w:pPr>
      <w:r>
        <w:rPr>
          <w:rStyle w:val="FootnoteReference"/>
        </w:rPr>
        <w:t>1</w:t>
      </w:r>
      <w:r>
        <w:tab/>
        <w:t>Beschluss 87/369/EWG des Rates vom 7. April 1987 über den Abschluss des Internationalen Übereinkommens über das Harmonisierte System zur Bezeichnung und Codierung der Waren sowie des dazugehörigen Änderungsprotokolls (ABl. L 198 vom 20.7.1987, S. 1).</w:t>
      </w:r>
    </w:p>
  </w:footnote>
  <w:footnote w:id="7">
    <w:p>
      <w:pPr>
        <w:pStyle w:val="FootnoteText"/>
      </w:pPr>
      <w:r>
        <w:rPr>
          <w:rStyle w:val="FootnoteReference"/>
        </w:rPr>
        <w:t>2</w:t>
      </w:r>
      <w:r>
        <w:tab/>
        <w:t>Verordnung (EWG) Nr. 2658/87 des Rates vom 23. Juli 1987 über die zolltarifliche und statistische Nomenklatur sowie den Gemeinsamen Zolltarif (ABl. L 256 vom 7.9.1987, S. 1).</w:t>
      </w:r>
    </w:p>
  </w:footnote>
  <w:footnote w:id="8">
    <w:p>
      <w:pPr>
        <w:pStyle w:val="FootnoteText"/>
      </w:pPr>
      <w:r>
        <w:rPr>
          <w:rStyle w:val="FootnoteReference"/>
        </w:rPr>
        <w:t>3</w:t>
      </w:r>
      <w:r>
        <w:tab/>
        <w:t>ST 7138 2019 INIT, Beschluss des Rates über den im Namen der Europäischen Union in der Weltzollorganisation zu vertretenden Standpunkt in Bezug auf das Harmonisierte System; ST 7208 2019 INIT ADD 1, Beschluss des Rates über den im Namen der Europäischen Union in der Weltzollorganisation zu vertretenden Standpunkt in Bezug auf das Harmonisierte System – Annahme – Erklärung der Kommission.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7A72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822ED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7DCC2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9C1B5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7AA2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E08CEFD2"/>
    <w:lvl w:ilvl="0">
      <w:start w:val="1"/>
      <w:numFmt w:val="decimal"/>
      <w:pStyle w:val="ListNumber"/>
      <w:lvlText w:val="%1."/>
      <w:lvlJc w:val="left"/>
      <w:pPr>
        <w:tabs>
          <w:tab w:val="num" w:pos="360"/>
        </w:tabs>
        <w:ind w:left="360" w:hanging="360"/>
      </w:pPr>
    </w:lvl>
  </w:abstractNum>
  <w:abstractNum w:abstractNumId="6">
    <w:nsid w:val="FFFFFF89"/>
    <w:multiLevelType w:val="singleLevel"/>
    <w:tmpl w:val="29F61EB6"/>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18"/>
    <w:lvlOverride w:ilvl="0">
      <w:startOverride w:val="1"/>
    </w:lvlOverride>
  </w:num>
  <w:num w:numId="10">
    <w:abstractNumId w:val="14"/>
    <w:lvlOverride w:ilvl="0">
      <w:startOverride w:val="1"/>
    </w:lvlOverride>
  </w:num>
  <w:num w:numId="11">
    <w:abstractNumId w:val="11"/>
  </w:num>
  <w:num w:numId="12">
    <w:abstractNumId w:val="18"/>
    <w:lvlOverride w:ilvl="0">
      <w:startOverride w:val="1"/>
    </w:lvlOverride>
  </w:num>
  <w:num w:numId="13">
    <w:abstractNumId w:val="18"/>
  </w:num>
  <w:num w:numId="14">
    <w:abstractNumId w:val="12"/>
  </w:num>
  <w:num w:numId="15">
    <w:abstractNumId w:val="20"/>
  </w:num>
  <w:num w:numId="16">
    <w:abstractNumId w:val="10"/>
  </w:num>
  <w:num w:numId="17">
    <w:abstractNumId w:val="13"/>
  </w:num>
  <w:num w:numId="18">
    <w:abstractNumId w:val="8"/>
  </w:num>
  <w:num w:numId="19">
    <w:abstractNumId w:val="19"/>
  </w:num>
  <w:num w:numId="20">
    <w:abstractNumId w:val="7"/>
  </w:num>
  <w:num w:numId="21">
    <w:abstractNumId w:val="14"/>
  </w:num>
  <w:num w:numId="22">
    <w:abstractNumId w:val="16"/>
  </w:num>
  <w:num w:numId="23">
    <w:abstractNumId w:val="17"/>
  </w:num>
  <w:num w:numId="24">
    <w:abstractNumId w:val="9"/>
  </w:num>
  <w:num w:numId="25">
    <w:abstractNumId w:val="15"/>
  </w:num>
  <w:num w:numId="26">
    <w:abstractNumId w:val="22"/>
  </w:num>
  <w:num w:numId="27">
    <w:abstractNumId w:val="18"/>
  </w:num>
  <w:num w:numId="28">
    <w:abstractNumId w:val="12"/>
  </w:num>
  <w:num w:numId="29">
    <w:abstractNumId w:val="20"/>
  </w:num>
  <w:num w:numId="30">
    <w:abstractNumId w:val="10"/>
  </w:num>
  <w:num w:numId="31">
    <w:abstractNumId w:val="13"/>
  </w:num>
  <w:num w:numId="32">
    <w:abstractNumId w:val="8"/>
  </w:num>
  <w:num w:numId="33">
    <w:abstractNumId w:val="19"/>
  </w:num>
  <w:num w:numId="34">
    <w:abstractNumId w:val="7"/>
  </w:num>
  <w:num w:numId="35">
    <w:abstractNumId w:val="14"/>
  </w:num>
  <w:num w:numId="36">
    <w:abstractNumId w:val="16"/>
  </w:num>
  <w:num w:numId="37">
    <w:abstractNumId w:val="17"/>
  </w:num>
  <w:num w:numId="38">
    <w:abstractNumId w:val="9"/>
  </w:num>
  <w:num w:numId="39">
    <w:abstractNumId w:val="15"/>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7 10:37:47"/>
    <w:docVar w:name="DQCResult_Distribution" w:val="0;0"/>
    <w:docVar w:name="DQCResult_DocumentContent" w:val="0;0"/>
    <w:docVar w:name="DQCResult_DocumentSize" w:val="0;0"/>
    <w:docVar w:name="DQCResult_DocumentVersions" w:val="0;0"/>
    <w:docVar w:name="DQCResult_InvalidFootnotes" w:val="0;3"/>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0DB1BC6D-603B-4C37-9069-253F7479011A"/>
    <w:docVar w:name="LW_COVERPAGE_TYPE" w:val="1"/>
    <w:docVar w:name="LW_CROSSREFERENCE" w:val="&lt;UNUSED&gt;"/>
    <w:docVar w:name="LW_DocType" w:val="COM"/>
    <w:docVar w:name="LW_EMISSION" w:val="3.6.2019"/>
    <w:docVar w:name="LW_EMISSION_ISODATE" w:val="2019-06-03"/>
    <w:docVar w:name="LW_EMISSION_LOCATION" w:val="BRX"/>
    <w:docVar w:name="LW_EMISSION_PREFIX" w:val="Brüssel,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n"/>
    <w:docVar w:name="LW_SUPERTITRE" w:val="&lt;UNUSED&gt;"/>
    <w:docVar w:name="LW_TITRE.OBJ.CP" w:val="über den im Namen der Europäischen Union im Rat der Weltzollorganisation zu vertretenden Standpunkt in Bezug auf eine Empfehlung gemäß Artikel 16 des WZO-Übereinkommens zur Änderung des Harmonisierten Systems"/>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1"/>
      </w:numPr>
      <w:spacing w:line="360" w:lineRule="auto"/>
    </w:pPr>
  </w:style>
  <w:style w:type="paragraph" w:customStyle="1" w:styleId="LegalNumPar2">
    <w:name w:val="LegalNumPar2"/>
    <w:basedOn w:val="Normal"/>
    <w:pPr>
      <w:numPr>
        <w:ilvl w:val="1"/>
        <w:numId w:val="11"/>
      </w:numPr>
      <w:spacing w:line="360" w:lineRule="auto"/>
    </w:pPr>
  </w:style>
  <w:style w:type="paragraph" w:customStyle="1" w:styleId="LegalNumPar3">
    <w:name w:val="LegalNumPar3"/>
    <w:basedOn w:val="Normal"/>
    <w:pPr>
      <w:numPr>
        <w:ilvl w:val="2"/>
        <w:numId w:val="11"/>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1"/>
      </w:numPr>
      <w:spacing w:line="360" w:lineRule="auto"/>
    </w:pPr>
  </w:style>
  <w:style w:type="paragraph" w:customStyle="1" w:styleId="LegalNumPar2">
    <w:name w:val="LegalNumPar2"/>
    <w:basedOn w:val="Normal"/>
    <w:pPr>
      <w:numPr>
        <w:ilvl w:val="1"/>
        <w:numId w:val="11"/>
      </w:numPr>
      <w:spacing w:line="360" w:lineRule="auto"/>
    </w:pPr>
  </w:style>
  <w:style w:type="paragraph" w:customStyle="1" w:styleId="LegalNumPar3">
    <w:name w:val="LegalNumPar3"/>
    <w:basedOn w:val="Normal"/>
    <w:pPr>
      <w:numPr>
        <w:ilvl w:val="2"/>
        <w:numId w:val="11"/>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1656">
      <w:bodyDiv w:val="1"/>
      <w:marLeft w:val="0"/>
      <w:marRight w:val="0"/>
      <w:marTop w:val="0"/>
      <w:marBottom w:val="0"/>
      <w:divBdr>
        <w:top w:val="none" w:sz="0" w:space="0" w:color="auto"/>
        <w:left w:val="none" w:sz="0" w:space="0" w:color="auto"/>
        <w:bottom w:val="none" w:sz="0" w:space="0" w:color="auto"/>
        <w:right w:val="none" w:sz="0" w:space="0" w:color="auto"/>
      </w:divBdr>
      <w:divsChild>
        <w:div w:id="1581325626">
          <w:marLeft w:val="0"/>
          <w:marRight w:val="0"/>
          <w:marTop w:val="0"/>
          <w:marBottom w:val="0"/>
          <w:divBdr>
            <w:top w:val="none" w:sz="0" w:space="0" w:color="auto"/>
            <w:left w:val="none" w:sz="0" w:space="0" w:color="auto"/>
            <w:bottom w:val="none" w:sz="0" w:space="0" w:color="auto"/>
            <w:right w:val="none" w:sz="0" w:space="0" w:color="auto"/>
          </w:divBdr>
        </w:div>
        <w:div w:id="1447892907">
          <w:marLeft w:val="0"/>
          <w:marRight w:val="0"/>
          <w:marTop w:val="0"/>
          <w:marBottom w:val="0"/>
          <w:divBdr>
            <w:top w:val="none" w:sz="0" w:space="0" w:color="auto"/>
            <w:left w:val="none" w:sz="0" w:space="0" w:color="auto"/>
            <w:bottom w:val="none" w:sz="0" w:space="0" w:color="auto"/>
            <w:right w:val="none" w:sz="0" w:space="0" w:color="auto"/>
          </w:divBdr>
        </w:div>
      </w:divsChild>
    </w:div>
    <w:div w:id="648749548">
      <w:bodyDiv w:val="1"/>
      <w:marLeft w:val="0"/>
      <w:marRight w:val="0"/>
      <w:marTop w:val="0"/>
      <w:marBottom w:val="0"/>
      <w:divBdr>
        <w:top w:val="none" w:sz="0" w:space="0" w:color="auto"/>
        <w:left w:val="none" w:sz="0" w:space="0" w:color="auto"/>
        <w:bottom w:val="none" w:sz="0" w:space="0" w:color="auto"/>
        <w:right w:val="none" w:sz="0" w:space="0" w:color="auto"/>
      </w:divBdr>
    </w:div>
    <w:div w:id="721291991">
      <w:bodyDiv w:val="1"/>
      <w:marLeft w:val="0"/>
      <w:marRight w:val="0"/>
      <w:marTop w:val="0"/>
      <w:marBottom w:val="0"/>
      <w:divBdr>
        <w:top w:val="none" w:sz="0" w:space="0" w:color="auto"/>
        <w:left w:val="none" w:sz="0" w:space="0" w:color="auto"/>
        <w:bottom w:val="none" w:sz="0" w:space="0" w:color="auto"/>
        <w:right w:val="none" w:sz="0" w:space="0" w:color="auto"/>
      </w:divBdr>
    </w:div>
    <w:div w:id="1211305809">
      <w:bodyDiv w:val="1"/>
      <w:marLeft w:val="0"/>
      <w:marRight w:val="0"/>
      <w:marTop w:val="0"/>
      <w:marBottom w:val="0"/>
      <w:divBdr>
        <w:top w:val="none" w:sz="0" w:space="0" w:color="auto"/>
        <w:left w:val="none" w:sz="0" w:space="0" w:color="auto"/>
        <w:bottom w:val="none" w:sz="0" w:space="0" w:color="auto"/>
        <w:right w:val="none" w:sz="0" w:space="0" w:color="auto"/>
      </w:divBdr>
      <w:divsChild>
        <w:div w:id="1765494187">
          <w:marLeft w:val="0"/>
          <w:marRight w:val="0"/>
          <w:marTop w:val="0"/>
          <w:marBottom w:val="0"/>
          <w:divBdr>
            <w:top w:val="none" w:sz="0" w:space="0" w:color="auto"/>
            <w:left w:val="none" w:sz="0" w:space="0" w:color="auto"/>
            <w:bottom w:val="none" w:sz="0" w:space="0" w:color="auto"/>
            <w:right w:val="none" w:sz="0" w:space="0" w:color="auto"/>
          </w:divBdr>
        </w:div>
        <w:div w:id="1173301576">
          <w:marLeft w:val="0"/>
          <w:marRight w:val="0"/>
          <w:marTop w:val="0"/>
          <w:marBottom w:val="0"/>
          <w:divBdr>
            <w:top w:val="none" w:sz="0" w:space="0" w:color="auto"/>
            <w:left w:val="none" w:sz="0" w:space="0" w:color="auto"/>
            <w:bottom w:val="none" w:sz="0" w:space="0" w:color="auto"/>
            <w:right w:val="none" w:sz="0" w:space="0" w:color="auto"/>
          </w:divBdr>
        </w:div>
        <w:div w:id="1415012100">
          <w:marLeft w:val="0"/>
          <w:marRight w:val="0"/>
          <w:marTop w:val="0"/>
          <w:marBottom w:val="0"/>
          <w:divBdr>
            <w:top w:val="none" w:sz="0" w:space="0" w:color="auto"/>
            <w:left w:val="none" w:sz="0" w:space="0" w:color="auto"/>
            <w:bottom w:val="none" w:sz="0" w:space="0" w:color="auto"/>
            <w:right w:val="none" w:sz="0" w:space="0" w:color="auto"/>
          </w:divBdr>
        </w:div>
      </w:divsChild>
    </w:div>
    <w:div w:id="1296329896">
      <w:bodyDiv w:val="1"/>
      <w:marLeft w:val="0"/>
      <w:marRight w:val="0"/>
      <w:marTop w:val="0"/>
      <w:marBottom w:val="0"/>
      <w:divBdr>
        <w:top w:val="none" w:sz="0" w:space="0" w:color="auto"/>
        <w:left w:val="none" w:sz="0" w:space="0" w:color="auto"/>
        <w:bottom w:val="none" w:sz="0" w:space="0" w:color="auto"/>
        <w:right w:val="none" w:sz="0" w:space="0" w:color="auto"/>
      </w:divBdr>
    </w:div>
    <w:div w:id="1564607662">
      <w:bodyDiv w:val="1"/>
      <w:marLeft w:val="0"/>
      <w:marRight w:val="0"/>
      <w:marTop w:val="0"/>
      <w:marBottom w:val="0"/>
      <w:divBdr>
        <w:top w:val="none" w:sz="0" w:space="0" w:color="auto"/>
        <w:left w:val="none" w:sz="0" w:space="0" w:color="auto"/>
        <w:bottom w:val="none" w:sz="0" w:space="0" w:color="auto"/>
        <w:right w:val="none" w:sz="0" w:space="0" w:color="auto"/>
      </w:divBdr>
    </w:div>
    <w:div w:id="1801651571">
      <w:bodyDiv w:val="1"/>
      <w:marLeft w:val="0"/>
      <w:marRight w:val="0"/>
      <w:marTop w:val="0"/>
      <w:marBottom w:val="0"/>
      <w:divBdr>
        <w:top w:val="none" w:sz="0" w:space="0" w:color="auto"/>
        <w:left w:val="none" w:sz="0" w:space="0" w:color="auto"/>
        <w:bottom w:val="none" w:sz="0" w:space="0" w:color="auto"/>
        <w:right w:val="none" w:sz="0" w:space="0" w:color="auto"/>
      </w:divBdr>
    </w:div>
    <w:div w:id="2043048399">
      <w:bodyDiv w:val="1"/>
      <w:marLeft w:val="0"/>
      <w:marRight w:val="0"/>
      <w:marTop w:val="0"/>
      <w:marBottom w:val="0"/>
      <w:divBdr>
        <w:top w:val="none" w:sz="0" w:space="0" w:color="auto"/>
        <w:left w:val="none" w:sz="0" w:space="0" w:color="auto"/>
        <w:bottom w:val="none" w:sz="0" w:space="0" w:color="auto"/>
        <w:right w:val="none" w:sz="0" w:space="0" w:color="auto"/>
      </w:divBdr>
      <w:divsChild>
        <w:div w:id="173081647">
          <w:marLeft w:val="0"/>
          <w:marRight w:val="0"/>
          <w:marTop w:val="0"/>
          <w:marBottom w:val="0"/>
          <w:divBdr>
            <w:top w:val="none" w:sz="0" w:space="0" w:color="auto"/>
            <w:left w:val="none" w:sz="0" w:space="0" w:color="auto"/>
            <w:bottom w:val="none" w:sz="0" w:space="0" w:color="auto"/>
            <w:right w:val="none" w:sz="0" w:space="0" w:color="auto"/>
          </w:divBdr>
        </w:div>
        <w:div w:id="293950752">
          <w:marLeft w:val="0"/>
          <w:marRight w:val="0"/>
          <w:marTop w:val="0"/>
          <w:marBottom w:val="0"/>
          <w:divBdr>
            <w:top w:val="none" w:sz="0" w:space="0" w:color="auto"/>
            <w:left w:val="none" w:sz="0" w:space="0" w:color="auto"/>
            <w:bottom w:val="none" w:sz="0" w:space="0" w:color="auto"/>
            <w:right w:val="none" w:sz="0" w:space="0" w:color="auto"/>
          </w:divBdr>
        </w:div>
        <w:div w:id="1103844438">
          <w:marLeft w:val="0"/>
          <w:marRight w:val="0"/>
          <w:marTop w:val="0"/>
          <w:marBottom w:val="0"/>
          <w:divBdr>
            <w:top w:val="none" w:sz="0" w:space="0" w:color="auto"/>
            <w:left w:val="none" w:sz="0" w:space="0" w:color="auto"/>
            <w:bottom w:val="none" w:sz="0" w:space="0" w:color="auto"/>
            <w:right w:val="none" w:sz="0" w:space="0" w:color="auto"/>
          </w:divBdr>
        </w:div>
      </w:divsChild>
    </w:div>
    <w:div w:id="2076972413">
      <w:bodyDiv w:val="1"/>
      <w:marLeft w:val="0"/>
      <w:marRight w:val="0"/>
      <w:marTop w:val="0"/>
      <w:marBottom w:val="0"/>
      <w:divBdr>
        <w:top w:val="none" w:sz="0" w:space="0" w:color="auto"/>
        <w:left w:val="none" w:sz="0" w:space="0" w:color="auto"/>
        <w:bottom w:val="none" w:sz="0" w:space="0" w:color="auto"/>
        <w:right w:val="none" w:sz="0" w:space="0" w:color="auto"/>
      </w:divBdr>
      <w:divsChild>
        <w:div w:id="785738253">
          <w:marLeft w:val="0"/>
          <w:marRight w:val="0"/>
          <w:marTop w:val="0"/>
          <w:marBottom w:val="0"/>
          <w:divBdr>
            <w:top w:val="none" w:sz="0" w:space="0" w:color="auto"/>
            <w:left w:val="none" w:sz="0" w:space="0" w:color="auto"/>
            <w:bottom w:val="none" w:sz="0" w:space="0" w:color="auto"/>
            <w:right w:val="none" w:sz="0" w:space="0" w:color="auto"/>
          </w:divBdr>
        </w:div>
        <w:div w:id="634289064">
          <w:marLeft w:val="0"/>
          <w:marRight w:val="0"/>
          <w:marTop w:val="0"/>
          <w:marBottom w:val="0"/>
          <w:divBdr>
            <w:top w:val="none" w:sz="0" w:space="0" w:color="auto"/>
            <w:left w:val="none" w:sz="0" w:space="0" w:color="auto"/>
            <w:bottom w:val="none" w:sz="0" w:space="0" w:color="auto"/>
            <w:right w:val="none" w:sz="0" w:space="0" w:color="auto"/>
          </w:divBdr>
        </w:div>
        <w:div w:id="24923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AB83DA9-F168-4D74-ACB1-F685F673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Pages>
  <Words>2033</Words>
  <Characters>13279</Characters>
  <Application>Microsoft Office Word</Application>
  <DocSecurity>0</DocSecurity>
  <Lines>232</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15</cp:revision>
  <cp:lastPrinted>2019-05-21T15:14:00Z</cp:lastPrinted>
  <dcterms:created xsi:type="dcterms:W3CDTF">2019-06-06T08:16:00Z</dcterms:created>
  <dcterms:modified xsi:type="dcterms:W3CDTF">2019-06-07T08:37:00Z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