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C2D43DAF-8E7E-4BB5-A0CB-64492E3F60C0" style="width:450.8pt;height:365.6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2019/0129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fil-Kunsill tal-Organizzazzjoni Dinjija Doganali b’rabta mar-Rakkomandazzjoni tad-WCO skont l-Artikolu 16 li jemenda s-Sistema Armonizzata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MEMORANDUM TA’ SPJEGAZZJONI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1.</w:t>
      </w:r>
      <w:r>
        <w:rPr>
          <w:b/>
          <w:smallCaps/>
          <w:noProof/>
        </w:rPr>
        <w:tab/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għandha tittieħed f’isem l-Unjoni fil-Kunsill tal-Organizzazzjoni Dinjija Doganali b’rabta mal-adozzjoni prevista ta’ abbozz ta’ Rakkomandazzjoni dwar l-emenda tan-Nomenklatura tas-Sistema Armonizzata (SA).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2.</w:t>
      </w:r>
      <w:r>
        <w:rPr>
          <w:b/>
          <w:smallCaps/>
          <w:noProof/>
        </w:rPr>
        <w:tab/>
        <w:t>Kuntest tal-proposta</w:t>
      </w:r>
    </w:p>
    <w:p>
      <w:pPr>
        <w:keepNext/>
        <w:tabs>
          <w:tab w:val="left" w:pos="850"/>
        </w:tabs>
        <w:ind w:left="850" w:hanging="850"/>
        <w:outlineLvl w:val="1"/>
        <w:rPr>
          <w:b/>
          <w:noProof/>
        </w:rPr>
      </w:pPr>
      <w:r>
        <w:rPr>
          <w:b/>
          <w:noProof/>
        </w:rPr>
        <w:t>2.1.</w:t>
      </w:r>
      <w:r>
        <w:rPr>
          <w:b/>
          <w:noProof/>
        </w:rPr>
        <w:tab/>
        <w:t>Il-Konvenzjoni Internazzjonali dwar is-Sistema Armonizzata għad-Deskrizzjoni u l-Kodifika ta’ Oġġetti</w:t>
      </w:r>
    </w:p>
    <w:p>
      <w:pPr>
        <w:rPr>
          <w:rFonts w:eastAsia="Arial Unicode MS"/>
          <w:noProof/>
        </w:rPr>
      </w:pPr>
      <w:r>
        <w:rPr>
          <w:noProof/>
        </w:rPr>
        <w:t>Il-Konvenzjoni Internazzjonali dwar is-Sistema Armonizzata għad-Deskrizzjoni u l-Kodifika ta’ Oġġetti (“il-Ftehim”) għandha l-għan li tiffaċilita l-kummerċ internazzjonali u l-ġbir, it-tqabbil u l-analiżi tal-istatistika, b’mod partikolari dawk dwar il-kummerċ internazzjonali. Bħala Anness din tinkludi n-Nomenklatura tas-SA li hija sistema armonizzata internazzjonali li tippermetti lill-pajjiżi parteċipanti jikklassifikaw oġġetti tal-kummerċ fuq bażi komuni għal skopijiet doganali. B’mod partikolari, in-Nomenklatura tas-SA tinkludi d-deskrizzjoni tal-oġġetti, li jidhru bħala intestaturi u subintestaturi, u l-kodiċijiet numeriċi relatati tagħhom, fuq il-bażi ta’ sistema ta’ kodiċi b’sitt figuri. In-Nomenklatura tas-SA tiġi riveduta kull ħames snin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Din hi applikata minn aktar minn 190 amministrazzjoni minn madwar id-dinja; konsegwentement, aktar minn 98 % tal-oġġetti kollha tal-kummerċ fid-dinja jiġu klassifikati skont din. </w:t>
      </w:r>
    </w:p>
    <w:p>
      <w:pPr>
        <w:rPr>
          <w:rFonts w:eastAsia="Arial Unicode MS"/>
          <w:noProof/>
        </w:rPr>
      </w:pPr>
      <w:r>
        <w:rPr>
          <w:noProof/>
        </w:rPr>
        <w:t>Il-Ftehim daħal fis-seħħ fl-1 ta’ Jannar 1988.</w:t>
      </w:r>
    </w:p>
    <w:p>
      <w:pPr>
        <w:rPr>
          <w:rFonts w:eastAsia="Arial Unicode MS"/>
          <w:noProof/>
        </w:rPr>
      </w:pPr>
      <w:r>
        <w:rPr>
          <w:noProof/>
        </w:rPr>
        <w:t>L-Unjoni Ewropea u l-Istati Membri kollha huma partijiet għall-Ftehim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keepNext/>
        <w:tabs>
          <w:tab w:val="left" w:pos="850"/>
        </w:tabs>
        <w:ind w:left="850" w:hanging="850"/>
        <w:outlineLvl w:val="1"/>
        <w:rPr>
          <w:b/>
          <w:noProof/>
        </w:rPr>
      </w:pPr>
      <w:r>
        <w:rPr>
          <w:b/>
          <w:noProof/>
        </w:rPr>
        <w:t>2.2.</w:t>
      </w:r>
      <w:r>
        <w:rPr>
          <w:b/>
          <w:noProof/>
        </w:rPr>
        <w:tab/>
        <w:t>L-Organizzazzjoni Dinjija Doganali (WCO)</w:t>
      </w:r>
    </w:p>
    <w:p>
      <w:pPr>
        <w:rPr>
          <w:rFonts w:eastAsia="Arial Unicode MS"/>
          <w:noProof/>
        </w:rPr>
      </w:pPr>
      <w:r>
        <w:rPr>
          <w:noProof/>
        </w:rPr>
        <w:t>L-Organizzazzjoni Dinjija Doganali (WCO), imwaqqfa fl-1952 bħala l-Kunsill għall-Kooperazzjoni Doganali, hija korp intergovernattiv indipendenti b’missjoni li jsaħħaħ l-effikaċja u l-effiċjenza tal-amministrazzjonijiet Doganali. Id-WCO toffri lill-Membri tagħha firxa ta’ Konvenzjonijiet u ta’ strumenti internazzjonali oħra, kif ukoll assistenza teknika u servizzi ta’ taħriġ. Illum il-ġurnata, id-WCO tirrappreżenta 182 amministrazzjoni Doganali minn madwar id-dinja.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Il-korp regolatorju tad-WCO hu l-Kunsill, li jibbaża ruħu fuq il-kompetenza u l-ħiliet ta’ Segretarjat u fuq firxa ta’ kumitati tekniċi u konsultattivi biex iwettaq il-missjoni tiegħu. </w:t>
      </w:r>
    </w:p>
    <w:p>
      <w:pPr>
        <w:rPr>
          <w:rFonts w:eastAsiaTheme="majorEastAsia"/>
          <w:bCs/>
          <w:noProof/>
          <w:szCs w:val="26"/>
        </w:rPr>
      </w:pPr>
      <w:r>
        <w:rPr>
          <w:noProof/>
        </w:rPr>
        <w:t>Il-Kumitat tekniku fid-WCO, li hu inkarigat mix-xogħol preparatorju relatat mal-Ftehim, hu l-Kumitat tas-SA. Il-kompiti ewlenin tal-Kumitat tas-SA huma dawn li ġejjin:</w:t>
      </w:r>
    </w:p>
    <w:p>
      <w:pPr>
        <w:pStyle w:val="Bullet0"/>
        <w:numPr>
          <w:ilvl w:val="0"/>
          <w:numId w:val="10"/>
        </w:numPr>
        <w:rPr>
          <w:noProof/>
        </w:rPr>
      </w:pPr>
      <w:r>
        <w:rPr>
          <w:noProof/>
        </w:rPr>
        <w:t xml:space="preserve">Jiżgura l-interpretazzjoni u l-applikazzjoni uniformi tat-testi legali tas-Sistema Armonizzata, inkluż billi jsib soluzzjonijiet għat-tilwimiet dwar il-klassifikazzjoni bejn Partijiet Kontraenti, u b’hekk jiffaċilita l-kummerċ; </w:t>
      </w:r>
    </w:p>
    <w:p>
      <w:pPr>
        <w:pStyle w:val="Bullet0"/>
        <w:rPr>
          <w:noProof/>
        </w:rPr>
      </w:pPr>
      <w:r>
        <w:rPr>
          <w:noProof/>
        </w:rPr>
        <w:t xml:space="preserve">Jipproponi emendi u aġġornamenti għas-Sistema Armonizzata biex din tirrifletti l-iżviluppi fit-teknoloġija u t-tibdiliet fix-xejriet tal-kummerċ kif ukoll ħtiġijiet oħra tal-utenti tas-Sistema Armonizzata; </w:t>
      </w:r>
    </w:p>
    <w:p>
      <w:pPr>
        <w:pStyle w:val="Bullet0"/>
        <w:rPr>
          <w:noProof/>
        </w:rPr>
      </w:pPr>
      <w:r>
        <w:rPr>
          <w:noProof/>
        </w:rPr>
        <w:t>Jippromwovi l-applikazzjoni mifruxa tas-Sistema Armonizzata u jeżamina mistoqsijiet ġenerali u kwistjonijiet ta’ politika relatati magħha.</w:t>
      </w:r>
    </w:p>
    <w:p>
      <w:pPr>
        <w:ind w:left="720"/>
        <w:contextualSpacing/>
        <w:rPr>
          <w:rFonts w:eastAsiaTheme="majorEastAsia"/>
          <w:bCs/>
          <w:noProof/>
          <w:szCs w:val="26"/>
          <w:lang w:eastAsia="en-GB"/>
        </w:rPr>
      </w:pPr>
    </w:p>
    <w:p>
      <w:pPr>
        <w:rPr>
          <w:rFonts w:eastAsiaTheme="majorEastAsia"/>
          <w:bCs/>
          <w:noProof/>
          <w:szCs w:val="26"/>
        </w:rPr>
      </w:pPr>
      <w:r>
        <w:rPr>
          <w:noProof/>
        </w:rPr>
        <w:t>Il-Kunsill tad-WCO jeżamina proposti ta’ emendi għall-Ftehim, imħejjija mill-Kumitat tas-SA, u jista’ jirrakkomandahom lill-Partijiet Kontraenti. L-emendi rakkomandati mill-Kunsill tad-WCO jitqiesu aċċettati jekk l-ebda Parti Kontraenti ma tippreżenta oġġezzjoni fi żmien sitt xhur minn meta jiġu notifikati.</w:t>
      </w:r>
    </w:p>
    <w:p>
      <w:pPr>
        <w:rPr>
          <w:rFonts w:eastAsiaTheme="majorEastAsia"/>
          <w:bCs/>
          <w:noProof/>
          <w:szCs w:val="26"/>
        </w:rPr>
      </w:pPr>
      <w:r>
        <w:rPr>
          <w:noProof/>
        </w:rPr>
        <w:t>Il-pożizzjonijiet li għandhom jittieħdu mill-Unjoni fid-WCO dwar is-SA huma koordinati mal-Istati Membri. L-Unjoni u l-Istati Membri tagħha flimkien għandhom vot wieħed biss fil-Kunsill tad-WCO.</w:t>
      </w:r>
    </w:p>
    <w:p>
      <w:pPr>
        <w:keepNext/>
        <w:tabs>
          <w:tab w:val="left" w:pos="850"/>
        </w:tabs>
        <w:ind w:left="850" w:hanging="850"/>
        <w:outlineLvl w:val="1"/>
        <w:rPr>
          <w:b/>
          <w:noProof/>
        </w:rPr>
      </w:pPr>
      <w:r>
        <w:rPr>
          <w:b/>
          <w:noProof/>
        </w:rPr>
        <w:t>2.3.</w:t>
      </w:r>
      <w:r>
        <w:rPr>
          <w:b/>
          <w:noProof/>
        </w:rPr>
        <w:tab/>
        <w:t>L-att previst tal-Kunsill tad-WCO</w:t>
      </w:r>
    </w:p>
    <w:p>
      <w:pPr>
        <w:rPr>
          <w:rFonts w:eastAsia="Arial Unicode MS"/>
          <w:noProof/>
        </w:rPr>
      </w:pPr>
      <w:r>
        <w:rPr>
          <w:noProof/>
        </w:rPr>
        <w:t>Fis-sessjonijiet numru 133/134 tiegħu (27-29 ta’ Ġunju 2019) il-Kunsill tad-WCO għandu jadotta r-Rakkomandazzjoni skont l-Artikolu 16 tal-Konvenzjoni tas-SA dwar l-emendi tan-Nomenklatura tas-SA (“l-att previst”). In-Nomenklatura riveduta tas-SA se tidħol fis-seħħ fl-2022.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It-tħejjija tar-Rakkomandazzjoni twettqet bejn id-19 u d-29 ta’ Marzu 2019, matul is-sessjoni numru tlieta u sittin tal-Kumitat tas-SA. </w:t>
      </w:r>
    </w:p>
    <w:p>
      <w:pPr>
        <w:rPr>
          <w:rFonts w:eastAsia="Arial Unicode MS"/>
          <w:noProof/>
        </w:rPr>
      </w:pPr>
      <w:r>
        <w:rPr>
          <w:noProof/>
        </w:rPr>
        <w:t>L-abbozz tar-rakkomandazzjoni jinkludi 355 sett ta’ emendi tan-Nomenklatura tas-SA li għandhom l-għan li jirriflettu l-evoluzzjoni tax-xejriet kummerċjali, l-iżvilupp ta’ teknoloġiji ġodda u l-ħtieġa li n-nomenklatura tiġi modernizzata jew adattata għall-ambjent tagħha. B’mod partikolari, l-emendi proposti: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>Jissimplifikaw in-Nomenklatura billi jħassru intestaturi u subintestaturi b’volum baxx ta’ kummerċ, biex b’hekk iżommu s-SA aġġornata u konformi mal-evoluzzjoni tal-prodotti.</w:t>
      </w:r>
    </w:p>
    <w:p>
      <w:pPr>
        <w:pStyle w:val="ListParagraph"/>
        <w:rPr>
          <w:rFonts w:eastAsia="Arial Unicode MS"/>
          <w:noProof/>
        </w:rPr>
      </w:pPr>
    </w:p>
    <w:p>
      <w:pPr>
        <w:pStyle w:val="Tiret0"/>
        <w:rPr>
          <w:noProof/>
        </w:rPr>
      </w:pPr>
      <w:r>
        <w:rPr>
          <w:noProof/>
        </w:rPr>
        <w:t>Jiffaċilitaw il-klassifikazzjoni b’koerenza mal-istandards internazzjonali applikabbli, jew billi jqisu l-prodotti l-ġodda jew l-evoluzzjoni tal-kompożizzjoni tal-prodotti (prodotti tat-terapija taċ-ċelloli, stampaturi 3D, skrins ċatti, jogurts, prodotti tal-ikel tal-insetti, żejt taż-żebbuġa verġni, prodotti tat-tabakk ġodda, droni, semikondutturi u transdjusers, eċċ.).</w:t>
      </w:r>
    </w:p>
    <w:p>
      <w:pPr>
        <w:pStyle w:val="ListParagraph"/>
        <w:rPr>
          <w:rFonts w:eastAsia="Arial Unicode MS"/>
          <w:noProof/>
        </w:rPr>
      </w:pPr>
    </w:p>
    <w:p>
      <w:pPr>
        <w:pStyle w:val="Tiret0"/>
        <w:rPr>
          <w:noProof/>
        </w:rPr>
      </w:pPr>
      <w:r>
        <w:rPr>
          <w:noProof/>
        </w:rPr>
        <w:t>Jallinjaw aħjar il-verżjonijiet Franċiżi u Ingliżi tan-Nomenklatura sabiex tiġi żgurata applikazzjoni uniformi u jitnaqqsu d-diverġenzi eżistenti jew potenzjali fil-klassifikazzjoni.</w:t>
      </w:r>
    </w:p>
    <w:p>
      <w:pPr>
        <w:pStyle w:val="ListParagraph"/>
        <w:rPr>
          <w:rFonts w:eastAsia="Arial Unicode MS"/>
          <w:noProof/>
        </w:rPr>
      </w:pPr>
    </w:p>
    <w:p>
      <w:pPr>
        <w:pStyle w:val="Tiret0"/>
        <w:rPr>
          <w:noProof/>
        </w:rPr>
      </w:pPr>
      <w:r>
        <w:rPr>
          <w:noProof/>
        </w:rPr>
        <w:t>Jiffaċilitaw il-ġlieda kontra l-frodi u l-kummerċ illegali u l-protezzjoni tas-saħħa u tal-ambjent billi joħolqu intestaturi u subintestaturi f’diversi oqsma (djamanti sintetiċi, sustanzi kimiċi, beni kulturali, fentanil, skart, eċċ.).</w:t>
      </w:r>
    </w:p>
    <w:p>
      <w:pPr>
        <w:rPr>
          <w:rFonts w:eastAsia="Arial Unicode MS"/>
          <w:noProof/>
        </w:rPr>
      </w:pPr>
      <w:r>
        <w:rPr>
          <w:noProof/>
        </w:rPr>
        <w:t>Il-proposti ġew ippreżentati minn Organizzazzjonijiet Internazzjonali (il-Proċess ta’ Kimberley, l-FAO, il-Konvenzjonijiet ta' Basilea u ta’ Rotterdam, il-Kunsill Internazzjonali taż-Żebbuġ, eċċ.), mill-Partijiet Kontraenti u mis-Segretarjat tad-WCO. Fost dawn l-emendi hemm diversi proposti ppreżentati mill-UE (pereżempju dwar il-pjanċi fotosensittivi u termosensittivi, id-drappijiet laminati, id-dgħajjes li jintefħu, it-tessuti elettroniċi, il-fibri tal-ħġieġ, l-istampaturi 3D, iċ-ċeramika refrattarja, il-makkinarju tal-forġa, il-jogurt, in-Nota 3 tal-Kapitolu 27, il-lapsijiet li jintlewew).</w:t>
      </w:r>
    </w:p>
    <w:p>
      <w:pPr>
        <w:rPr>
          <w:rFonts w:eastAsia="Arial Unicode MS"/>
          <w:noProof/>
        </w:rPr>
      </w:pPr>
      <w:r>
        <w:rPr>
          <w:noProof/>
        </w:rPr>
        <w:t>L-abbozz tar-Rakkomandazzjoni huwa inkluż bħala l-Anness R tar-rapport tal-laqgħa numru 63 tal-Kumitat tas-SA f’Marzu 2019 (Dok. NC2626B1b-HSC/63/Marzu 2019).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3.</w:t>
      </w:r>
      <w:r>
        <w:rPr>
          <w:b/>
          <w:smallCaps/>
          <w:noProof/>
        </w:rPr>
        <w:tab/>
        <w:t>Pożizzjoni li trid tittieħed f’isem l-Unjoni</w:t>
      </w:r>
    </w:p>
    <w:p>
      <w:pPr>
        <w:rPr>
          <w:noProof/>
        </w:rPr>
      </w:pPr>
      <w:r>
        <w:rPr>
          <w:noProof/>
        </w:rPr>
        <w:t>Il-pożizzjoni proposta għandha l-għan li tesprimi sostenn għall-abbozz tar-Rakkomandazzjoni dwar l-emenda tan-Nomenklatura tas-SA.</w:t>
      </w:r>
    </w:p>
    <w:p>
      <w:pPr>
        <w:rPr>
          <w:noProof/>
        </w:rPr>
      </w:pPr>
      <w:r>
        <w:rPr>
          <w:noProof/>
        </w:rPr>
        <w:t>Huwa importanti għall-UE li tali Rakkomandazzjoni tiġi adottata peress li għandha l-għan li taġġorna u timmodernizza n-Nomenklatura tas-SA u tissimplifika u tiffaċilita l-klassifikazzjoni tal-prodotti. Ta’ min jinnota wkoll li l-UE kienet wieħed mill-kontributuri ewlenin għal dan l-eżerċizzju ta’ modernizzar peress li f’dan iċ-ċiklu ta’ reviżjoni ssottomettiet parti kbira mill-proposti f’dan ir-rigward.</w:t>
      </w:r>
    </w:p>
    <w:p>
      <w:pPr>
        <w:rPr>
          <w:noProof/>
        </w:rPr>
      </w:pPr>
      <w:r>
        <w:rPr>
          <w:noProof/>
        </w:rPr>
        <w:t>Il-konsultazzjonijiet twettqu b’mod kontinwu mal-Istati Membri fi ħdan il-Grupp ta’ Esperti Doganali — Is-Settur tal-Koordinazzjoni SA/WCO, u fi ħdan il-Kunsill, u fejn meħtieġ, mas-servizzi tal-Kummissjoni.</w:t>
      </w:r>
    </w:p>
    <w:p>
      <w:pPr>
        <w:rPr>
          <w:noProof/>
        </w:rPr>
      </w:pPr>
      <w:r>
        <w:rPr>
          <w:noProof/>
        </w:rPr>
        <w:t>B’rabta mal-emendi li jikkonċernaw il-prodotti tat-tabakk ġodda, il-pożizzjoni tal-UE ġiet stabbilita permezz ta’ Deċiżjoni tal-Kunsill qabel is-sessjoni tal-Kumitat tas-SA hawn fuq imsemmija</w:t>
      </w:r>
      <w:r>
        <w:rPr>
          <w:rStyle w:val="FootnoteReference"/>
          <w:noProof/>
        </w:rPr>
        <w:footnoteReference w:id="3"/>
      </w:r>
      <w:r>
        <w:rPr>
          <w:noProof/>
        </w:rPr>
        <w:t>. Peress li d-Deċiżjoni tal-Kunsill kienet tiddevja mill-proposta tal-Kummissjoni, il-Kummissjoni għamlet dikjarazzjoni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li tfakkar fil-ħidma li qed titwettaq bħalissa mill-Konvenzjoni ta’ Qafas dwar il-Kontroll fuq it-Tabakk tad-WHO fir-rigward tan-natura tal-emissjonijiet prodotti mill-prodotti tat-tabakk ġodda, u li tfakkar li jista’ jkun meħtieġ li r-riżultati jiġu indirizzati fi stadju ulterjuri jekk ikun hemm evidenza ġdida rilevanti għall-valutazzjoni tal-karatteristiċi oġġettivi u l-proprjetajiet ta’ tali prodotti għall-finijiet doganali.</w:t>
      </w:r>
    </w:p>
    <w:p>
      <w:pPr>
        <w:rPr>
          <w:noProof/>
        </w:rPr>
      </w:pPr>
      <w:r>
        <w:rPr>
          <w:noProof/>
        </w:rPr>
        <w:t>Għaldaqstant, il-pożizzjoni proposta hi kif ġejja:</w:t>
      </w:r>
    </w:p>
    <w:p>
      <w:pPr>
        <w:pStyle w:val="Tiret0"/>
        <w:numPr>
          <w:ilvl w:val="0"/>
          <w:numId w:val="9"/>
        </w:numPr>
        <w:ind w:left="851" w:hanging="851"/>
        <w:rPr>
          <w:noProof/>
        </w:rPr>
      </w:pPr>
      <w:r>
        <w:rPr>
          <w:noProof/>
        </w:rPr>
        <w:t>Fir-rigward tar-Rakkomandazzjoni, l-Unjoni jenħtieġ li tappoġġa l-adozzjoni tar-Rakkomandazzjoni.</w:t>
      </w:r>
    </w:p>
    <w:p>
      <w:pPr>
        <w:pStyle w:val="Tiret0"/>
        <w:rPr>
          <w:noProof/>
        </w:rPr>
      </w:pPr>
      <w:r>
        <w:rPr>
          <w:noProof/>
        </w:rPr>
        <w:t>Skont il-każ, l-Unjoni jenħtieġ li tappoġġa wkoll l-emendi editorjali ulterjuri li jistgħu jiġu proposti mis-Segretarjat tad-WCO.</w:t>
      </w:r>
    </w:p>
    <w:p>
      <w:pPr>
        <w:rPr>
          <w:noProof/>
        </w:rPr>
      </w:pPr>
      <w:r>
        <w:rPr>
          <w:noProof/>
        </w:rPr>
        <w:t xml:space="preserve">Il-pożizzjoni proposta tal-UE hi allinjata mal-politika Doganali stabbilita u mal-ġurisprudenza tal-Qorti tal-Ġustizzja tal-Unjoni Ewropea għall-klassifikazzjoni tal-oġġetti wara l-importazzjoni skont il-karatteristiċi u l-proprjetajiet oġġettivi tagħhom. </w:t>
      </w:r>
    </w:p>
    <w:p>
      <w:pPr>
        <w:rPr>
          <w:noProof/>
        </w:rPr>
      </w:pPr>
      <w:r>
        <w:rPr>
          <w:noProof/>
        </w:rPr>
        <w:t xml:space="preserve">Il-pożizzjoni proposta hi meħtieġa biex l-UE tkun tista’ tesprimi pożizzjoni fil-Kunsill tad-WCO li jmiss. 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4.</w:t>
      </w:r>
      <w:r>
        <w:rPr>
          <w:b/>
          <w:smallCaps/>
          <w:noProof/>
        </w:rPr>
        <w:tab/>
        <w:t>Bażi ġuridika</w:t>
      </w:r>
    </w:p>
    <w:p>
      <w:pPr>
        <w:keepNext/>
        <w:tabs>
          <w:tab w:val="left" w:pos="850"/>
        </w:tabs>
        <w:ind w:left="850" w:hanging="850"/>
        <w:outlineLvl w:val="2"/>
        <w:rPr>
          <w:i/>
          <w:noProof/>
        </w:rPr>
      </w:pPr>
      <w:r>
        <w:rPr>
          <w:i/>
          <w:noProof/>
        </w:rPr>
        <w:t>4.1.1.</w:t>
      </w:r>
      <w:r>
        <w:rPr>
          <w:i/>
          <w:noProof/>
        </w:rPr>
        <w:tab/>
        <w:t>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jipprevedi deċiżjonijiet li jistabbilixxu “</w:t>
      </w:r>
      <w:r>
        <w:rPr>
          <w:i/>
          <w:noProof/>
        </w:rPr>
        <w:t>l-pożizzjonijiet li għandhom jiġu adottati f'isem l-Unjoni f'sede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jkollhom effetti legali skont ir-regoli tad-dritt internazzjonali li jirregola l-korp ikkonċernat. Dan jinkludi wkoll l-istrumenti 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Għaldaqstant, il-bażi ġuridika proċedurali għad-deċiżjoni proposta li tistabbilixxi l-pożizzjoni li għandha tiġi adottata f’isem l-Unjoni u rigward l-att previst hi l-Artikolu 218(9) tat-TFUE.</w:t>
      </w:r>
    </w:p>
    <w:p>
      <w:pPr>
        <w:keepNext/>
        <w:tabs>
          <w:tab w:val="left" w:pos="850"/>
        </w:tabs>
        <w:ind w:left="850" w:hanging="850"/>
        <w:outlineLvl w:val="2"/>
        <w:rPr>
          <w:i/>
          <w:noProof/>
        </w:rPr>
      </w:pPr>
      <w:r>
        <w:rPr>
          <w:i/>
          <w:noProof/>
        </w:rPr>
        <w:t>4.1.2.</w:t>
      </w:r>
      <w:r>
        <w:rPr>
          <w:i/>
          <w:noProof/>
        </w:rPr>
        <w:tab/>
        <w:t>Applikazzjoni għall-każ preżenti</w:t>
      </w:r>
    </w:p>
    <w:p>
      <w:pPr>
        <w:rPr>
          <w:noProof/>
        </w:rPr>
      </w:pPr>
      <w:r>
        <w:rPr>
          <w:noProof/>
        </w:rPr>
        <w:t>Il-Kunsill tad-WCO hu korp imwaqqaf permezz ta’ ftehim, jiġifieri l-Konvenzjoni li Tistabbilixxi Kunsill għall-Kooperazzjoni Doganali tal-15 ta’ Diċembru 1950. Skont il-Konvenzjoni Internazzjonali dwar is-Sistema Armonizzata għad-Deskrizzjoni u l-Kodifika ta’ Oġġetti, hu l-korp responsabbli għall-ħruġ ta’ rakkomandazzjonijiet lill-Partijiet Kontraenti għall-emendar ta’ din il-Konvenzjoni.</w:t>
      </w:r>
    </w:p>
    <w:p>
      <w:pPr>
        <w:rPr>
          <w:noProof/>
        </w:rPr>
      </w:pPr>
      <w:r>
        <w:rPr>
          <w:noProof/>
        </w:rPr>
        <w:t xml:space="preserve">F’konformità mal-Artikolu 16 tal-Konvenzjoni tas-SA, fil-laqgħa ta’ Ġunju tiegħu, il-Kunsill tad-WCO hu mistenni jirrakkomanda lill-Partijiet Kontraenti tas-SA emenda tal-Anness ta’ din il-Konvenzjoni (in-Nomenklatura tas-SA), li titqies bħal aċċettata fi żmien sitt xhur sakemm ma toġġezzjonax xi Parti Kontraenti. Skont id-dritt internazzjonali, l-emendi aċċettati huma vinkolanti fuq il-Partijiet Kontraenti kollha ladarba jidħlu fis-seħħ u n-nomenklatura tariffarja/statistika ta’ kull Parti Kontraenti trid tinġieb f’konformità mas-Sistema Armonizzata emendata. Għalhekk, ladarba tiġi aċċettata, ir-Rakkomandazzjoni tiġi inkorporata fil-leġiżlazzjoni tal-UE, jiġifieri: L-Anness 1 tar-Regolament tal-Kunsill (KEE) Nru 2658/87 dwar in-nomenklatura tat-tariffa u l-istatistika u dwar it-Tariffa Doganali Komuni ta’ Dwana. Dan minħabba li l-Artikolu 2. (a) tal-imsemmi Regolament jiddikjara </w:t>
      </w:r>
      <w:r>
        <w:rPr>
          <w:i/>
          <w:noProof/>
          <w:szCs w:val="24"/>
        </w:rPr>
        <w:t>“2.  In-nomenklatura magħquda għandha tiġbor fiha: (a) in-nomenklatura tas-sistema armonizzata;”</w:t>
      </w: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>L-att previst ma jissupplimentax jew ma jemendax il-qafas istituzzjonali tal-Ftehim.</w:t>
      </w:r>
    </w:p>
    <w:p>
      <w:pPr>
        <w:rPr>
          <w:noProof/>
        </w:rPr>
      </w:pPr>
      <w:r>
        <w:rPr>
          <w:noProof/>
        </w:rPr>
        <w:t>Għaldaqstant, il-bażi ġuridika proċedurali għad-deċiżjoni proposta hija l-Artikolu 218(9) tat-TFUE.</w:t>
      </w:r>
    </w:p>
    <w:p>
      <w:pPr>
        <w:keepNext/>
        <w:tabs>
          <w:tab w:val="left" w:pos="850"/>
        </w:tabs>
        <w:ind w:left="850" w:hanging="850"/>
        <w:outlineLvl w:val="1"/>
        <w:rPr>
          <w:b/>
          <w:noProof/>
        </w:rPr>
      </w:pPr>
      <w:r>
        <w:rPr>
          <w:b/>
          <w:noProof/>
        </w:rPr>
        <w:t>4.2.</w:t>
      </w:r>
      <w:r>
        <w:rPr>
          <w:b/>
          <w:noProof/>
        </w:rPr>
        <w:tab/>
        <w:t>Bażi ġuridika sostantiva</w:t>
      </w:r>
    </w:p>
    <w:p>
      <w:pPr>
        <w:keepNext/>
        <w:tabs>
          <w:tab w:val="left" w:pos="850"/>
        </w:tabs>
        <w:ind w:left="850" w:hanging="850"/>
        <w:outlineLvl w:val="2"/>
        <w:rPr>
          <w:i/>
          <w:noProof/>
        </w:rPr>
      </w:pPr>
      <w:r>
        <w:rPr>
          <w:i/>
          <w:noProof/>
        </w:rPr>
        <w:t>4.2.1.</w:t>
      </w:r>
      <w:r>
        <w:rPr>
          <w:i/>
          <w:noProof/>
        </w:rPr>
        <w:tab/>
        <w:t>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 218(9) tat-TFUE tiddependi primarjament mill-objettiv u mill-kontenut tal-att previst li dwaru tittieħed pożizzjoni f’isem l-Unjoni. Jekk l-att previst ikollu żewġ għanijiet jew żewġ komponenti, u jekk wieħed minn dawn l-għanijiet jew il-komponenti jkun jista’ jiġi identifikat bħala dak ewlieni, filwaqt li l-ieħor ikun sempliċement inċidentali, id-deċiżjoni skont l-Artikolu 218(9) tat-TFUE trid tkun ibbażata fuq bażi ġuridika sostantiva waħda, jiġifieri dik meħtieġa mill-għan jew mill-komponent ewlieni jew predominanti.</w:t>
      </w:r>
    </w:p>
    <w:p>
      <w:pPr>
        <w:keepNext/>
        <w:tabs>
          <w:tab w:val="left" w:pos="850"/>
        </w:tabs>
        <w:ind w:left="850" w:hanging="850"/>
        <w:outlineLvl w:val="2"/>
        <w:rPr>
          <w:i/>
          <w:noProof/>
        </w:rPr>
      </w:pPr>
      <w:r>
        <w:rPr>
          <w:i/>
          <w:noProof/>
        </w:rPr>
        <w:t>4.2.2.</w:t>
      </w:r>
      <w:r>
        <w:rPr>
          <w:i/>
          <w:noProof/>
        </w:rPr>
        <w:tab/>
        <w:t>Applikazzjoni għall-każ preżenti</w:t>
      </w:r>
    </w:p>
    <w:p>
      <w:pPr>
        <w:rPr>
          <w:noProof/>
        </w:rPr>
      </w:pPr>
      <w:r>
        <w:rPr>
          <w:noProof/>
        </w:rPr>
        <w:t>Peress li l-objettiv ewlieni u l-kontenut tal-att previst huma relatati mal-Unjoni Doganali, il-bażi ġuridika sostantiva tad-deċiżjoni proposta hi l-Artikolu 28(1) tat-TFUE.</w:t>
      </w:r>
    </w:p>
    <w:p>
      <w:pPr>
        <w:rPr>
          <w:noProof/>
        </w:rPr>
      </w:pPr>
      <w:r>
        <w:rPr>
          <w:noProof/>
        </w:rPr>
        <w:t>4.3. 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l-Artikolu 28(1) tat-TFUE, flimkien mal-Artikolu 218(9) tat-TFUE.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5.</w:t>
      </w:r>
      <w:r>
        <w:rPr>
          <w:b/>
          <w:smallCaps/>
          <w:noProof/>
        </w:rPr>
        <w:tab/>
        <w:t xml:space="preserve">Implikazzjonijiet baġitarji </w:t>
      </w:r>
    </w:p>
    <w:p>
      <w:pPr>
        <w:rPr>
          <w:noProof/>
        </w:rPr>
      </w:pPr>
      <w:r>
        <w:rPr>
          <w:noProof/>
        </w:rPr>
        <w:t xml:space="preserve">Din il-proposta ma għandhiex implikazzjoni fuq il-baġit tal-Unjoni Ewropea. 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6.</w:t>
      </w:r>
      <w:r>
        <w:rPr>
          <w:b/>
          <w:smallCaps/>
          <w:noProof/>
        </w:rPr>
        <w:tab/>
        <w:t>Pubblikazzjoni tal-att previst</w:t>
      </w:r>
    </w:p>
    <w:p>
      <w:pPr>
        <w:rPr>
          <w:noProof/>
        </w:rPr>
      </w:pPr>
      <w:r>
        <w:rPr>
          <w:noProof/>
        </w:rPr>
        <w:t>L-ebda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spacing w:before="0" w:after="0"/>
        <w:ind w:left="5103"/>
        <w:jc w:val="left"/>
        <w:rPr>
          <w:noProof/>
        </w:rPr>
      </w:pPr>
      <w:r>
        <w:rPr>
          <w:noProof/>
        </w:rPr>
        <w:t>2019/</w:t>
      </w:r>
      <w:r>
        <w:rPr>
          <w:noProof/>
          <w:color w:val="FF0000"/>
        </w:rPr>
        <w:t xml:space="preserve">XXX </w:t>
      </w:r>
      <w:r>
        <w:rPr>
          <w:noProof/>
        </w:rPr>
        <w:t>(NLE)</w:t>
      </w:r>
    </w:p>
    <w:p>
      <w:pPr>
        <w:spacing w:before="360" w:after="0"/>
        <w:jc w:val="center"/>
        <w:rPr>
          <w:noProof/>
        </w:rPr>
      </w:pPr>
      <w:r>
        <w:rPr>
          <w:noProof/>
        </w:rPr>
        <w:t>Proposta għal</w:t>
      </w:r>
    </w:p>
    <w:p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>DEĊIŻJONI TAL-KUNSILL</w:t>
      </w:r>
    </w:p>
    <w:p>
      <w:pPr>
        <w:spacing w:before="360" w:after="360"/>
        <w:jc w:val="center"/>
        <w:rPr>
          <w:b/>
          <w:noProof/>
        </w:rPr>
      </w:pPr>
      <w:r>
        <w:rPr>
          <w:b/>
          <w:noProof/>
        </w:rPr>
        <w:t>dwar il-pożizzjoni li għandha tittieħed f’isem l-Unjoni Ewropea fil-Kunsill tal-Organizzazzjoni Dinjija Doganali b’rabta mar-Rakkomandazzjoni tad-WCO skont l-Artikolu 16 li jemenda s-Sistema Armonizzata</w:t>
      </w:r>
    </w:p>
    <w:p>
      <w:pPr>
        <w:keepNext/>
        <w:spacing w:before="600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28(1),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ind w:left="709" w:hanging="709"/>
        <w:rPr>
          <w:noProof/>
        </w:rPr>
      </w:pPr>
      <w:r>
        <w:rPr>
          <w:noProof/>
        </w:rPr>
        <w:t>(1)</w:t>
      </w:r>
      <w:r>
        <w:rPr>
          <w:noProof/>
        </w:rPr>
        <w:tab/>
        <w:t>Il-Konvenzjoni Internazzjonali dwar is-Sistema Armonizzata għad-Deskrizzjoni u l-Kodifika ta' Oġġetti (“il-Ftehim”), konkluża mill-Unjoni permezz tad-Deċiżjoni tal-Kunsill 87/369</w:t>
      </w:r>
      <w:r>
        <w:rPr>
          <w:rStyle w:val="FootnoteReference"/>
          <w:noProof/>
        </w:rPr>
        <w:footnoteReference w:customMarkFollows="1" w:id="6"/>
        <w:t>1</w:t>
      </w:r>
      <w:r>
        <w:rPr>
          <w:noProof/>
        </w:rPr>
        <w:t xml:space="preserve">, daħlet fis-seħħ fl-1 ta’ Jannar 1988. </w:t>
      </w:r>
    </w:p>
    <w:p>
      <w:pPr>
        <w:ind w:left="709" w:hanging="709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Skont l-Artikolu 7 tal-Ftehim, il-Kumitat tas-Sistema Armonizzata jista’ jħejji għall-Kunsill tad-WCO proposti ta’ emendi tan-Nomenklatura tas-SA. Skont l-Artikolu 16 tal-Ftehim, il-Kunsill tad-WCO jista’ jirrakkomanda dawn l-emendi lill-Partijiet Kontraenti.  </w:t>
      </w:r>
    </w:p>
    <w:p>
      <w:pPr>
        <w:ind w:left="709" w:hanging="709"/>
        <w:rPr>
          <w:noProof/>
        </w:rPr>
      </w:pPr>
      <w:r>
        <w:rPr>
          <w:noProof/>
        </w:rPr>
        <w:t>(3)</w:t>
      </w:r>
      <w:r>
        <w:rPr>
          <w:noProof/>
        </w:rPr>
        <w:tab/>
        <w:t>Il-Kunsill tad-WCO hu mistenni jiddeċiedi dwar ir-Rakkomandazzjoni għall-Partijiet Kontraenti għal emenda tan-Nomenklatura tas-SA</w:t>
      </w:r>
      <w:r>
        <w:rPr>
          <w:i/>
          <w:noProof/>
        </w:rPr>
        <w:t xml:space="preserve"> </w:t>
      </w:r>
      <w:r>
        <w:rPr>
          <w:noProof/>
        </w:rPr>
        <w:t>matul is-sessjonijiet ta’ Ġunju tiegħu. Tali Rakkomandazzjoni se tiġi adottata fuq il-bażi ta’ proposta mħejjija mill-Kumitat tas-Sistema Armonizzata u finalizzata matul il-laqgħa numru 63 tiegħu bejn id-19 u d-29 ta’ Marzu 2019. Din se tidħol fis-seħħ fil-1 ta' Jannar 2022.</w:t>
      </w:r>
    </w:p>
    <w:p>
      <w:pPr>
        <w:ind w:left="709" w:hanging="709"/>
        <w:rPr>
          <w:rFonts w:eastAsia="Arial Unicode MS"/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Huwa ta’ importanza kbira li n-Nomenklatura tas-SA tinżamm aġġornata u konformi mal-evoluzzjoni tax-xejriet kummerċjali u l-iżvilupp ta’ teknoloġiji ġodda u li tirrifletti kemm jista’ jkun il-ħtiġijiet tal-utenti. Ir-Rakkomandazzjoni proposta tinkludi bosta settijiet ta’ emendi li jqisu l-ħtieġa li n-nomenklatura tiġi modernizzata jew adattata għall-ambjent tagħha. </w:t>
      </w:r>
    </w:p>
    <w:p>
      <w:pPr>
        <w:ind w:left="709" w:hanging="709"/>
        <w:rPr>
          <w:noProof/>
        </w:rPr>
      </w:pPr>
      <w:r>
        <w:rPr>
          <w:noProof/>
        </w:rPr>
        <w:t>(5)</w:t>
      </w:r>
      <w:r>
        <w:rPr>
          <w:noProof/>
        </w:rPr>
        <w:tab/>
        <w:t>Peress li din ir-Rakkomandazzjoni għal emenda tan-Nomenklatura tas-SA għandha tiġi adottata mill-Kunsill tad-WCO, huwa xieraq li tiġi stabbilita l-pożizzjoni li għandha tittieħed f’isem l-Unjoni billi, ladarba tiġi aċċettata skont l-Artikolu 16 tal-Ftehim, ir-Rakkomandazzjoni se tkun vinkolanti għall-Unjoni u se jkollha l-kapaċità li tinfluwenza b’mod deċiżiv il-kontenut tad-dritt tal-Unjoni, jiġifieri l-Anness I tar-Regolament tal-Kunsill (KEE) Nru 2658/87</w:t>
      </w:r>
      <w:r>
        <w:rPr>
          <w:rStyle w:val="FootnoteReference"/>
          <w:noProof/>
        </w:rPr>
        <w:footnoteReference w:customMarkFollows="1" w:id="7"/>
        <w:t>2</w:t>
      </w:r>
      <w:r>
        <w:rPr>
          <w:noProof/>
        </w:rPr>
        <w:t>.</w:t>
      </w:r>
    </w:p>
    <w:p>
      <w:pPr>
        <w:ind w:left="709" w:hanging="709"/>
        <w:rPr>
          <w:noProof/>
        </w:rPr>
      </w:pPr>
      <w:r>
        <w:rPr>
          <w:noProof/>
        </w:rPr>
        <w:t>(6)</w:t>
      </w:r>
      <w:r>
        <w:rPr>
          <w:noProof/>
        </w:rPr>
        <w:tab/>
        <w:t>Diġà kienet ġiet stabbilita pożizzjoni parzjali tal-UE li għandha tittieħed fid-WCO qabel il-laqgħa numru 63 tal-Kumitat tas-Sistema Armonizzata</w:t>
      </w:r>
      <w:r>
        <w:rPr>
          <w:rStyle w:val="FootnoteReference"/>
          <w:noProof/>
        </w:rPr>
        <w:footnoteReference w:customMarkFollows="1" w:id="8"/>
        <w:t>3</w:t>
      </w:r>
      <w:r>
        <w:rPr>
          <w:noProof/>
        </w:rPr>
        <w:t>.</w:t>
      </w:r>
    </w:p>
    <w:p>
      <w:pPr>
        <w:ind w:left="709" w:hanging="709"/>
        <w:rPr>
          <w:noProof/>
        </w:rPr>
      </w:pPr>
      <w:r>
        <w:rPr>
          <w:noProof/>
        </w:rPr>
        <w:t>7)</w:t>
      </w:r>
      <w:r>
        <w:rPr>
          <w:noProof/>
        </w:rPr>
        <w:tab/>
        <w:t>Huwa xieraq li jiġi appoġġat l-abbozz tal-emenda tan-Nomenklatura tas-SA, u kwalunkwe bidla editorjali minuri li tista’ titqies meħtieġa,</w:t>
      </w:r>
    </w:p>
    <w:p>
      <w:pPr>
        <w:keepNext/>
        <w:rPr>
          <w:noProof/>
        </w:rPr>
      </w:pPr>
      <w:r>
        <w:rPr>
          <w:noProof/>
        </w:rPr>
        <w:t>ADOTTA DIN ID-DEĊIŻJONI: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għandha tittieħed f’isem l-Unjoni fis-sessjonijiet ta’ Ġunju 2019 tal-Kunsill tad-WCO għandha tkun li jiġi appoġġat l-abbozz tar-Rakkomandazzjoni skont l-Artikolu 16 dwar l-emenda tas-Sistema Armonizzata kif stabbilit fl-Anness R tad-Dokument NC2626B1b (Rapport HSC/63/Marzu 2019).</w:t>
      </w:r>
    </w:p>
    <w:p>
      <w:pPr>
        <w:rPr>
          <w:noProof/>
        </w:rPr>
      </w:pPr>
      <w:r>
        <w:rPr>
          <w:noProof/>
          <w:color w:val="000000"/>
        </w:rPr>
        <w:t>Ir-rappreżentanti tal-Unjoni jistgħu jaqblu dwar bidliet editorjali minuri fl-abbozz tar-Rakkomandazzjoni skont l-Artikolu 16 fid-dawl tal-iżviluppi fis-sessjonijiet li ġejjin tal-Kunsill tad-WCO, wara konsultazzjoni mal-Istati Membri, jew matul il-laqgħat ta’ koordinazzjoni fuq il-post, mingħajr deċiżjoni ulterjuri tal-Kunsill.</w:t>
      </w:r>
      <w:r>
        <w:rPr>
          <w:noProof/>
        </w:rPr>
        <w:t xml:space="preserve"> 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keepNext/>
        <w:spacing w:after="0"/>
        <w:rPr>
          <w:noProof/>
        </w:rPr>
      </w:pPr>
      <w:r>
        <w:rPr>
          <w:noProof/>
        </w:rPr>
        <w:t>Magħmul fi Brussell,</w:t>
      </w:r>
    </w:p>
    <w:p>
      <w:pPr>
        <w:keepNext/>
        <w:tabs>
          <w:tab w:val="left" w:pos="4252"/>
        </w:tabs>
        <w:spacing w:before="720" w:after="0"/>
        <w:rPr>
          <w:i/>
          <w:noProof/>
        </w:rPr>
      </w:pPr>
      <w:r>
        <w:rPr>
          <w:i/>
          <w:noProof/>
        </w:rPr>
        <w:tab/>
        <w:t>Għall-Kunsill</w:t>
      </w:r>
    </w:p>
    <w:p>
      <w:pPr>
        <w:tabs>
          <w:tab w:val="left" w:pos="4252"/>
        </w:tabs>
        <w:spacing w:before="0" w:after="0"/>
        <w:jc w:val="left"/>
        <w:rPr>
          <w:noProof/>
        </w:rPr>
      </w:pPr>
      <w:r>
        <w:rPr>
          <w:i/>
          <w:noProof/>
        </w:rPr>
        <w:tab/>
        <w:t xml:space="preserve">Il-President </w:t>
      </w:r>
    </w:p>
    <w:sectPr>
      <w:footerReference w:type="default" r:id="rId16"/>
      <w:footerReference w:type="first" r:id="rId17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Mill-introduzzjoni tagħha fl-1988, in-Nomenklatura tas-SA ġiet riveduta ħames darbiet. Dawn ir-reviżjonijiet daħlu fis-seħħ fl-1996, fl-2002, fl-2007, fl-2012 u fl-2017.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 87/369 tas-7 ta’ April 1987 dwar il-konklużjoni tal-Konvenzjoni Internazzjonali dwar</w:t>
      </w:r>
      <w:r>
        <w:rPr>
          <w:color w:val="0000FF"/>
          <w:sz w:val="24"/>
          <w:szCs w:val="22"/>
        </w:rPr>
        <w:t xml:space="preserve"> </w:t>
      </w:r>
      <w:r>
        <w:t>is-Sistema Armonizzata għad-Deskrizzjoni u l-Kodifika ta’ Oġġetti u tal-Protokoll li Jemendaha (ĠU L 198, 20.7.1987, p.1).</w:t>
      </w:r>
    </w:p>
  </w:footnote>
  <w:footnote w:id="3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ST 7138 2019 INIT, Id-Deċiżjoni tal-Kunsill dwar il-pożizzjoni li għandha tittieħed f’isem l-Unjoni Ewropea fl-Organizzazzjoni Dinjija Doganali rigward is-Sistema Armonizzata.</w:t>
      </w:r>
    </w:p>
  </w:footnote>
  <w:footnote w:id="4">
    <w:p>
      <w:pPr>
        <w:pStyle w:val="FootnoteText"/>
        <w:ind w:left="142" w:hanging="153"/>
      </w:pPr>
      <w:r>
        <w:rPr>
          <w:rStyle w:val="FootnoteReference"/>
        </w:rPr>
        <w:footnoteRef/>
      </w:r>
      <w:r>
        <w:tab/>
        <w:t>ST 7208 2019 ADD 1, Id-Deċiżjoni tal-Kunsill dwar il-pożizzjoni li għandha tittieħed f’isem l-Unjoni Ewropea fl-Organizzazzjoni Dinjija Doganali rigward is-Sistema Armonizzata – Adozzjoni – Dikjarazzjoni mill-Kummissjoni.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2014, Il-Ġermanja vs Il-Kunsill, il-Kawża C-399/12, ECLI:EU:C:2014:2258, il-paragrafi 61 sa 64. </w:t>
      </w:r>
    </w:p>
  </w:footnote>
  <w:footnote w:id="6">
    <w:p>
      <w:pPr>
        <w:pStyle w:val="FootnoteText"/>
      </w:pPr>
      <w:r>
        <w:rPr>
          <w:rStyle w:val="FootnoteReference"/>
        </w:rPr>
        <w:t>1</w:t>
      </w:r>
      <w:r>
        <w:tab/>
        <w:t>Id-Deċiżjoni tal-Kunsill 87/369/KEE tas-7 ta’ April 1987 dwar il-konklużjoni tal-Konvenzjoni Internazzjonali dwar is-Sistema Armonizzata għad-Deskrizzjoni u l-Kodifika ta' Oġġetti u tal-Protokoll li Jemendaha (ĠU L 198, 20.7.1987, p. 1).</w:t>
      </w:r>
    </w:p>
  </w:footnote>
  <w:footnote w:id="7">
    <w:p>
      <w:pPr>
        <w:pStyle w:val="FootnoteText"/>
      </w:pPr>
      <w:r>
        <w:rPr>
          <w:rStyle w:val="FootnoteReference"/>
        </w:rPr>
        <w:t>2</w:t>
      </w:r>
      <w:r>
        <w:tab/>
        <w:t>Ir-Regolament tal-Kunsill (KEE) Nru 2658/87, tat-23 ta' Lulju 1987 dwar in-nomenklatura tat-tariffa u l-istatistika u dwar it-Tariffa Doganali Komuni ta' Dwana (ĠU L 256, 7/9/1987, p. 1)</w:t>
      </w:r>
    </w:p>
  </w:footnote>
  <w:footnote w:id="8">
    <w:p>
      <w:pPr>
        <w:pStyle w:val="FootnoteText"/>
      </w:pPr>
      <w:r>
        <w:rPr>
          <w:rStyle w:val="FootnoteReference"/>
        </w:rPr>
        <w:t>3</w:t>
      </w:r>
      <w:r>
        <w:tab/>
        <w:t>ST 7138 2019 INIT, Id-Deċiżjoni tal-Kunsill dwar il-pożizzjoni li għandha tittieħed f’isem l-Unjoni Ewropea fl-Organizzazzjoni Dinjija Doganali rigward is-Sistema Armonizzata; ST 7208 2019 ADD 1, Id-Deċiżjoni tal-Kunsill dwar il-pożizzjoni li għandha tittieħed f’isem l-Unjoni Ewropea fl-Organizzazzjoni Dinjija Doganali rigward is-Sistema Armonizzata – Adozzjoni – Dikjarazzjoni mill-Kummissjoni.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47A72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822ED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7DCC2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49C1B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7AA2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08CEF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29F61E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1"/>
  </w:num>
  <w:num w:numId="12">
    <w:abstractNumId w:val="18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0"/>
  </w:num>
  <w:num w:numId="17">
    <w:abstractNumId w:val="13"/>
  </w:num>
  <w:num w:numId="18">
    <w:abstractNumId w:val="8"/>
  </w:num>
  <w:num w:numId="19">
    <w:abstractNumId w:val="19"/>
  </w:num>
  <w:num w:numId="20">
    <w:abstractNumId w:val="7"/>
  </w:num>
  <w:num w:numId="21">
    <w:abstractNumId w:val="14"/>
  </w:num>
  <w:num w:numId="22">
    <w:abstractNumId w:val="16"/>
  </w:num>
  <w:num w:numId="23">
    <w:abstractNumId w:val="17"/>
  </w:num>
  <w:num w:numId="24">
    <w:abstractNumId w:val="9"/>
  </w:num>
  <w:num w:numId="25">
    <w:abstractNumId w:val="15"/>
  </w:num>
  <w:num w:numId="26">
    <w:abstractNumId w:val="22"/>
  </w:num>
  <w:num w:numId="27">
    <w:abstractNumId w:val="18"/>
  </w:num>
  <w:num w:numId="28">
    <w:abstractNumId w:val="12"/>
  </w:num>
  <w:num w:numId="29">
    <w:abstractNumId w:val="20"/>
  </w:num>
  <w:num w:numId="30">
    <w:abstractNumId w:val="10"/>
  </w:num>
  <w:num w:numId="31">
    <w:abstractNumId w:val="13"/>
  </w:num>
  <w:num w:numId="32">
    <w:abstractNumId w:val="8"/>
  </w:num>
  <w:num w:numId="33">
    <w:abstractNumId w:val="19"/>
  </w:num>
  <w:num w:numId="34">
    <w:abstractNumId w:val="7"/>
  </w:num>
  <w:num w:numId="35">
    <w:abstractNumId w:val="14"/>
  </w:num>
  <w:num w:numId="36">
    <w:abstractNumId w:val="16"/>
  </w:num>
  <w:num w:numId="37">
    <w:abstractNumId w:val="17"/>
  </w:num>
  <w:num w:numId="38">
    <w:abstractNumId w:val="9"/>
  </w:num>
  <w:num w:numId="39">
    <w:abstractNumId w:val="15"/>
  </w:num>
  <w:num w:numId="4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7 10:38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3"/>
    <w:docVar w:name="DQCResult_LinkedStyles" w:val="0;0"/>
    <w:docVar w:name="DQCResult_ModifiedMargins" w:val="0;2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3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2D43DAF-8E7E-4BB5-A0CB-64492E3F60C0"/>
    <w:docVar w:name="LW_COVERPAGE_TYPE" w:val="1"/>
    <w:docVar w:name="LW_CROSSREFERENCE" w:val="&lt;UNUSED&gt;"/>
    <w:docVar w:name="LW_DocType" w:val="COM"/>
    <w:docVar w:name="LW_EMISSION" w:val="3.6.2019"/>
    <w:docVar w:name="LW_EMISSION_ISODATE" w:val="2019-06-03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29"/>
    <w:docVar w:name="LW_REF.II.NEW.CP_YEAR" w:val="2019"/>
    <w:docVar w:name="LW_REF.INST.NEW" w:val="COM"/>
    <w:docVar w:name="LW_REF.INST.NEW_ADOPTED" w:val="final"/>
    <w:docVar w:name="LW_REF.INST.NEW_TEXT" w:val="(2019) 26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l-Kunsill tal-Organizzazzjoni Dinjija Doganali b\u8217?rabta mar-Rakkomandazzjoni tad-WCO skont l-Artikolu 16 li jemenda s-Sistema Armonizzata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pPr>
      <w:numPr>
        <w:numId w:val="1"/>
      </w:numPr>
    </w:pPr>
    <w:rPr>
      <w:rFonts w:eastAsia="Times New Roman"/>
      <w:lang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galNumPar">
    <w:name w:val="LegalNumPar"/>
    <w:basedOn w:val="Normal"/>
    <w:pPr>
      <w:numPr>
        <w:numId w:val="11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11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11"/>
      </w:numPr>
      <w:spacing w:line="36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pPr>
      <w:numPr>
        <w:numId w:val="1"/>
      </w:numPr>
    </w:pPr>
    <w:rPr>
      <w:rFonts w:eastAsia="Times New Roman"/>
      <w:lang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galNumPar">
    <w:name w:val="LegalNumPar"/>
    <w:basedOn w:val="Normal"/>
    <w:pPr>
      <w:numPr>
        <w:numId w:val="11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11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11"/>
      </w:numPr>
      <w:spacing w:line="36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E3B521-A75E-499C-B294-BFCE926C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8</Pages>
  <Words>1780</Words>
  <Characters>13660</Characters>
  <Application>Microsoft Office Word</Application>
  <DocSecurity>0</DocSecurity>
  <Lines>231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16</cp:revision>
  <cp:lastPrinted>2019-05-21T15:14:00Z</cp:lastPrinted>
  <dcterms:created xsi:type="dcterms:W3CDTF">2019-06-06T16:05:00Z</dcterms:created>
  <dcterms:modified xsi:type="dcterms:W3CDTF">2019-06-07T08:38:00Z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